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40" w:type="dxa"/>
        <w:jc w:val="start"/>
        <w:tblInd w:w="-432" w:type="dxa"/>
        <w:tblLayout w:type="fixed"/>
        <w:tblCellMar>
          <w:top w:w="0" w:type="dxa"/>
          <w:start w:w="108" w:type="dxa"/>
          <w:bottom w:w="0" w:type="dxa"/>
          <w:end w:w="108" w:type="dxa"/>
        </w:tblCellMar>
      </w:tblPr>
      <w:tblGrid>
        <w:gridCol w:w="2880"/>
        <w:gridCol w:w="7560"/>
      </w:tblGrid>
      <w:tr>
        <w:trPr>
          <w:trHeight w:val="413" w:hRule="atLeast"/>
        </w:trPr>
        <w:tc>
          <w:tcPr>
            <w:tcW w:w="2880" w:type="dxa"/>
            <w:tcBorders>
              <w:bottom w:val="single" w:sz="4" w:space="0" w:color="000000"/>
            </w:tcBorders>
            <w:vAlign w:val="center"/>
          </w:tcPr>
          <w:p>
            <w:pPr>
              <w:pStyle w:val="NormalArial"/>
              <w:snapToGrid w:val="false"/>
              <w:rPr/>
            </w:pPr>
            <w:r>
              <w:rPr/>
            </w:r>
          </w:p>
        </w:tc>
        <w:tc>
          <w:tcPr>
            <w:tcW w:w="7560" w:type="dxa"/>
            <w:tcBorders/>
            <w:vAlign w:val="center"/>
          </w:tcPr>
          <w:p>
            <w:pPr>
              <w:pStyle w:val="NormalArial"/>
              <w:snapToGrid w:val="false"/>
              <w:rPr/>
            </w:pPr>
            <w:r>
              <w:rPr/>
            </w:r>
          </w:p>
        </w:tc>
      </w:tr>
      <w:tr>
        <w:trPr>
          <w:trHeight w:val="440" w:hRule="atLeast"/>
        </w:trPr>
        <w:tc>
          <w:tcPr>
            <w:tcW w:w="2880" w:type="dxa"/>
            <w:tcBorders>
              <w:top w:val="single" w:sz="4" w:space="0" w:color="000000"/>
              <w:start w:val="single" w:sz="4" w:space="0" w:color="000000"/>
              <w:bottom w:val="single" w:sz="4" w:space="0" w:color="000000"/>
              <w:end w:val="single" w:sz="4" w:space="0" w:color="000000"/>
            </w:tcBorders>
            <w:vAlign w:val="center"/>
          </w:tcPr>
          <w:p>
            <w:pPr>
              <w:pStyle w:val="Header"/>
              <w:rPr/>
            </w:pPr>
            <w:r>
              <w:rPr/>
              <w:t>Date</w:t>
            </w:r>
          </w:p>
        </w:tc>
        <w:tc>
          <w:tcPr>
            <w:tcW w:w="7560" w:type="dxa"/>
            <w:tcBorders>
              <w:top w:val="single" w:sz="4" w:space="0" w:color="000000"/>
              <w:start w:val="single" w:sz="4" w:space="0" w:color="000000"/>
              <w:bottom w:val="single" w:sz="4" w:space="0" w:color="000000"/>
              <w:end w:val="single" w:sz="4" w:space="0" w:color="000000"/>
            </w:tcBorders>
            <w:vAlign w:val="center"/>
          </w:tcPr>
          <w:p>
            <w:pPr>
              <w:pStyle w:val="NormalArial"/>
              <w:snapToGrid w:val="false"/>
              <w:rPr/>
            </w:pPr>
            <w:r>
              <w:rPr/>
              <w:t>October 30, 2026</w:t>
            </w:r>
          </w:p>
        </w:tc>
      </w:tr>
      <w:tr>
        <w:trPr>
          <w:trHeight w:val="467" w:hRule="atLeast"/>
        </w:trPr>
        <w:tc>
          <w:tcPr>
            <w:tcW w:w="2880" w:type="dxa"/>
            <w:tcBorders>
              <w:top w:val="single" w:sz="4" w:space="0" w:color="000000"/>
            </w:tcBorders>
            <w:shd w:fill="FFFFFF" w:val="clear"/>
            <w:vAlign w:val="center"/>
          </w:tcPr>
          <w:p>
            <w:pPr>
              <w:pStyle w:val="NormalArial"/>
              <w:snapToGrid w:val="false"/>
              <w:rPr/>
            </w:pPr>
            <w:r>
              <w:rPr/>
            </w:r>
          </w:p>
        </w:tc>
        <w:tc>
          <w:tcPr>
            <w:tcW w:w="7560" w:type="dxa"/>
            <w:tcBorders/>
            <w:vAlign w:val="center"/>
          </w:tcPr>
          <w:p>
            <w:pPr>
              <w:pStyle w:val="NormalArial"/>
              <w:snapToGrid w:val="false"/>
              <w:rPr/>
            </w:pPr>
            <w:r>
              <w:rPr/>
            </w:r>
          </w:p>
        </w:tc>
      </w:tr>
      <w:tr>
        <w:trPr>
          <w:trHeight w:val="440" w:hRule="atLeast"/>
        </w:trPr>
        <w:tc>
          <w:tcPr>
            <w:tcW w:w="10440" w:type="dxa"/>
            <w:gridSpan w:val="2"/>
            <w:tcBorders>
              <w:top w:val="single" w:sz="4" w:space="0" w:color="000000"/>
              <w:start w:val="single" w:sz="4" w:space="0" w:color="000000"/>
              <w:bottom w:val="single" w:sz="4" w:space="0" w:color="000000"/>
              <w:end w:val="single" w:sz="4" w:space="0" w:color="000000"/>
            </w:tcBorders>
            <w:shd w:fill="FFFFFF" w:val="clear"/>
            <w:vAlign w:val="center"/>
          </w:tcPr>
          <w:p>
            <w:pPr>
              <w:pStyle w:val="Header"/>
              <w:snapToGrid w:val="false"/>
              <w:jc w:val="center"/>
              <w:rPr/>
            </w:pPr>
            <w:r>
              <w:rPr/>
            </w:r>
          </w:p>
        </w:tc>
      </w:tr>
      <w:tr>
        <w:trPr>
          <w:trHeight w:val="350" w:hRule="atLeast"/>
        </w:trPr>
        <w:tc>
          <w:tcPr>
            <w:tcW w:w="2880" w:type="dxa"/>
            <w:tcBorders>
              <w:top w:val="single" w:sz="4" w:space="0" w:color="000000"/>
              <w:start w:val="single" w:sz="4" w:space="0" w:color="000000"/>
              <w:bottom w:val="single" w:sz="4" w:space="0" w:color="000000"/>
              <w:end w:val="single" w:sz="4" w:space="0" w:color="000000"/>
            </w:tcBorders>
            <w:shd w:fill="FFFFFF" w:val="clear"/>
            <w:vAlign w:val="center"/>
          </w:tcPr>
          <w:p>
            <w:pPr>
              <w:pStyle w:val="Header"/>
              <w:rPr/>
            </w:pPr>
            <w:r>
              <w:rPr/>
              <w:t>Name</w:t>
            </w:r>
          </w:p>
        </w:tc>
        <w:tc>
          <w:tcPr>
            <w:tcW w:w="7560" w:type="dxa"/>
            <w:tcBorders>
              <w:top w:val="single" w:sz="4" w:space="0" w:color="000000"/>
              <w:start w:val="single" w:sz="4" w:space="0" w:color="000000"/>
              <w:bottom w:val="single" w:sz="4" w:space="0" w:color="000000"/>
              <w:end w:val="single" w:sz="4" w:space="0" w:color="000000"/>
            </w:tcBorders>
            <w:vAlign w:val="center"/>
          </w:tcPr>
          <w:p>
            <w:pPr>
              <w:pStyle w:val="NormalArial"/>
              <w:snapToGrid w:val="false"/>
              <w:rPr/>
            </w:pPr>
            <w:r>
              <w:rPr/>
              <w:t>Lester Crafton</w:t>
            </w:r>
          </w:p>
        </w:tc>
      </w:tr>
      <w:tr>
        <w:trPr>
          <w:trHeight w:val="350" w:hRule="atLeast"/>
        </w:trPr>
        <w:tc>
          <w:tcPr>
            <w:tcW w:w="2880" w:type="dxa"/>
            <w:tcBorders>
              <w:top w:val="single" w:sz="4" w:space="0" w:color="000000"/>
              <w:start w:val="single" w:sz="4" w:space="0" w:color="000000"/>
              <w:bottom w:val="single" w:sz="4" w:space="0" w:color="000000"/>
              <w:end w:val="single" w:sz="4" w:space="0" w:color="000000"/>
            </w:tcBorders>
            <w:shd w:fill="FFFFFF" w:val="clear"/>
            <w:vAlign w:val="center"/>
          </w:tcPr>
          <w:p>
            <w:pPr>
              <w:pStyle w:val="Header"/>
              <w:rPr/>
            </w:pPr>
            <w:r>
              <w:rPr/>
              <w:t>E-mail Address</w:t>
            </w:r>
          </w:p>
        </w:tc>
        <w:tc>
          <w:tcPr>
            <w:tcW w:w="7560" w:type="dxa"/>
            <w:tcBorders>
              <w:top w:val="single" w:sz="4" w:space="0" w:color="000000"/>
              <w:start w:val="single" w:sz="4" w:space="0" w:color="000000"/>
              <w:bottom w:val="single" w:sz="4" w:space="0" w:color="000000"/>
              <w:end w:val="single" w:sz="4" w:space="0" w:color="000000"/>
            </w:tcBorders>
            <w:vAlign w:val="center"/>
          </w:tcPr>
          <w:p>
            <w:pPr>
              <w:pStyle w:val="NormalArial"/>
              <w:snapToGrid w:val="false"/>
              <w:rPr/>
            </w:pPr>
            <w:r>
              <w:rPr/>
              <w:t>lester@ovanova.co</w:t>
            </w:r>
          </w:p>
        </w:tc>
      </w:tr>
      <w:tr>
        <w:trPr>
          <w:trHeight w:val="350" w:hRule="atLeast"/>
        </w:trPr>
        <w:tc>
          <w:tcPr>
            <w:tcW w:w="2880" w:type="dxa"/>
            <w:tcBorders>
              <w:top w:val="single" w:sz="4" w:space="0" w:color="000000"/>
              <w:start w:val="single" w:sz="4" w:space="0" w:color="000000"/>
              <w:bottom w:val="single" w:sz="4" w:space="0" w:color="000000"/>
              <w:end w:val="single" w:sz="4" w:space="0" w:color="000000"/>
            </w:tcBorders>
            <w:shd w:fill="FFFFFF" w:val="clear"/>
            <w:vAlign w:val="center"/>
          </w:tcPr>
          <w:p>
            <w:pPr>
              <w:pStyle w:val="Header"/>
              <w:rPr/>
            </w:pPr>
            <w:r>
              <w:rPr/>
              <w:t>Company</w:t>
            </w:r>
          </w:p>
        </w:tc>
        <w:tc>
          <w:tcPr>
            <w:tcW w:w="7560" w:type="dxa"/>
            <w:tcBorders>
              <w:top w:val="single" w:sz="4" w:space="0" w:color="000000"/>
              <w:start w:val="single" w:sz="4" w:space="0" w:color="000000"/>
              <w:bottom w:val="single" w:sz="4" w:space="0" w:color="000000"/>
              <w:end w:val="single" w:sz="4" w:space="0" w:color="000000"/>
            </w:tcBorders>
            <w:vAlign w:val="center"/>
          </w:tcPr>
          <w:p>
            <w:pPr>
              <w:pStyle w:val="NormalArial"/>
              <w:snapToGrid w:val="false"/>
              <w:rPr/>
            </w:pPr>
            <w:r>
              <w:rPr/>
              <w:t>Ovanova</w:t>
            </w:r>
          </w:p>
        </w:tc>
      </w:tr>
      <w:tr>
        <w:trPr>
          <w:trHeight w:val="350" w:hRule="atLeast"/>
        </w:trPr>
        <w:tc>
          <w:tcPr>
            <w:tcW w:w="2880" w:type="dxa"/>
            <w:tcBorders>
              <w:top w:val="single" w:sz="4" w:space="0" w:color="000000"/>
              <w:start w:val="single" w:sz="4" w:space="0" w:color="000000"/>
              <w:bottom w:val="single" w:sz="4" w:space="0" w:color="000000"/>
              <w:end w:val="single" w:sz="4" w:space="0" w:color="000000"/>
            </w:tcBorders>
            <w:shd w:fill="FFFFFF" w:val="clear"/>
            <w:vAlign w:val="center"/>
          </w:tcPr>
          <w:p>
            <w:pPr>
              <w:pStyle w:val="Header"/>
              <w:rPr/>
            </w:pPr>
            <w:r>
              <w:rPr/>
              <w:t>Phone Number</w:t>
            </w:r>
          </w:p>
        </w:tc>
        <w:tc>
          <w:tcPr>
            <w:tcW w:w="7560" w:type="dxa"/>
            <w:tcBorders>
              <w:top w:val="single" w:sz="4" w:space="0" w:color="000000"/>
              <w:start w:val="single" w:sz="4" w:space="0" w:color="000000"/>
              <w:bottom w:val="single" w:sz="4" w:space="0" w:color="000000"/>
              <w:end w:val="single" w:sz="4" w:space="0" w:color="000000"/>
            </w:tcBorders>
            <w:vAlign w:val="center"/>
          </w:tcPr>
          <w:p>
            <w:pPr>
              <w:pStyle w:val="NormalArial"/>
              <w:snapToGrid w:val="false"/>
              <w:rPr/>
            </w:pPr>
            <w:r>
              <w:rPr/>
              <w:t>919-423-5592</w:t>
            </w:r>
          </w:p>
        </w:tc>
      </w:tr>
      <w:tr>
        <w:trPr>
          <w:trHeight w:val="350" w:hRule="atLeast"/>
        </w:trPr>
        <w:tc>
          <w:tcPr>
            <w:tcW w:w="2880" w:type="dxa"/>
            <w:tcBorders>
              <w:top w:val="single" w:sz="4" w:space="0" w:color="000000"/>
              <w:start w:val="single" w:sz="4" w:space="0" w:color="000000"/>
              <w:bottom w:val="single" w:sz="4" w:space="0" w:color="000000"/>
              <w:end w:val="single" w:sz="4" w:space="0" w:color="000000"/>
            </w:tcBorders>
            <w:shd w:fill="FFFFFF" w:val="clear"/>
            <w:vAlign w:val="center"/>
          </w:tcPr>
          <w:p>
            <w:pPr>
              <w:pStyle w:val="Header"/>
              <w:rPr/>
            </w:pPr>
            <w:r>
              <w:rPr/>
              <w:t>Cell Number</w:t>
            </w:r>
          </w:p>
        </w:tc>
        <w:tc>
          <w:tcPr>
            <w:tcW w:w="7560" w:type="dxa"/>
            <w:tcBorders>
              <w:top w:val="single" w:sz="4" w:space="0" w:color="000000"/>
              <w:start w:val="single" w:sz="4" w:space="0" w:color="000000"/>
              <w:bottom w:val="single" w:sz="4" w:space="0" w:color="000000"/>
              <w:end w:val="single" w:sz="4" w:space="0" w:color="000000"/>
            </w:tcBorders>
            <w:vAlign w:val="center"/>
          </w:tcPr>
          <w:p>
            <w:pPr>
              <w:pStyle w:val="NormalArial"/>
              <w:snapToGrid w:val="false"/>
              <w:rPr/>
            </w:pPr>
            <w:r>
              <w:rPr/>
            </w:r>
          </w:p>
        </w:tc>
      </w:tr>
      <w:tr>
        <w:trPr>
          <w:trHeight w:val="350" w:hRule="atLeast"/>
        </w:trPr>
        <w:tc>
          <w:tcPr>
            <w:tcW w:w="2880" w:type="dxa"/>
            <w:tcBorders>
              <w:top w:val="single" w:sz="4" w:space="0" w:color="000000"/>
              <w:start w:val="single" w:sz="4" w:space="0" w:color="000000"/>
              <w:bottom w:val="single" w:sz="4" w:space="0" w:color="000000"/>
              <w:end w:val="single" w:sz="4" w:space="0" w:color="000000"/>
            </w:tcBorders>
            <w:shd w:fill="FFFFFF" w:val="clear"/>
            <w:vAlign w:val="center"/>
          </w:tcPr>
          <w:p>
            <w:pPr>
              <w:pStyle w:val="Header"/>
              <w:rPr/>
            </w:pPr>
            <w:r>
              <w:rPr/>
              <w:t>Market Segment</w:t>
            </w:r>
          </w:p>
        </w:tc>
        <w:tc>
          <w:tcPr>
            <w:tcW w:w="7560" w:type="dxa"/>
            <w:tcBorders>
              <w:top w:val="single" w:sz="4" w:space="0" w:color="000000"/>
              <w:start w:val="single" w:sz="4" w:space="0" w:color="000000"/>
              <w:bottom w:val="single" w:sz="4" w:space="0" w:color="000000"/>
              <w:end w:val="single" w:sz="4" w:space="0" w:color="000000"/>
            </w:tcBorders>
            <w:vAlign w:val="center"/>
          </w:tcPr>
          <w:p>
            <w:pPr>
              <w:pStyle w:val="NormalArial"/>
              <w:snapToGrid w:val="false"/>
              <w:rPr/>
            </w:pPr>
            <w:r>
              <w:rPr/>
            </w:r>
          </w:p>
        </w:tc>
      </w:tr>
    </w:tbl>
    <w:p>
      <w:pPr>
        <w:pStyle w:val="NormalArial"/>
        <w:rPr/>
      </w:pPr>
      <w:r>
        <w:rPr/>
      </w:r>
    </w:p>
    <w:p>
      <w:pPr>
        <w:pStyle w:val="NormalArial"/>
        <w:rPr/>
      </w:pPr>
      <w:r>
        <w:rPr/>
      </w:r>
    </w:p>
    <w:tbl>
      <w:tblPr>
        <w:tblW w:w="10440" w:type="dxa"/>
        <w:jc w:val="center"/>
        <w:tblInd w:w="0" w:type="dxa"/>
        <w:tblLayout w:type="fixed"/>
        <w:tblCellMar>
          <w:top w:w="0" w:type="dxa"/>
          <w:start w:w="108" w:type="dxa"/>
          <w:bottom w:w="0" w:type="dxa"/>
          <w:end w:w="108" w:type="dxa"/>
        </w:tblCellMar>
      </w:tblPr>
      <w:tblGrid>
        <w:gridCol w:w="10440"/>
      </w:tblGrid>
      <w:tr>
        <w:trPr>
          <w:trHeight w:val="422" w:hRule="atLeast"/>
        </w:trPr>
        <w:tc>
          <w:tcPr>
            <w:tcW w:w="10440" w:type="dxa"/>
            <w:tcBorders>
              <w:top w:val="single" w:sz="4" w:space="0" w:color="000000"/>
              <w:start w:val="single" w:sz="4" w:space="0" w:color="000000"/>
              <w:bottom w:val="single" w:sz="4" w:space="0" w:color="000000"/>
              <w:end w:val="single" w:sz="4" w:space="0" w:color="000000"/>
            </w:tcBorders>
            <w:vAlign w:val="center"/>
          </w:tcPr>
          <w:p>
            <w:pPr>
              <w:pStyle w:val="Header"/>
              <w:jc w:val="center"/>
              <w:rPr/>
            </w:pPr>
            <w:r>
              <w:rPr/>
              <w:t>Comments</w:t>
            </w:r>
          </w:p>
        </w:tc>
      </w:tr>
    </w:tbl>
    <w:p>
      <w:pPr>
        <w:pStyle w:val="NormalArial"/>
        <w:spacing w:after="120"/>
      </w:pPr>
      <w:r/>
    </w:p>
    <w:p>
      <w:pPr>
        <w:pStyle w:val="NormalArial"/>
        <w:spacing w:after="120"/>
      </w:pPr>
      <w:r>
        <w:t>Hello ERCOT Pilot Projects team,</w:t>
      </w:r>
    </w:p>
    <w:p>
      <w:pPr>
        <w:pStyle w:val="NormalArial"/>
        <w:spacing w:after="120"/>
      </w:pPr>
      <w:r>
        <w:t>Thank you for posting the ADER Pilot Phase 4 draft and opening it to stakeholder feedback. I'm Lester Crafton, co-founder of Ovanova. We design, build and operate solar-plus-storage systems for homes, farms and small businesses, and we run a growing number of small power plants across Texas:</w:t>
      </w:r>
    </w:p>
    <w:p>
      <w:pPr>
        <w:pStyle w:val="NormalArial"/>
        <w:tabs>
          <w:tab w:pos="720" w:val="left"/>
        </w:tabs>
        <w:spacing w:after="60"/>
        <w:ind w:left="720" w:hanging="360"/>
      </w:pPr>
      <w:r>
        <w:t>•</w:t>
        <w:tab/>
      </w:r>
      <w:r>
        <w:t>Rudy Perry, Whitehouse (Oncor), 41 kWh of storage</w:t>
      </w:r>
    </w:p>
    <w:p>
      <w:pPr>
        <w:pStyle w:val="NormalArial"/>
        <w:tabs>
          <w:tab w:pos="720" w:val="left"/>
        </w:tabs>
        <w:spacing w:after="60"/>
        <w:ind w:left="720" w:hanging="360"/>
      </w:pPr>
      <w:r>
        <w:t>•</w:t>
        <w:tab/>
      </w:r>
      <w:r>
        <w:t>Quentin and Jessica Roberts, Fischer (Pedernales Electric Cooperative), 19 kWh</w:t>
      </w:r>
    </w:p>
    <w:p>
      <w:pPr>
        <w:pStyle w:val="NormalArial"/>
        <w:tabs>
          <w:tab w:pos="720" w:val="left"/>
        </w:tabs>
        <w:spacing w:after="60"/>
        <w:ind w:left="720" w:hanging="360"/>
      </w:pPr>
      <w:r>
        <w:t>•</w:t>
        <w:tab/>
      </w:r>
      <w:r>
        <w:t>Matt Meredith, Tyler (Oncor), 19 kWh</w:t>
      </w:r>
    </w:p>
    <w:p>
      <w:pPr>
        <w:pStyle w:val="NormalArial"/>
        <w:tabs>
          <w:tab w:pos="720" w:val="left"/>
        </w:tabs>
        <w:spacing w:after="60"/>
        <w:ind w:left="720" w:hanging="360"/>
      </w:pPr>
      <w:r>
        <w:t>•</w:t>
        <w:tab/>
      </w:r>
      <w:r>
        <w:t>The Boston Runner, Tyler (Oncor), 29 kWh</w:t>
      </w:r>
    </w:p>
    <w:p>
      <w:pPr>
        <w:pStyle w:val="NormalArial"/>
        <w:tabs>
          <w:tab w:pos="720" w:val="left"/>
        </w:tabs>
        <w:spacing w:after="60"/>
        <w:ind w:left="720" w:hanging="360"/>
      </w:pPr>
      <w:r>
        <w:t>•</w:t>
        <w:tab/>
      </w:r>
      <w:r>
        <w:t>The McKenzie home, Spring (CenterPoint), 19 kWh</w:t>
      </w:r>
    </w:p>
    <w:p>
      <w:pPr>
        <w:pStyle w:val="NormalArial"/>
        <w:tabs>
          <w:tab w:pos="720" w:val="left"/>
        </w:tabs>
        <w:spacing w:after="60"/>
        <w:ind w:left="720" w:hanging="360"/>
      </w:pPr>
      <w:r>
        <w:t>•</w:t>
        <w:tab/>
      </w:r>
      <w:r>
        <w:t>Isaac Yonemoto, Austin, 15 kWh</w:t>
      </w:r>
    </w:p>
    <w:p>
      <w:pPr>
        <w:pStyle w:val="NormalArial"/>
        <w:tabs>
          <w:tab w:pos="720" w:val="left"/>
        </w:tabs>
        <w:spacing w:after="60"/>
        <w:ind w:left="720" w:hanging="360"/>
      </w:pPr>
      <w:r>
        <w:t>•</w:t>
        <w:tab/>
      </w:r>
      <w:r>
        <w:t>Solar sites in Jarrell, Bryan and Tyler that can add storage</w:t>
      </w:r>
    </w:p>
    <w:p>
      <w:pPr>
        <w:pStyle w:val="NormalArial"/>
        <w:spacing w:after="120"/>
      </w:pPr>
      <w:r>
        <w:t>We already have aggregation software for our customers. Our aggregation platform monitors and controls these systems directly and can easily plug into any scheduling or dispatch system ERCOT requires. The only thing we don't have is 1 MW behind a single feeder or substation transformer.</w:t>
      </w:r>
    </w:p>
    <w:p>
      <w:pPr>
        <w:pStyle w:val="NormalArial"/>
        <w:keepNext/>
        <w:spacing w:after="120" w:before="240"/>
      </w:pPr>
      <w:r>
        <w:rPr>
          <w:b/>
        </w:rPr>
        <w:t>1. The 1 MW-per-transformer minimum shuts out the Texans who own their own batteries</w:t>
      </w:r>
    </w:p>
    <w:p>
      <w:pPr>
        <w:pStyle w:val="NormalArial"/>
        <w:keepNext/>
        <w:spacing w:after="120"/>
      </w:pPr>
      <w:r>
        <w:rPr>
          <w:i/>
        </w:rPr>
        <w:t>Governing Document reference: Section 5.a, Basic Program Parameters (ADESR definition: devices mapped to the same CIM Load/substation transformer; minimum aggregate injection capability of 1 MW). Related: Section 5.c, Eligibility and Qualification (ADESR-specific DOTA form covering one CIM Load); Section 5.d, Metering, Telemetry, and Market Submissions (ADESR device-level telemetry).</w:t>
      </w:r>
    </w:p>
    <w:p>
      <w:pPr>
        <w:pStyle w:val="NormalArial"/>
        <w:keepNext/>
        <w:spacing w:after="60"/>
      </w:pPr>
      <w:r>
        <w:rPr>
          <w:b/>
          <w:u w:val="single"/>
        </w:rPr>
        <w:t>Comment:</w:t>
      </w:r>
    </w:p>
    <w:p>
      <w:pPr>
        <w:pStyle w:val="NormalArial"/>
        <w:spacing w:after="120"/>
      </w:pPr>
      <w:r>
        <w:t>The new ADESR option requires at least 1 MW of aggregate injection behind a single substation transformer. Homeowner and small-business batteries are never clustered that way. They're spread across many feeders and transformers, so no fleet of independently owned systems will ever meet that threshold. In practice, the rule lets in only companies that already hold large, concentrated contracts at particular substations.</w:t>
      </w:r>
    </w:p>
    <w:p>
      <w:pPr>
        <w:pStyle w:val="NormalArial"/>
        <w:spacing w:after="120"/>
      </w:pPr>
      <w:r>
        <w:t>It's a good thing to find ways to support people who do own more than 1 MW, and we're not disputing that. Those programs are useful and good for the grid. But this is Texas, and Texans have a right to contribute. We believe in deregulation, and this rule as written seems to set up a small group of players for a centrally, corporately controlled regime under the banner of distributed energy resources and grid resilience.</w:t>
      </w:r>
    </w:p>
    <w:p>
      <w:pPr>
        <w:pStyle w:val="NormalArial"/>
        <w:spacing w:after="120"/>
      </w:pPr>
      <w:r>
        <w:t>There are three likely reasons for the threshold, and none of them holds up:</w:t>
      </w:r>
    </w:p>
    <w:p>
      <w:pPr>
        <w:pStyle w:val="NormalArial"/>
        <w:tabs>
          <w:tab w:pos="720" w:val="left"/>
        </w:tabs>
        <w:spacing w:after="60"/>
        <w:ind w:left="720" w:hanging="360"/>
      </w:pPr>
      <w:r>
        <w:t>•</w:t>
        <w:tab/>
      </w:r>
      <w:r>
        <w:rPr>
          <w:b/>
        </w:rPr>
        <w:t>Administrative ease.</w:t>
      </w:r>
      <w:r>
        <w:t xml:space="preserve"> If the concern is managing many small participants, that burden is shrinking fast. Software can now handle registration forms, telemetry validation and settings requests at almost no cost. Administrative convenience isn't a good enough reason to keep battery owners out.</w:t>
      </w:r>
    </w:p>
    <w:p>
      <w:pPr>
        <w:pStyle w:val="NormalArial"/>
        <w:tabs>
          <w:tab w:pos="720" w:val="left"/>
        </w:tabs>
        <w:spacing w:after="60"/>
        <w:ind w:left="720" w:hanging="360"/>
      </w:pPr>
      <w:r>
        <w:t>•</w:t>
        <w:tab/>
      </w:r>
      <w:r>
        <w:rPr>
          <w:b/>
        </w:rPr>
        <w:t>Market structure.</w:t>
      </w:r>
      <w:r>
        <w:t xml:space="preserve"> If the threshold is meant to push small owners through retail providers or third-party aggregators, it adds middlemen we'd rather avoid. Every added intermediary is another cloud platform and another path into the inverter. Each layer takes a cut of the value that should go to the people who paid for the battery. And routing dispatch through a third party adds delay, failure points and decisions made by people without field knowledge of the equipment.</w:t>
      </w:r>
    </w:p>
    <w:p>
      <w:pPr>
        <w:pStyle w:val="NormalArial"/>
        <w:tabs>
          <w:tab w:pos="720" w:val="left"/>
        </w:tabs>
        <w:spacing w:after="60"/>
        <w:ind w:left="720" w:hanging="360"/>
      </w:pPr>
      <w:r>
        <w:t>•</w:t>
        <w:tab/>
      </w:r>
      <w:r>
        <w:rPr>
          <w:b/>
        </w:rPr>
        <w:t>Security.</w:t>
      </w:r>
      <w:r>
        <w:t xml:space="preserve"> If the threshold is meant to protect the grid, it's pointed at the wrong variable. System size has nothing to do with how securely a device is controlled (more on this below).</w:t>
      </w:r>
    </w:p>
    <w:p>
      <w:pPr>
        <w:pStyle w:val="NormalArial"/>
        <w:keepNext/>
        <w:spacing w:after="60"/>
      </w:pPr>
      <w:r>
        <w:rPr>
          <w:b/>
          <w:u w:val="single"/>
        </w:rPr>
        <w:t>Proposed change:</w:t>
      </w:r>
    </w:p>
    <w:p>
      <w:pPr>
        <w:pStyle w:val="NormalArial"/>
        <w:spacing w:after="120"/>
      </w:pPr>
      <w:r>
        <w:t>We respectfully ask ERCOT to allow a special exception, or a pilot sub-category, that lets a single Resource Entity register and dispatch a portfolio of small distributed batteries across multiple CIM Loads and utilities. It could use portfolio-level telemetry built from device-level data, as the draft already describes for ADESRs. Ultimately, anyone who owns a battery should be able to register and contribute. We'd gladly serve as the test case.</w:t>
      </w:r>
    </w:p>
    <w:p>
      <w:pPr>
        <w:pStyle w:val="NormalArial"/>
        <w:keepNext/>
        <w:spacing w:after="120" w:before="240"/>
      </w:pPr>
      <w:r>
        <w:rPr>
          <w:b/>
        </w:rPr>
        <w:t>2. Regulate the security variables that actually matter</w:t>
      </w:r>
    </w:p>
    <w:p>
      <w:pPr>
        <w:pStyle w:val="NormalArial"/>
        <w:keepNext/>
        <w:spacing w:after="120"/>
      </w:pPr>
      <w:r>
        <w:rPr>
          <w:i/>
        </w:rPr>
        <w:t>Governing Document reference: No cybersecurity provision identified in the Phase 4 draft. Proposed addition to Section 5.c, Eligibility and Qualification (applicable to every ADESR and aggregation participant, regardless of size), with related Section 5.d, Metering, Telemetry, and Market Submissions.</w:t>
      </w:r>
    </w:p>
    <w:p>
      <w:pPr>
        <w:pStyle w:val="NormalArial"/>
        <w:keepNext/>
        <w:spacing w:after="60"/>
      </w:pPr>
      <w:r>
        <w:rPr>
          <w:b/>
          <w:u w:val="single"/>
        </w:rPr>
        <w:t>Comment:</w:t>
      </w:r>
    </w:p>
    <w:p>
      <w:pPr>
        <w:pStyle w:val="NormalArial"/>
        <w:spacing w:after="120"/>
      </w:pPr>
      <w:r>
        <w:t>We're a leading DER cybersecurity team, and cybersecurity isn't getting the weight it deserves in aggregated DER. Working with BC Security, Ovanova's team has reported vulnerabilities in widely deployed solar and storage equipment through CISA's coordinated disclosure process. Ovanova is credited in CISA ICS advisories ICSA-25-217-02 (Tigo Energy Cloud Connect Advanced) and ICSA-25-219-07 (EG4 inverters), which together cover seven CVEs. BC Security presented the research at DEF CON 33, and we've since deployed field systems that mitigate these threats.</w:t>
      </w:r>
    </w:p>
    <w:p>
      <w:pPr>
        <w:pStyle w:val="NormalArial"/>
        <w:spacing w:after="120"/>
      </w:pPr>
      <w:r>
        <w:t>The problems we found include:</w:t>
      </w:r>
    </w:p>
    <w:p>
      <w:pPr>
        <w:pStyle w:val="NormalArial"/>
        <w:tabs>
          <w:tab w:pos="720" w:val="left"/>
        </w:tabs>
        <w:spacing w:after="60"/>
        <w:ind w:left="720" w:hanging="360"/>
      </w:pPr>
      <w:r>
        <w:t>•</w:t>
        <w:tab/>
      </w:r>
      <w:r>
        <w:t>Control commands sent in plaintext</w:t>
      </w:r>
    </w:p>
    <w:p>
      <w:pPr>
        <w:pStyle w:val="NormalArial"/>
        <w:tabs>
          <w:tab w:pos="720" w:val="left"/>
        </w:tabs>
        <w:spacing w:after="60"/>
        <w:ind w:left="720" w:hanging="360"/>
      </w:pPr>
      <w:r>
        <w:t>•</w:t>
        <w:tab/>
      </w:r>
      <w:r>
        <w:t>Firmware installed without integrity checks</w:t>
      </w:r>
    </w:p>
    <w:p>
      <w:pPr>
        <w:pStyle w:val="NormalArial"/>
        <w:tabs>
          <w:tab w:pos="720" w:val="left"/>
        </w:tabs>
        <w:spacing w:after="60"/>
        <w:ind w:left="720" w:hanging="360"/>
      </w:pPr>
      <w:r>
        <w:t>•</w:t>
        <w:tab/>
      </w:r>
      <w:r>
        <w:t>Hard-coded or brute-forceable credentials</w:t>
      </w:r>
    </w:p>
    <w:p>
      <w:pPr>
        <w:pStyle w:val="NormalArial"/>
        <w:tabs>
          <w:tab w:pos="720" w:val="left"/>
        </w:tabs>
        <w:spacing w:after="60"/>
        <w:ind w:left="720" w:hanging="360"/>
      </w:pPr>
      <w:r>
        <w:t>•</w:t>
        <w:tab/>
      </w:r>
      <w:r>
        <w:t>Cloud platforms that a single compromise could use to reach thousands of devices</w:t>
      </w:r>
    </w:p>
    <w:p>
      <w:pPr>
        <w:pStyle w:val="NormalArial"/>
        <w:spacing w:after="120"/>
      </w:pPr>
      <w:r>
        <w:t>These risks exist at 10 kWh and at 10 MW alike. A large aggregator running thousands of insecure devices through one cloud platform is a much bigger target than a small, well-secured fleet.</w:t>
      </w:r>
    </w:p>
    <w:p>
      <w:pPr>
        <w:pStyle w:val="NormalArial"/>
        <w:keepNext/>
        <w:spacing w:after="60"/>
      </w:pPr>
      <w:r>
        <w:rPr>
          <w:b/>
          <w:u w:val="single"/>
        </w:rPr>
        <w:t>Proposed change:</w:t>
      </w:r>
    </w:p>
    <w:p>
      <w:pPr>
        <w:pStyle w:val="NormalArial"/>
        <w:spacing w:after="120"/>
      </w:pPr>
      <w:r>
        <w:t>We recommend Phase 4 set baseline security requirements for every ADESR and aggregation participant, regardless of size:</w:t>
      </w:r>
    </w:p>
    <w:p>
      <w:pPr>
        <w:pStyle w:val="NormalArial"/>
        <w:tabs>
          <w:tab w:pos="720" w:val="left"/>
        </w:tabs>
        <w:spacing w:after="60"/>
        <w:ind w:left="720" w:hanging="360"/>
      </w:pPr>
      <w:r>
        <w:t>•</w:t>
        <w:tab/>
      </w:r>
      <w:r>
        <w:t>Encrypted, authenticated control paths</w:t>
      </w:r>
    </w:p>
    <w:p>
      <w:pPr>
        <w:pStyle w:val="NormalArial"/>
        <w:tabs>
          <w:tab w:pos="720" w:val="left"/>
        </w:tabs>
        <w:spacing w:after="60"/>
        <w:ind w:left="720" w:hanging="360"/>
      </w:pPr>
      <w:r>
        <w:t>•</w:t>
        <w:tab/>
      </w:r>
      <w:r>
        <w:t>Signed firmware</w:t>
      </w:r>
    </w:p>
    <w:p>
      <w:pPr>
        <w:pStyle w:val="NormalArial"/>
        <w:tabs>
          <w:tab w:pos="720" w:val="left"/>
        </w:tabs>
        <w:spacing w:after="60"/>
        <w:ind w:left="720" w:hanging="360"/>
      </w:pPr>
      <w:r>
        <w:t>•</w:t>
        <w:tab/>
      </w:r>
      <w:r>
        <w:t>No default or hard-coded credentials</w:t>
      </w:r>
    </w:p>
    <w:p>
      <w:pPr>
        <w:pStyle w:val="NormalArial"/>
        <w:tabs>
          <w:tab w:pos="720" w:val="left"/>
        </w:tabs>
        <w:spacing w:after="60"/>
        <w:ind w:left="720" w:hanging="360"/>
      </w:pPr>
      <w:r>
        <w:t>•</w:t>
        <w:tab/>
      </w:r>
      <w:r>
        <w:t>A clear process for reporting and fixing vulnerabilities</w:t>
      </w:r>
    </w:p>
    <w:p>
      <w:pPr>
        <w:pStyle w:val="NormalArial"/>
        <w:spacing w:after="120"/>
      </w:pPr>
      <w:r>
        <w:t>Fewer intermediaries between ERCOT and the device also means fewer places for things to go wrong.</w:t>
      </w:r>
    </w:p>
    <w:p>
      <w:pPr>
        <w:pStyle w:val="NormalArial"/>
        <w:spacing w:after="120"/>
      </w:pPr>
      <w:r>
        <w:t>We'd welcome an individual meeting with ERCOT staff on the draft and are happy to share technical detail.</w:t>
      </w:r>
    </w:p>
    <w:p>
      <w:pPr>
        <w:pStyle w:val="NormalArial"/>
        <w:spacing w:after="120"/>
      </w:pPr>
      <w:r>
        <w:t>Thank you for your consideration.</w:t>
      </w:r>
    </w:p>
    <w:p>
      <w:pPr>
        <w:pStyle w:val="NormalArial"/>
        <w:spacing w:after="120"/>
      </w:pPr>
      <w:r>
        <w:t>Lester Crafton, Co-founder, Ovanova</w:t>
      </w:r>
    </w:p>
    <w:sectPr>
      <w:headerReference w:type="default" r:id="rId2"/>
      <w:footerReference w:type="default" r:id="rId3"/>
      <w:type w:val="nextPage"/>
      <w:pgSz w:w="12240" w:h="15840"/>
      <w:pgMar w:left="1440" w:right="1440" w:gutter="0" w:header="72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ourier New">
    <w:charset w:val="00" w:characterSet="windows-1252"/>
    <w:family w:val="modern"/>
    <w:pitch w:val="default"/>
  </w:font>
  <w:font w:name="Wingdings">
    <w:charset w:val="02"/>
    <w:family w:val="auto"/>
    <w:pitch w:val="variable"/>
  </w:font>
  <w:font w:name="Liberation Sans">
    <w:altName w:val="Arial"/>
    <w:charset w:val="01" w:characterSet="utf-8"/>
    <w:family w:val="swiss"/>
    <w:pitch w:val="variable"/>
  </w:font>
  <w:font w:name="Tahom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320"/>
        <w:tab w:val="clear" w:pos="8640"/>
        <w:tab w:val="right" w:pos="9360" w:leader="none"/>
      </w:tabs>
      <w:rPr>
        <w:rFonts w:ascii="Arial" w:hAnsi="Arial" w:cs="Arial"/>
        <w:sz w:val="18"/>
      </w:rPr>
    </w:pPr>
    <w:r>
      <w:rPr>
        <w:rFonts w:cs="Arial" w:ascii="Arial" w:hAnsi="Arial"/>
        <w:sz w:val="18"/>
      </w:rPr>
      <w:t>ADER Pilot Project - Phase 4 Governing Document Comment Form</w:t>
      <w:tab/>
      <w:t xml:space="preserve">Page </w:t>
    </w:r>
    <w:r>
      <w:rPr>
        <w:rFonts w:cs="Arial" w:ascii="Arial" w:hAnsi="Arial"/>
        <w:sz w:val="18"/>
      </w:rPr>
      <w:fldChar w:fldCharType="begin"/>
    </w:r>
    <w:r>
      <w:rPr>
        <w:sz w:val="18"/>
        <w:rFonts w:cs="Arial" w:ascii="Arial" w:hAnsi="Arial"/>
      </w:rPr>
      <w:instrText xml:space="preserve"> PAGE </w:instrText>
    </w:r>
    <w:r>
      <w:rPr>
        <w:sz w:val="18"/>
        <w:rFonts w:cs="Arial" w:ascii="Arial" w:hAnsi="Arial"/>
      </w:rPr>
      <w:fldChar w:fldCharType="separate"/>
    </w:r>
    <w:r>
      <w:rPr>
        <w:sz w:val="18"/>
        <w:rFonts w:cs="Arial" w:ascii="Arial" w:hAnsi="Arial"/>
      </w:rPr>
      <w:t>1</w:t>
    </w:r>
    <w:r>
      <w:rPr>
        <w:sz w:val="18"/>
        <w:rFonts w:cs="Arial" w:ascii="Arial" w:hAnsi="Arial"/>
      </w:rPr>
      <w:fldChar w:fldCharType="end"/>
    </w:r>
    <w:r>
      <w:rPr>
        <w:rFonts w:cs="Arial" w:ascii="Arial" w:hAnsi="Arial"/>
        <w:sz w:val="18"/>
      </w:rPr>
      <w:t xml:space="preserve"> of </w:t>
    </w:r>
    <w:r>
      <w:rPr>
        <w:rFonts w:cs="Arial" w:ascii="Arial" w:hAnsi="Arial"/>
        <w:sz w:val="18"/>
      </w:rPr>
      <w:fldChar w:fldCharType="begin"/>
    </w:r>
    <w:r>
      <w:rPr>
        <w:sz w:val="18"/>
        <w:rFonts w:cs="Arial" w:ascii="Arial" w:hAnsi="Arial"/>
      </w:rPr>
      <w:instrText xml:space="preserve"> NUMPAGES \* ARABIC </w:instrText>
    </w:r>
    <w:r>
      <w:rPr>
        <w:sz w:val="18"/>
        <w:rFonts w:cs="Arial" w:ascii="Arial" w:hAnsi="Arial"/>
      </w:rPr>
      <w:fldChar w:fldCharType="separate"/>
    </w:r>
    <w:r>
      <w:rPr>
        <w:sz w:val="18"/>
        <w:rFonts w:cs="Arial" w:ascii="Arial" w:hAnsi="Arial"/>
      </w:rPr>
      <w:t>1</w:t>
    </w:r>
    <w:r>
      <w:rPr>
        <w:sz w:val="18"/>
        <w:rFonts w:cs="Arial" w:ascii="Arial" w:hAnsi="Arial"/>
      </w:rPr>
      <w:fldChar w:fldCharType="end"/>
    </w:r>
  </w:p>
  <w:p>
    <w:pPr>
      <w:pStyle w:val="Footer"/>
      <w:tabs>
        <w:tab w:val="clear" w:pos="4320"/>
        <w:tab w:val="clear" w:pos="8640"/>
        <w:tab w:val="right" w:pos="9360" w:leader="none"/>
      </w:tabs>
      <w:rPr>
        <w:rFonts w:ascii="Arial" w:hAnsi="Arial" w:cs="Arial"/>
        <w:sz w:val="18"/>
      </w:rPr>
    </w:pPr>
    <w:r>
      <w:rPr>
        <w:rFonts w:cs="Arial" w:ascii="Arial" w:hAnsi="Arial"/>
        <w:sz w:val="18"/>
      </w:rPr>
      <w:t>PUBLIC</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sz w:val="32"/>
      </w:rPr>
      <w:t>ADER Pilot Project – Phase 4 Governing Document Comments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432"/>
        </w:tabs>
        <w:ind w:start="432" w:hanging="432"/>
      </w:pPr>
      <w:rPr/>
    </w:lvl>
    <w:lvl w:ilvl="1">
      <w:start w:val="1"/>
      <w:pStyle w:val="Heading2"/>
      <w:numFmt w:val="decimal"/>
      <w:lvlText w:val="%1.%2"/>
      <w:lvlJc w:val="start"/>
      <w:pPr>
        <w:tabs>
          <w:tab w:val="num" w:pos="576"/>
        </w:tabs>
        <w:ind w:start="576" w:hanging="576"/>
      </w:pPr>
      <w:rPr/>
    </w:lvl>
    <w:lvl w:ilvl="2">
      <w:start w:val="1"/>
      <w:pStyle w:val="Heading3"/>
      <w:numFmt w:val="decimal"/>
      <w:lvlText w:val="%1.%2.%3"/>
      <w:lvlJc w:val="start"/>
      <w:pPr>
        <w:tabs>
          <w:tab w:val="num" w:pos="720"/>
        </w:tabs>
        <w:ind w:start="720" w:hanging="720"/>
      </w:pPr>
      <w:rPr/>
    </w:lvl>
    <w:lvl w:ilvl="3">
      <w:start w:val="1"/>
      <w:pStyle w:val="Heading4"/>
      <w:numFmt w:val="decimal"/>
      <w:lvlText w:val="%1.%2.%3.%4"/>
      <w:lvlJc w:val="start"/>
      <w:pPr>
        <w:tabs>
          <w:tab w:val="num" w:pos="864"/>
        </w:tabs>
        <w:ind w:start="864" w:hanging="864"/>
      </w:pPr>
      <w:rPr/>
    </w:lvl>
    <w:lvl w:ilvl="4">
      <w:start w:val="1"/>
      <w:numFmt w:val="decimal"/>
      <w:lvlText w:val="%1.%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abstractNum w:abstractNumId="2">
    <w:lvl w:ilvl="0">
      <w:start w:val="1"/>
      <w:numFmt w:val="bullet"/>
      <w:lvlText w:val=""/>
      <w:lvlJc w:val="start"/>
      <w:pPr>
        <w:tabs>
          <w:tab w:val="num" w:pos="1080"/>
        </w:tabs>
        <w:ind w:start="1080" w:hanging="360"/>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spacing w:before="0" w:after="240"/>
      <w:outlineLvl w:val="0"/>
    </w:pPr>
    <w:rPr>
      <w:b/>
      <w:caps/>
      <w:szCs w:val="20"/>
    </w:rPr>
  </w:style>
  <w:style w:type="paragraph" w:styleId="Heading2">
    <w:name w:val="heading 2"/>
    <w:basedOn w:val="Normal"/>
    <w:next w:val="Normal"/>
    <w:qFormat/>
    <w:pPr>
      <w:keepNext w:val="true"/>
      <w:numPr>
        <w:ilvl w:val="1"/>
        <w:numId w:val="1"/>
      </w:numPr>
      <w:spacing w:before="240" w:after="240"/>
      <w:outlineLvl w:val="1"/>
    </w:pPr>
    <w:rPr>
      <w:b/>
      <w:szCs w:val="20"/>
    </w:rPr>
  </w:style>
  <w:style w:type="paragraph" w:styleId="Heading3">
    <w:name w:val="heading 3"/>
    <w:basedOn w:val="Normal"/>
    <w:next w:val="Normal"/>
    <w:qFormat/>
    <w:pPr>
      <w:keepNext w:val="true"/>
      <w:numPr>
        <w:ilvl w:val="2"/>
        <w:numId w:val="1"/>
      </w:numPr>
      <w:spacing w:before="120" w:after="120"/>
      <w:outlineLvl w:val="2"/>
    </w:pPr>
    <w:rPr>
      <w:b/>
      <w:bCs/>
      <w:i/>
      <w:iCs/>
      <w:szCs w:val="20"/>
    </w:rPr>
  </w:style>
  <w:style w:type="paragraph" w:styleId="Heading4">
    <w:name w:val="heading 4"/>
    <w:basedOn w:val="Normal"/>
    <w:next w:val="Normal"/>
    <w:qFormat/>
    <w:pPr>
      <w:keepNext w:val="true"/>
      <w:widowControl w:val="false"/>
      <w:numPr>
        <w:ilvl w:val="3"/>
        <w:numId w:val="1"/>
      </w:numPr>
      <w:spacing w:before="360" w:after="240"/>
      <w:outlineLvl w:val="3"/>
    </w:pPr>
    <w:rPr>
      <w:b/>
      <w:bCs/>
      <w:szCs w:val="20"/>
    </w:rPr>
  </w:style>
  <w:style w:type="paragraph" w:styleId="Heading5">
    <w:name w:val="heading 5"/>
    <w:basedOn w:val="Normal"/>
    <w:next w:val="Normal"/>
    <w:qFormat/>
    <w:pPr>
      <w:spacing w:before="240" w:after="60"/>
      <w:outlineLvl w:val="4"/>
    </w:pPr>
    <w:rPr>
      <w:b/>
      <w:i/>
      <w:sz w:val="26"/>
      <w:szCs w:val="20"/>
    </w:rPr>
  </w:style>
  <w:style w:type="paragraph" w:styleId="Heading6">
    <w:name w:val="heading 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cs="Arial"/>
      <w:sz w:val="22"/>
      <w:szCs w:val="20"/>
    </w:rPr>
  </w:style>
  <w:style w:type="character" w:styleId="WW8Num1z0">
    <w:name w:val="WW8Num1z0"/>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CommentReference">
    <w:name w:val="Comment Reference"/>
    <w:qFormat/>
    <w:rPr>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before="120" w:after="120"/>
    </w:pPr>
    <w:rPr>
      <w:rFonts w:ascii="Times New Roman" w:hAnsi="Times New Roman" w:cs="Times New Roman"/>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rFonts w:ascii="Arial" w:hAnsi="Arial" w:cs="Arial"/>
      <w:b/>
      <w:bCs/>
    </w:rPr>
  </w:style>
  <w:style w:type="paragraph" w:styleId="Footer">
    <w:name w:val="footer"/>
    <w:basedOn w:val="Normal"/>
    <w:pPr>
      <w:tabs>
        <w:tab w:val="clear" w:pos="720"/>
        <w:tab w:val="center" w:pos="4320" w:leader="none"/>
        <w:tab w:val="right" w:pos="8640" w:leader="none"/>
      </w:tabs>
    </w:pPr>
    <w:rPr/>
  </w:style>
  <w:style w:type="paragraph" w:styleId="TXUNormal">
    <w:name w:val="TXUNormal"/>
    <w:qFormat/>
    <w:pPr>
      <w:widowControl/>
      <w:bidi w:val="0"/>
      <w:spacing w:before="0" w:after="120"/>
    </w:pPr>
    <w:rPr>
      <w:rFonts w:ascii="Times New Roman" w:hAnsi="Times New Roman" w:eastAsia="Times New Roman" w:cs="Times New Roman"/>
      <w:color w:val="auto"/>
      <w:sz w:val="20"/>
      <w:szCs w:val="20"/>
      <w:lang w:val="en-US" w:bidi="ar-SA" w:eastAsia="zh-CN"/>
    </w:rPr>
  </w:style>
  <w:style w:type="paragraph" w:styleId="TXUHeader">
    <w:name w:val="TXUHeader"/>
    <w:basedOn w:val="TXUNormal"/>
    <w:qFormat/>
    <w:pPr>
      <w:tabs>
        <w:tab w:val="clear" w:pos="720"/>
        <w:tab w:val="right" w:pos="9360" w:leader="none"/>
      </w:tabs>
      <w:spacing w:before="0" w:after="0"/>
    </w:pPr>
    <w:rPr>
      <w:sz w:val="16"/>
      <w:lang w:val="en-US" w:eastAsia="en-US"/>
    </w:rPr>
  </w:style>
  <w:style w:type="paragraph" w:styleId="TXUHeaderForm">
    <w:name w:val="TXUHeaderForm"/>
    <w:basedOn w:val="TXUHeader"/>
    <w:next w:val="Normal"/>
    <w:qFormat/>
    <w:pPr/>
    <w:rPr>
      <w:sz w:val="24"/>
    </w:rPr>
  </w:style>
  <w:style w:type="paragraph" w:styleId="TXUSubject">
    <w:name w:val="TXUSubject"/>
    <w:basedOn w:val="TXUNormal"/>
    <w:next w:val="TXUNormal"/>
    <w:qFormat/>
    <w:pPr>
      <w:spacing w:before="0" w:after="240"/>
    </w:pPr>
    <w:rPr>
      <w:b/>
    </w:rPr>
  </w:style>
  <w:style w:type="paragraph" w:styleId="TXUFooter">
    <w:name w:val="TXUFooter"/>
    <w:basedOn w:val="TXUNormal"/>
    <w:qFormat/>
    <w:pPr>
      <w:pBdr>
        <w:top w:val="single" w:sz="4" w:space="1" w:color="000000"/>
      </w:pBdr>
      <w:tabs>
        <w:tab w:val="clear" w:pos="720"/>
        <w:tab w:val="center" w:pos="4536" w:leader="none"/>
        <w:tab w:val="right" w:pos="9360" w:leader="none"/>
      </w:tabs>
      <w:spacing w:before="0" w:after="0"/>
    </w:pPr>
    <w:rPr>
      <w:sz w:val="16"/>
    </w:rPr>
  </w:style>
  <w:style w:type="paragraph" w:styleId="TXUFooterPage">
    <w:name w:val="TXUFooterPage"/>
    <w:basedOn w:val="TXUFooter"/>
    <w:next w:val="TXUFooter"/>
    <w:qFormat/>
    <w:pPr/>
    <w:rPr>
      <w:sz w:val="20"/>
    </w:rPr>
  </w:style>
  <w:style w:type="paragraph" w:styleId="Comments">
    <w:name w:val="Comments"/>
    <w:basedOn w:val="Normal"/>
    <w:qFormat/>
    <w:pPr>
      <w:pBdr>
        <w:top w:val="single" w:sz="4" w:space="1" w:color="000000"/>
        <w:left w:val="single" w:sz="4" w:space="4" w:color="000000"/>
        <w:bottom w:val="single" w:sz="4" w:space="1" w:color="000000"/>
        <w:right w:val="single" w:sz="4" w:space="4" w:color="000000"/>
      </w:pBdr>
      <w:shd w:fill="CCCCCC" w:val="clear"/>
      <w:spacing w:before="120" w:after="120"/>
      <w:ind w:hanging="0" w:start="720" w:end="720"/>
    </w:pPr>
    <w:rPr>
      <w:szCs w:val="20"/>
    </w:rPr>
  </w:style>
  <w:style w:type="paragraph" w:styleId="BodyTextIndent">
    <w:name w:val="Body Text Indent"/>
    <w:basedOn w:val="Normal"/>
    <w:pPr>
      <w:spacing w:before="120" w:after="120"/>
      <w:ind w:hanging="0" w:start="720" w:end="0"/>
    </w:pPr>
    <w:rPr/>
  </w:style>
  <w:style w:type="paragraph" w:styleId="Bullet">
    <w:name w:val="Bullet"/>
    <w:basedOn w:val="Normal"/>
    <w:qFormat/>
    <w:pPr>
      <w:numPr>
        <w:ilvl w:val="0"/>
        <w:numId w:val="2"/>
      </w:numPr>
      <w:spacing w:before="60" w:after="120"/>
    </w:pPr>
    <w:rPr>
      <w:szCs w:val="20"/>
    </w:rPr>
  </w:style>
  <w:style w:type="paragraph" w:styleId="BalloonText">
    <w:name w:val="Balloon Text"/>
    <w:basedOn w:val="Normal"/>
    <w:qFormat/>
    <w:pPr/>
    <w:rPr>
      <w:rFonts w:ascii="Tahoma" w:hAnsi="Tahoma" w:cs="Tahoma"/>
      <w:sz w:val="16"/>
      <w:szCs w:val="16"/>
    </w:rPr>
  </w:style>
  <w:style w:type="paragraph" w:styleId="NormalArial">
    <w:name w:val="Normal+Arial"/>
    <w:basedOn w:val="Normal"/>
    <w:qFormat/>
    <w:pPr/>
    <w:rPr>
      <w:rFonts w:ascii="Arial" w:hAnsi="Arial" w:cs="Arial"/>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2026-10-29T17:04:00Z</dcterms:created>
  <dc:creator>ERCOT/if</dc:creator>
  <dc:description/>
  <cp:keywords/>
  <dc:language>en-US</dc:language>
  <cp:lastModifiedBy>Isenhower, Elin</cp:lastModifiedBy>
  <cp:lastPrinted>2001-06-20T11:28:00Z</cp:lastPrinted>
  <dcterms:modified xsi:type="dcterms:W3CDTF">2026-10-29T17:04:00Z</dcterms:modified>
  <cp:revision>2</cp:revision>
  <dc:subject/>
  <dc:title>Protocols Workshop</dc:title>
</cp:coreProperties>
</file>