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440.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80"/>
        <w:gridCol w:w="7560"/>
        <w:tblGridChange w:id="0">
          <w:tblGrid>
            <w:gridCol w:w="2880"/>
            <w:gridCol w:w="7560"/>
          </w:tblGrid>
        </w:tblGridChange>
      </w:tblGrid>
      <w:tr>
        <w:trPr>
          <w:cantSplit w:val="0"/>
          <w:tblHeader w:val="0"/>
        </w:trPr>
        <w:tc>
          <w:tcPr>
            <w:tcBorders>
              <w:bottom w:color="000000" w:space="0" w:sz="4" w:val="single"/>
            </w:tcBorders>
            <w:shd w:fill="ffffff" w:val="clear"/>
            <w:vAlign w:val="cente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Governing Document</w:t>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ADER Phase IV</w:t>
            </w:r>
          </w:p>
        </w:tc>
      </w:tr>
      <w:tr>
        <w:trPr>
          <w:cantSplit w:val="0"/>
          <w:trHeight w:val="413" w:hRule="atLeast"/>
          <w:tblHeader w:val="0"/>
        </w:trPr>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vAlign w:val="cente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Date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October </w:t>
            </w:r>
            <w:r w:rsidDel="00000000" w:rsidR="00000000" w:rsidRPr="00000000">
              <w:rPr>
                <w:rFonts w:ascii="Arial" w:cs="Arial" w:eastAsia="Arial" w:hAnsi="Arial"/>
                <w:rtl w:val="0"/>
              </w:rPr>
              <w:t xml:space="preserve">16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2026</w:t>
            </w:r>
          </w:p>
        </w:tc>
      </w:tr>
      <w:tr>
        <w:trPr>
          <w:cantSplit w:val="0"/>
          <w:trHeight w:val="467" w:hRule="atLeast"/>
          <w:tblHeader w:val="0"/>
        </w:trPr>
        <w:tc>
          <w:tcPr>
            <w:tcBorders>
              <w:top w:color="000000" w:space="0" w:sz="4" w:val="single"/>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40" w:hRule="atLeast"/>
          <w:tblHeader w:val="0"/>
        </w:trPr>
        <w:tc>
          <w:tcPr>
            <w:gridSpan w:val="2"/>
            <w:tcBorders>
              <w:top w:color="000000" w:space="0" w:sz="4" w:val="single"/>
            </w:tcBorders>
            <w:shd w:fill="ffffff" w:val="clear"/>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Submitter’s Information</w:t>
            </w:r>
          </w:p>
        </w:tc>
      </w:tr>
      <w:tr>
        <w:trPr>
          <w:cantSplit w:val="0"/>
          <w:trHeight w:val="350" w:hRule="atLeast"/>
          <w:tblHeader w:val="0"/>
        </w:trPr>
        <w:tc>
          <w:tcPr>
            <w:shd w:fill="ffffff" w:val="clear"/>
            <w:vAlign w:val="cente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Name</w:t>
            </w:r>
          </w:p>
        </w:tc>
        <w:tc>
          <w:tcPr>
            <w:vAlign w:val="cente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Blake Holt</w:t>
            </w:r>
          </w:p>
        </w:tc>
      </w:tr>
      <w:tr>
        <w:trPr>
          <w:cantSplit w:val="0"/>
          <w:trHeight w:val="350" w:hRule="atLeast"/>
          <w:tblHeader w:val="0"/>
        </w:trPr>
        <w:tc>
          <w:tcPr>
            <w:shd w:fill="ffffff" w:val="clear"/>
            <w:vAlign w:val="cente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E-mail Address</w:t>
            </w:r>
          </w:p>
        </w:tc>
        <w:tc>
          <w:tcPr>
            <w:vAlign w:val="cente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8">
              <w:r w:rsidDel="00000000" w:rsidR="00000000" w:rsidRPr="00000000">
                <w:rPr>
                  <w:rFonts w:ascii="Arial" w:cs="Arial" w:eastAsia="Arial" w:hAnsi="Arial"/>
                  <w:b w:val="0"/>
                  <w:bCs w:val="0"/>
                  <w:i w:val="0"/>
                  <w:iCs w:val="0"/>
                  <w:smallCaps w:val="0"/>
                  <w:strike w:val="0"/>
                  <w:color w:val="0000ff"/>
                  <w:sz w:val="24"/>
                  <w:szCs w:val="24"/>
                  <w:u w:val="single"/>
                  <w:shd w:fill="auto" w:val="clear"/>
                  <w:vertAlign w:val="baseline"/>
                  <w:rtl w:val="0"/>
                </w:rPr>
                <w:t xml:space="preserve">bholt@basepowercompany.com</w:t>
              </w:r>
            </w:hyperlink>
            <w:r w:rsidDel="00000000" w:rsidR="00000000" w:rsidRPr="00000000">
              <w:rPr>
                <w:rtl w:val="0"/>
              </w:rPr>
            </w:r>
          </w:p>
        </w:tc>
      </w:tr>
      <w:tr>
        <w:trPr>
          <w:cantSplit w:val="0"/>
          <w:trHeight w:val="350" w:hRule="atLeast"/>
          <w:tblHeader w:val="0"/>
        </w:trPr>
        <w:tc>
          <w:tcPr>
            <w:shd w:fill="ffffff" w:val="clear"/>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Company</w:t>
            </w:r>
          </w:p>
        </w:tc>
        <w:tc>
          <w:tcPr>
            <w:vAlign w:val="cente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Base Power (Base)</w:t>
            </w:r>
          </w:p>
        </w:tc>
      </w:tr>
      <w:tr>
        <w:trPr>
          <w:cantSplit w:val="0"/>
          <w:trHeight w:val="350" w:hRule="atLeast"/>
          <w:tblHeader w:val="0"/>
        </w:trPr>
        <w:tc>
          <w:tcPr>
            <w:tcBorders>
              <w:bottom w:color="000000" w:space="0" w:sz="4" w:val="single"/>
            </w:tcBorders>
            <w:shd w:fill="ffffff" w:val="clear"/>
            <w:vAlign w:val="cente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Phone Number</w:t>
            </w:r>
          </w:p>
        </w:tc>
        <w:tc>
          <w:tcPr>
            <w:tcBorders>
              <w:bottom w:color="000000" w:space="0" w:sz="4" w:val="single"/>
            </w:tcBorders>
            <w:vAlign w:val="cente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254-913-8096</w:t>
            </w:r>
          </w:p>
        </w:tc>
      </w:tr>
      <w:tr>
        <w:trPr>
          <w:cantSplit w:val="0"/>
          <w:trHeight w:val="350" w:hRule="atLeast"/>
          <w:tblHeader w:val="0"/>
        </w:trPr>
        <w:tc>
          <w:tcPr>
            <w:shd w:fill="ffffff" w:val="clear"/>
            <w:vAlign w:val="cente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Cell Number</w:t>
            </w:r>
          </w:p>
        </w:tc>
        <w:tc>
          <w:tcPr>
            <w:vAlign w:val="cente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50" w:hRule="atLeast"/>
          <w:tblHeader w:val="0"/>
        </w:trPr>
        <w:tc>
          <w:tcPr>
            <w:tcBorders>
              <w:bottom w:color="000000" w:space="0" w:sz="4" w:val="single"/>
            </w:tcBorders>
            <w:shd w:fill="ffffff" w:val="clear"/>
            <w:vAlign w:val="cente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Market Segment</w:t>
            </w:r>
          </w:p>
        </w:tc>
        <w:tc>
          <w:tcPr>
            <w:tcBorders>
              <w:bottom w:color="000000" w:space="0" w:sz="4" w:val="single"/>
            </w:tcBorders>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Independent Retail Electric Provider (IREP)</w:t>
            </w:r>
          </w:p>
        </w:tc>
      </w:tr>
    </w:tbl>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104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40"/>
        <w:tblGridChange w:id="0">
          <w:tblGrid>
            <w:gridCol w:w="10440"/>
          </w:tblGrid>
        </w:tblGridChange>
      </w:tblGrid>
      <w:tr>
        <w:trPr>
          <w:cantSplit w:val="0"/>
          <w:trHeight w:val="422" w:hRule="atLeast"/>
          <w:tblHeader w:val="0"/>
        </w:trPr>
        <w:tc>
          <w:tcPr>
            <w:vAlign w:val="cente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Comments</w:t>
            </w:r>
          </w:p>
        </w:tc>
      </w:tr>
    </w:tb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Base supports ERCOT’s efforts to move the Aggregated Distributed Energy Resource (ADER) Pilot Project into its next phase (i.e., Phase IV). Of utmost importance, there is a need for ERCOT, and market participants in general, to understand the impacts that a nodal dispatch of ADERs can have on a congested transmission network. Given the significant interconnection interest from Large Loads, and the shortage of adequate transmission and generation capacity on the system to meet that demand, Base encourages market participants to utilize Phase IV as a testing ground to prove out the benefits that Base has witnessed in a study conducted in coordination with Piq Energy.</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Pr>
        <w:footnoteReference w:customMarkFollows="0" w:id="0"/>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Essentially, the study suggests that strategically located and nodally dispatched ADERs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Pr>
        <w:footnoteReference w:customMarkFollows="0" w:id="1"/>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can relieve transmission constraints and optimize existing transmission capacity. These observations suggest that more precise dispatch of ADERs can in the best scenario allow Large Loads to achieve accelerated access to power at a fraction of the cost of traditional infrastructure upgrades, or in the most likely scenario, receive an increase in capacity allocation in ERCOT’s Batch process while waiting on necessary upgrades.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These benefits should be of interest to all market participants. In fact, they fit squarely within the Technical Advisory Committee’s strategic objectives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Pr>
        <w:footnoteReference w:customMarkFollows="0" w:id="2"/>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by supporting “open access to the ERCOT markets and transmission networks” and exploring “cost effective market design changes and reliability enhancements.” As defined in 16 Texas Administrative Code (TAC) § 25.361(k)(1), pilot projects are meant to be a “temporary platform” with possible “temporary exceptions from ERCOT rules” to “validate performance claims of alternative technologies.” Additionally, “ERCOT may use information gained from pilot projects to inform the development of permanent changes to ERCOT rules.” Base welcomes a transition from the pilot phase to a permanent market design but wants to emphasize the unique opportunity that the ADER program </w:t>
      </w:r>
      <w:r w:rsidDel="00000000" w:rsidR="00000000" w:rsidRPr="00000000">
        <w:rPr>
          <w:rFonts w:ascii="Arial" w:cs="Arial" w:eastAsia="Arial" w:hAnsi="Arial"/>
          <w:rtl w:val="0"/>
        </w:rPr>
        <w:t xml:space="preserve">offers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stakeholders… an opportunity to test impacts in a controlled environment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prior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drafting permanent rules. Whatever rules come out of this process, the ERCOT Board and the Public Utility Commission (PUC) are better served by a framework built on pilot data than one built on assumptions and speculation. Rules written without that </w:t>
      </w:r>
      <w:r w:rsidDel="00000000" w:rsidR="00000000" w:rsidRPr="00000000">
        <w:rPr>
          <w:rFonts w:ascii="Arial" w:cs="Arial" w:eastAsia="Arial" w:hAnsi="Arial"/>
          <w:rtl w:val="0"/>
        </w:rPr>
        <w:t xml:space="preserve">experience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risk being overly permissive or overly restrictive, which would lead to further revisions and delay the solutions that ERCOT needs.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w:cs="Arial" w:eastAsia="Arial" w:hAnsi="Arial"/>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More specifically, Base wants to hi</w:t>
      </w:r>
      <w:r w:rsidDel="00000000" w:rsidR="00000000" w:rsidRPr="00000000">
        <w:rPr>
          <w:rFonts w:ascii="Arial" w:cs="Arial" w:eastAsia="Arial" w:hAnsi="Arial"/>
          <w:rtl w:val="0"/>
        </w:rPr>
        <w:t xml:space="preserve">ghlight potential improvements and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recognize the concerns that have been discussed at the 9/25 Demand Side Working Group (DSWG) and 10/7 Wholesale Market Subcommittee (WMS).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w:cs="Arial" w:eastAsia="Arial" w:hAnsi="Arial"/>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Nodal dispatch and zonal settlement</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IMM and others have raised concerns with the fact that Phase IV will introduce the ability for a participant to transition a designated portion of their ADER fleet from a zonal to nodal dispatch, while still maintaining zonal settlement. ERCOT is proposing to defer nodal settlement to allow for a more expedient review of nodal dispatch benefits (i.e., nodal settlement requires ERCOT internal system changes and may present unanswered policy questions that are better informed with a separate nodal dispatch phase). Base recognizes the IMM’s concern that a participant’s dispatch may not align with their offer curve, and this presents a divergence of dispatch signals and settlement economics. This would be a poor permanent market design, and it is not a path Base would support outside of the pilot program. Base would also like to highlight that an ADESR must voluntarily submit to this treatment, and as a participant in the program, the divergent treatment in the pilot is worth the risk to prove out nodal dispatch benefits.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Program growth</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Base agrees with commenters that have acknowledged the rapid growth within the pilot, but we’d also like to put this growth into context. As of September 2026, energy-qualified ADERs total 341 MW, or about 0.18% of the roughly 192 GW of operational generating capacity on the ERCOT grid.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Pr>
        <w:footnoteReference w:customMarkFollows="0" w:id="3"/>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Future growth depends on how fast devices can be manufactured, how quickly individual premises choose to join, and how quickly utilities can approve each configuration. Even if enrolled capacity grew </w:t>
      </w: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tenfold</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over the next year, well beyond the pace seen to date, ADERs would only account for &lt;1.8% of operational capacity on the ERCOT grid. With that context, Base believes that the pilot format can remain as a temporary manageable platform for those submitting, approving, and evaluating outcomes.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Open policy questions should not stall issues stakeholders can resolve</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With ultimate establishment in the ERCOT Nodal Protocols, there is the ability for all market participants to openly suggest design changes so that the program can be refined to align with ERCOT and TAC strategic objectives. Base supports the eventual movement of the program into permanent rules, but not before considering operational insights that are needed to properly craft those rules. Base recognizes the concerns that implementation of nodal settlement may require material system changes and may raise unresolved questions regarding cost responsibility. Base agrees that those issues may warrant explicit policy direction, but they should not stop ERCOT from testing nodal dispatch in Phase IV or stakeholders from starting a permanent protocol framework for nodal settlement that draws on lessons learned in the pilot.</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Governing document improvements</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In several locations of the updated governing document there are </w:t>
      </w:r>
      <w:r w:rsidDel="00000000" w:rsidR="00000000" w:rsidRPr="00000000">
        <w:rPr>
          <w:rFonts w:ascii="Arial" w:cs="Arial" w:eastAsia="Arial" w:hAnsi="Arial"/>
          <w:rtl w:val="0"/>
        </w:rPr>
        <w:t xml:space="preserve">phrases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that generally state that the TSP or DSP may enforce locational limits to maintain the safety and reliability of the system. Base completely supports this discretion and direction. It</w:t>
      </w:r>
      <w:r w:rsidDel="00000000" w:rsidR="00000000" w:rsidRPr="00000000">
        <w:rPr>
          <w:rFonts w:ascii="Arial" w:cs="Arial" w:eastAsia="Arial" w:hAnsi="Arial"/>
          <w:rtl w:val="0"/>
        </w:rPr>
        <w:t xml:space="preserve">’s worth noting that different DSPs have varying views on equipment operation which can create a challenge for potential participants.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One improvement to the process would allow for more transparency on locational hosting capacity and a defined communication pathway on improvements that are needed to relax locational limits. The worst outcome for both the DSP and ADER participant in this situation is leaving a customer in limbo without insight into a path forward. Base would like to hear the opinions of DSPs on this topic before suggesting revisions to the governing document.</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Conclusion</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 xml:space="preserve">The nodal dispatch phase of the pilot will allow stakeholders to gather the data that is needed to bring an informed set of protocols to the ERCOT Board and PUC. Base stands ready to collaborate on improvements to the Phase IV governing document and supports ERCOT Board consideration in December 2026.  </w:t>
      </w:r>
    </w:p>
    <w:sectPr>
      <w:headerReference r:id="rId9" w:type="default"/>
      <w:foot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Verdan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Base Comments on ADER Phase IV</w:t>
      <w:tab/>
      <w:t xml:space="preserve">Page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PUBLIC</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See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Piq Energy’s Flexibility without Curtailment: Aggregate DER Dispatch to Support Additional Firm Large Load Service study (Sep. 1, 2026),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available at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https://www.piqenergy.com/research/piq-energy-base-power---flexibility-without-curtailment.pdf</w:t>
      </w:r>
    </w:p>
  </w:footnote>
  <w:footnote w:id="1">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Under Phase IV, a nodally dispatched ADER will be registered as an “Aggregate Distributed Energy Storage Resource” or “ADESR”.</w:t>
      </w:r>
    </w:p>
  </w:footnote>
  <w:footnote w:id="2">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See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TAC Strategic Objectives (Feb. 27, 2025), </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available at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https://www.ercot.com/files/docs/2025/02/27/TAC-Strategic-Objectives-Approved-02272025.pptx</w:t>
      </w:r>
      <w:r w:rsidDel="00000000" w:rsidR="00000000" w:rsidRPr="00000000">
        <w:rPr>
          <w:rtl w:val="0"/>
        </w:rPr>
      </w:r>
    </w:p>
  </w:footnote>
  <w:footnote w:id="3">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December 2026 Monthly Outlook for Resource Adequacy report,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available at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https://www.ercot.com/files/docs/2026/10/02/MORA_December2026.pdf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ADER Phase IV Comments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1,h1">
    <w:name w:val="Heading 1,h1"/>
    <w:basedOn w:val="Normal"/>
    <w:next w:val="Normal"/>
    <w:autoRedefine w:val="0"/>
    <w:hidden w:val="0"/>
    <w:qFormat w:val="0"/>
    <w:pPr>
      <w:keepNext w:val="1"/>
      <w:numPr>
        <w:ilvl w:val="0"/>
        <w:numId w:val="1"/>
      </w:numPr>
      <w:suppressAutoHyphens w:val="1"/>
      <w:spacing w:after="240"/>
      <w:ind w:leftChars="-1" w:rightChars="0" w:firstLineChars="-1"/>
      <w:textDirection w:val="btLr"/>
      <w:textAlignment w:val="top"/>
      <w:outlineLvl w:val="0"/>
    </w:pPr>
    <w:rPr>
      <w:b w:val="1"/>
      <w:caps w:val="1"/>
      <w:w w:val="100"/>
      <w:position w:val="-1"/>
      <w:sz w:val="24"/>
      <w:szCs w:val="20"/>
      <w:effect w:val="none"/>
      <w:vertAlign w:val="baseline"/>
      <w:cs w:val="0"/>
      <w:em w:val="none"/>
      <w:lang w:bidi="ar-SA" w:eastAsia="en-US" w:val="en-US"/>
    </w:rPr>
  </w:style>
  <w:style w:type="paragraph" w:styleId="Heading2,h2">
    <w:name w:val="Heading 2,h2"/>
    <w:basedOn w:val="Normal"/>
    <w:next w:val="Normal"/>
    <w:autoRedefine w:val="0"/>
    <w:hidden w:val="0"/>
    <w:qFormat w:val="0"/>
    <w:pPr>
      <w:keepNext w:val="1"/>
      <w:numPr>
        <w:ilvl w:val="1"/>
        <w:numId w:val="1"/>
      </w:numPr>
      <w:suppressAutoHyphens w:val="1"/>
      <w:spacing w:after="240" w:before="240"/>
      <w:ind w:leftChars="-1" w:rightChars="0" w:firstLineChars="-1"/>
      <w:textDirection w:val="btLr"/>
      <w:textAlignment w:val="top"/>
      <w:outlineLvl w:val="1"/>
    </w:pPr>
    <w:rPr>
      <w:b w:val="1"/>
      <w:w w:val="100"/>
      <w:position w:val="-1"/>
      <w:sz w:val="24"/>
      <w:szCs w:val="20"/>
      <w:effect w:val="none"/>
      <w:vertAlign w:val="baseline"/>
      <w:cs w:val="0"/>
      <w:em w:val="none"/>
      <w:lang w:bidi="ar-SA" w:eastAsia="en-US" w:val="en-US"/>
    </w:rPr>
  </w:style>
  <w:style w:type="paragraph" w:styleId="Heading3,h3">
    <w:name w:val="Heading 3,h3"/>
    <w:basedOn w:val="Normal"/>
    <w:next w:val="Normal"/>
    <w:autoRedefine w:val="0"/>
    <w:hidden w:val="0"/>
    <w:qFormat w:val="0"/>
    <w:pPr>
      <w:keepNext w:val="1"/>
      <w:numPr>
        <w:ilvl w:val="2"/>
        <w:numId w:val="1"/>
      </w:numPr>
      <w:suppressAutoHyphens w:val="1"/>
      <w:spacing w:after="120" w:before="120"/>
      <w:ind w:leftChars="-1" w:rightChars="0" w:firstLineChars="-1"/>
      <w:textDirection w:val="btLr"/>
      <w:textAlignment w:val="top"/>
      <w:outlineLvl w:val="2"/>
    </w:pPr>
    <w:rPr>
      <w:b w:val="1"/>
      <w:bCs w:val="1"/>
      <w:i w:val="1"/>
      <w:iCs w:val="1"/>
      <w:w w:val="100"/>
      <w:position w:val="-1"/>
      <w:sz w:val="24"/>
      <w:szCs w:val="20"/>
      <w:effect w:val="none"/>
      <w:vertAlign w:val="baseline"/>
      <w:cs w:val="0"/>
      <w:em w:val="none"/>
      <w:lang w:bidi="ar-SA" w:eastAsia="en-US" w:val="en-US"/>
    </w:rPr>
  </w:style>
  <w:style w:type="paragraph" w:styleId="Heading4,h4">
    <w:name w:val="Heading 4,h4"/>
    <w:basedOn w:val="Normal"/>
    <w:next w:val="Normal"/>
    <w:autoRedefine w:val="0"/>
    <w:hidden w:val="0"/>
    <w:qFormat w:val="0"/>
    <w:pPr>
      <w:keepNext w:val="1"/>
      <w:widowControl w:val="0"/>
      <w:numPr>
        <w:ilvl w:val="3"/>
        <w:numId w:val="1"/>
      </w:numPr>
      <w:suppressAutoHyphens w:val="1"/>
      <w:spacing w:after="240" w:before="360"/>
      <w:ind w:leftChars="-1" w:rightChars="0" w:firstLineChars="-1"/>
      <w:textDirection w:val="btLr"/>
      <w:textAlignment w:val="top"/>
      <w:outlineLvl w:val="3"/>
    </w:pPr>
    <w:rPr>
      <w:b w:val="1"/>
      <w:bCs w:val="1"/>
      <w:snapToGrid w:val="0"/>
      <w:w w:val="100"/>
      <w:position w:val="-1"/>
      <w:sz w:val="24"/>
      <w:szCs w:val="20"/>
      <w:effect w:val="none"/>
      <w:vertAlign w:val="baseline"/>
      <w:cs w:val="0"/>
      <w:em w:val="none"/>
      <w:lang w:bidi="ar-SA" w:eastAsia="en-US" w:val="en-US"/>
    </w:rPr>
  </w:style>
  <w:style w:type="paragraph" w:styleId="Heading5,h5">
    <w:name w:val="Heading 5,h5"/>
    <w:basedOn w:val="Normal"/>
    <w:next w:val="Normal"/>
    <w:autoRedefine w:val="0"/>
    <w:hidden w:val="0"/>
    <w:qFormat w:val="0"/>
    <w:pPr>
      <w:suppressAutoHyphens w:val="1"/>
      <w:spacing w:after="60" w:before="240"/>
      <w:ind w:leftChars="-1" w:rightChars="0" w:firstLineChars="-1"/>
      <w:textDirection w:val="btLr"/>
      <w:textAlignment w:val="top"/>
      <w:outlineLvl w:val="4"/>
    </w:pPr>
    <w:rPr>
      <w:b w:val="1"/>
      <w:i w:val="1"/>
      <w:w w:val="100"/>
      <w:position w:val="-1"/>
      <w:sz w:val="26"/>
      <w:szCs w:val="20"/>
      <w:effect w:val="none"/>
      <w:vertAlign w:val="baseline"/>
      <w:cs w:val="0"/>
      <w:em w:val="none"/>
      <w:lang w:bidi="ar-SA" w:eastAsia="en-US" w:val="en-US"/>
    </w:rPr>
  </w:style>
  <w:style w:type="paragraph" w:styleId="Heading6,h6">
    <w:name w:val="Heading 6,h6"/>
    <w:basedOn w:val="Normal"/>
    <w:next w:val="Normal"/>
    <w:autoRedefine w:val="0"/>
    <w:hidden w:val="0"/>
    <w:qFormat w:val="0"/>
    <w:pPr>
      <w:suppressAutoHyphens w:val="1"/>
      <w:spacing w:after="60" w:before="240"/>
      <w:ind w:leftChars="-1" w:rightChars="0" w:firstLineChars="-1"/>
      <w:textDirection w:val="btLr"/>
      <w:textAlignment w:val="top"/>
      <w:outlineLvl w:val="5"/>
    </w:pPr>
    <w:rPr>
      <w:b w:val="1"/>
      <w:w w:val="100"/>
      <w:position w:val="-1"/>
      <w:sz w:val="22"/>
      <w:szCs w:val="20"/>
      <w:effect w:val="none"/>
      <w:vertAlign w:val="baseline"/>
      <w:cs w:val="0"/>
      <w:em w:val="none"/>
      <w:lang w:bidi="ar-SA" w:eastAsia="en-US" w:val="en-US"/>
    </w:rPr>
  </w:style>
  <w:style w:type="paragraph" w:styleId="Heading7">
    <w:name w:val="Heading 7"/>
    <w:basedOn w:val="Normal"/>
    <w:next w:val="Normal"/>
    <w:autoRedefine w:val="0"/>
    <w:hidden w:val="0"/>
    <w:qFormat w:val="0"/>
    <w:pPr>
      <w:suppressAutoHyphens w:val="1"/>
      <w:spacing w:after="60" w:before="240"/>
      <w:ind w:leftChars="-1" w:rightChars="0" w:firstLineChars="-1"/>
      <w:textDirection w:val="btLr"/>
      <w:textAlignment w:val="top"/>
      <w:outlineLvl w:val="6"/>
    </w:pPr>
    <w:rPr>
      <w:w w:val="100"/>
      <w:position w:val="-1"/>
      <w:sz w:val="24"/>
      <w:szCs w:val="20"/>
      <w:effect w:val="none"/>
      <w:vertAlign w:val="baseline"/>
      <w:cs w:val="0"/>
      <w:em w:val="none"/>
      <w:lang w:bidi="ar-SA" w:eastAsia="en-US" w:val="en-US"/>
    </w:rPr>
  </w:style>
  <w:style w:type="paragraph" w:styleId="Heading8">
    <w:name w:val="Heading 8"/>
    <w:basedOn w:val="Normal"/>
    <w:next w:val="Normal"/>
    <w:autoRedefine w:val="0"/>
    <w:hidden w:val="0"/>
    <w:qFormat w:val="0"/>
    <w:pPr>
      <w:suppressAutoHyphens w:val="1"/>
      <w:spacing w:after="60" w:before="240"/>
      <w:ind w:leftChars="-1" w:rightChars="0" w:firstLineChars="-1"/>
      <w:textDirection w:val="btLr"/>
      <w:textAlignment w:val="top"/>
      <w:outlineLvl w:val="7"/>
    </w:pPr>
    <w:rPr>
      <w:i w:val="1"/>
      <w:w w:val="100"/>
      <w:position w:val="-1"/>
      <w:sz w:val="24"/>
      <w:szCs w:val="20"/>
      <w:effect w:val="none"/>
      <w:vertAlign w:val="baseline"/>
      <w:cs w:val="0"/>
      <w:em w:val="none"/>
      <w:lang w:bidi="ar-SA" w:eastAsia="en-US" w:val="en-US"/>
    </w:rPr>
  </w:style>
  <w:style w:type="paragraph" w:styleId="Heading9">
    <w:name w:val="Heading 9"/>
    <w:basedOn w:val="Normal"/>
    <w:next w:val="Normal"/>
    <w:autoRedefine w:val="0"/>
    <w:hidden w:val="0"/>
    <w:qFormat w:val="0"/>
    <w:pPr>
      <w:suppressAutoHyphens w:val="1"/>
      <w:spacing w:after="60" w:before="240"/>
      <w:ind w:leftChars="-1" w:rightChars="0" w:firstLineChars="-1"/>
      <w:textDirection w:val="btLr"/>
      <w:textAlignment w:val="top"/>
      <w:outlineLvl w:val="8"/>
    </w:pPr>
    <w:rPr>
      <w:rFonts w:ascii="Arial" w:hAnsi="Arial"/>
      <w:w w:val="100"/>
      <w:position w:val="-1"/>
      <w:sz w:val="22"/>
      <w:szCs w:val="20"/>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ind w:leftChars="-1" w:rightChars="0" w:firstLineChars="-1"/>
      <w:textDirection w:val="btLr"/>
      <w:textAlignment w:val="top"/>
      <w:outlineLvl w:val="0"/>
    </w:pPr>
    <w:rPr>
      <w:rFonts w:ascii="Arial" w:hAnsi="Arial"/>
      <w:b w:val="1"/>
      <w:bCs w:val="1"/>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XUNormal">
    <w:name w:val="TXUNormal"/>
    <w:next w:val="TXUNormal"/>
    <w:autoRedefine w:val="0"/>
    <w:hidden w:val="0"/>
    <w:qFormat w:val="0"/>
    <w:pPr>
      <w:suppressAutoHyphens w:val="1"/>
      <w:spacing w:after="120"/>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TXUHeader">
    <w:name w:val="TXUHeader"/>
    <w:basedOn w:val="TXUNormal"/>
    <w:next w:val="TXUHeader"/>
    <w:autoRedefine w:val="0"/>
    <w:hidden w:val="0"/>
    <w:qFormat w:val="0"/>
    <w:pPr>
      <w:tabs>
        <w:tab w:val="right" w:leader="none" w:pos="9360"/>
      </w:tabs>
      <w:suppressAutoHyphens w:val="1"/>
      <w:spacing w:after="0"/>
      <w:ind w:leftChars="-1" w:rightChars="0" w:firstLineChars="-1"/>
      <w:textDirection w:val="btLr"/>
      <w:textAlignment w:val="top"/>
      <w:outlineLvl w:val="0"/>
    </w:pPr>
    <w:rPr>
      <w:noProof w:val="1"/>
      <w:w w:val="100"/>
      <w:position w:val="-1"/>
      <w:sz w:val="16"/>
      <w:effect w:val="none"/>
      <w:vertAlign w:val="baseline"/>
      <w:cs w:val="0"/>
      <w:em w:val="none"/>
      <w:lang w:bidi="ar-SA" w:eastAsia="und" w:val="und"/>
    </w:rPr>
  </w:style>
  <w:style w:type="paragraph" w:styleId="TXUHeaderForm">
    <w:name w:val="TXUHeaderForm"/>
    <w:basedOn w:val="TXUHeader"/>
    <w:next w:val="Normal"/>
    <w:autoRedefine w:val="0"/>
    <w:hidden w:val="0"/>
    <w:qFormat w:val="0"/>
    <w:pPr>
      <w:tabs>
        <w:tab w:val="right" w:leader="none" w:pos="9360"/>
      </w:tabs>
      <w:suppressAutoHyphens w:val="1"/>
      <w:spacing w:after="0"/>
      <w:ind w:leftChars="-1" w:rightChars="0" w:firstLineChars="-1"/>
      <w:textDirection w:val="btLr"/>
      <w:textAlignment w:val="top"/>
      <w:outlineLvl w:val="0"/>
    </w:pPr>
    <w:rPr>
      <w:noProof w:val="1"/>
      <w:w w:val="100"/>
      <w:position w:val="-1"/>
      <w:sz w:val="24"/>
      <w:effect w:val="none"/>
      <w:vertAlign w:val="baseline"/>
      <w:cs w:val="0"/>
      <w:em w:val="none"/>
      <w:lang w:bidi="ar-SA" w:eastAsia="und" w:val="und"/>
    </w:rPr>
  </w:style>
  <w:style w:type="paragraph" w:styleId="TXUSubject">
    <w:name w:val="TXUSubject"/>
    <w:basedOn w:val="TXUNormal"/>
    <w:next w:val="TXUNormal"/>
    <w:autoRedefine w:val="0"/>
    <w:hidden w:val="0"/>
    <w:qFormat w:val="0"/>
    <w:pPr>
      <w:suppressAutoHyphens w:val="1"/>
      <w:spacing w:after="240"/>
      <w:ind w:leftChars="-1" w:rightChars="0" w:firstLineChars="-1"/>
      <w:textDirection w:val="btLr"/>
      <w:textAlignment w:val="top"/>
      <w:outlineLvl w:val="0"/>
    </w:pPr>
    <w:rPr>
      <w:b w:val="1"/>
      <w:w w:val="100"/>
      <w:position w:val="-1"/>
      <w:effect w:val="none"/>
      <w:vertAlign w:val="baseline"/>
      <w:cs w:val="0"/>
      <w:em w:val="none"/>
      <w:lang w:bidi="ar-SA" w:eastAsia="en-US" w:val="en-US"/>
    </w:rPr>
  </w:style>
  <w:style w:type="paragraph" w:styleId="TXUFooter">
    <w:name w:val="TXUFooter"/>
    <w:basedOn w:val="TXUNormal"/>
    <w:next w:val="TXUFooter"/>
    <w:autoRedefine w:val="0"/>
    <w:hidden w:val="0"/>
    <w:qFormat w:val="0"/>
    <w:pPr>
      <w:pBdr>
        <w:top w:color="auto" w:space="1" w:sz="4" w:val="single"/>
      </w:pBdr>
      <w:tabs>
        <w:tab w:val="center" w:leader="none" w:pos="4536"/>
        <w:tab w:val="right" w:leader="none" w:pos="9360"/>
      </w:tabs>
      <w:suppressAutoHyphens w:val="1"/>
      <w:spacing w:after="0"/>
      <w:ind w:leftChars="-1" w:rightChars="0" w:firstLineChars="-1"/>
      <w:textDirection w:val="btLr"/>
      <w:textAlignment w:val="top"/>
      <w:outlineLvl w:val="0"/>
    </w:pPr>
    <w:rPr>
      <w:w w:val="100"/>
      <w:position w:val="-1"/>
      <w:sz w:val="16"/>
      <w:effect w:val="none"/>
      <w:vertAlign w:val="baseline"/>
      <w:cs w:val="0"/>
      <w:em w:val="none"/>
      <w:lang w:bidi="ar-SA" w:eastAsia="en-US" w:val="en-US"/>
    </w:rPr>
  </w:style>
  <w:style w:type="paragraph" w:styleId="TXUFooterPage">
    <w:name w:val="TXUFooterPage"/>
    <w:basedOn w:val="TXUFooter"/>
    <w:next w:val="TXUFooter"/>
    <w:autoRedefine w:val="0"/>
    <w:hidden w:val="0"/>
    <w:qFormat w:val="0"/>
    <w:pPr>
      <w:pBdr>
        <w:top w:color="auto" w:space="1" w:sz="4" w:val="single"/>
      </w:pBdr>
      <w:tabs>
        <w:tab w:val="center" w:leader="none" w:pos="4536"/>
        <w:tab w:val="right" w:leader="none" w:pos="9360"/>
      </w:tabs>
      <w:suppressAutoHyphens w:val="1"/>
      <w:spacing w:after="0"/>
      <w:ind w:leftChars="-1" w:rightChars="0" w:firstLineChars="-1"/>
      <w:textDirection w:val="btLr"/>
      <w:textAlignment w:val="top"/>
      <w:outlineLvl w:val="0"/>
    </w:pPr>
    <w:rPr>
      <w:w w:val="100"/>
      <w:position w:val="-1"/>
      <w:sz w:val="20"/>
      <w:effect w:val="none"/>
      <w:vertAlign w:val="baseline"/>
      <w:cs w:val="0"/>
      <w:em w:val="none"/>
      <w:lang w:bidi="ar-SA" w:eastAsia="en-US" w:val="en-US"/>
    </w:rPr>
  </w:style>
  <w:style w:type="paragraph" w:styleId="Comments">
    <w:name w:val="Comments"/>
    <w:basedOn w:val="Normal"/>
    <w:next w:val="Comments"/>
    <w:autoRedefine w:val="0"/>
    <w:hidden w:val="0"/>
    <w:qFormat w:val="0"/>
    <w:pPr>
      <w:pBdr>
        <w:top w:color="auto" w:space="1" w:sz="4" w:val="single"/>
        <w:left w:color="auto" w:space="4" w:sz="4" w:val="single"/>
        <w:bottom w:color="auto" w:space="1" w:sz="4" w:val="single"/>
        <w:right w:color="auto" w:space="4" w:sz="4" w:val="single"/>
      </w:pBdr>
      <w:shd w:color="auto" w:fill="cccccc" w:val="clear"/>
      <w:suppressAutoHyphens w:val="1"/>
      <w:spacing w:after="120" w:before="120"/>
      <w:ind w:left="720" w:right="720" w:leftChars="-1" w:rightChars="0" w:firstLineChars="-1"/>
      <w:textDirection w:val="btLr"/>
      <w:textAlignment w:val="top"/>
      <w:outlineLvl w:val="0"/>
    </w:pPr>
    <w:rPr>
      <w:w w:val="100"/>
      <w:position w:val="-1"/>
      <w:sz w:val="24"/>
      <w:szCs w:val="20"/>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BodyText">
    <w:name w:val="Body Text"/>
    <w:basedOn w:val="Normal"/>
    <w:next w:val="BodyText"/>
    <w:autoRedefine w:val="0"/>
    <w:hidden w:val="0"/>
    <w:qFormat w:val="0"/>
    <w:pPr>
      <w:suppressAutoHyphens w:val="1"/>
      <w:spacing w:after="120" w:before="120"/>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en-US" w:val="en-US"/>
    </w:rPr>
  </w:style>
  <w:style w:type="paragraph" w:styleId="BodyTextIndent">
    <w:name w:val="Body Text Indent"/>
    <w:basedOn w:val="Normal"/>
    <w:next w:val="BodyTextIndent"/>
    <w:autoRedefine w:val="0"/>
    <w:hidden w:val="0"/>
    <w:qFormat w:val="0"/>
    <w:pPr>
      <w:suppressAutoHyphens w:val="1"/>
      <w:spacing w:after="120" w:before="120"/>
      <w:ind w:left="7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ullet">
    <w:name w:val="Bullet"/>
    <w:basedOn w:val="Normal"/>
    <w:next w:val="Bullet"/>
    <w:autoRedefine w:val="0"/>
    <w:hidden w:val="0"/>
    <w:qFormat w:val="0"/>
    <w:pPr>
      <w:numPr>
        <w:ilvl w:val="0"/>
        <w:numId w:val="2"/>
      </w:numPr>
      <w:suppressAutoHyphens w:val="1"/>
      <w:spacing w:after="120" w:before="60"/>
      <w:ind w:leftChars="-1" w:rightChars="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spacing/>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Normal+Arial">
    <w:name w:val="Normal+Arial"/>
    <w:basedOn w:val="Normal"/>
    <w:next w:val="Normal+Arial"/>
    <w:autoRedefine w:val="0"/>
    <w:hidden w:val="0"/>
    <w:qFormat w:val="0"/>
    <w:pPr>
      <w:suppressAutoHyphens w:val="1"/>
      <w:spacing/>
      <w:ind w:leftChars="-1" w:rightChars="0" w:firstLineChars="-1"/>
      <w:textDirection w:val="btLr"/>
      <w:textAlignment w:val="top"/>
      <w:outlineLvl w:val="0"/>
    </w:pPr>
    <w:rPr>
      <w:rFonts w:ascii="Arial" w:hAnsi="Arial"/>
      <w:w w:val="100"/>
      <w:position w:val="-1"/>
      <w:sz w:val="24"/>
      <w:szCs w:val="24"/>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CommentSubject">
    <w:name w:val="Comment Subject"/>
    <w:basedOn w:val="CommentText"/>
    <w:next w:val="CommentText"/>
    <w:autoRedefine w:val="0"/>
    <w:hidden w:val="0"/>
    <w:qFormat w:val="0"/>
    <w:pPr>
      <w:suppressAutoHyphens w:val="1"/>
      <w:spacing/>
      <w:ind w:leftChars="-1" w:rightChars="0" w:firstLineChars="-1"/>
      <w:textDirection w:val="btLr"/>
      <w:textAlignment w:val="top"/>
      <w:outlineLvl w:val="0"/>
    </w:pPr>
    <w:rPr>
      <w:b w:val="1"/>
      <w:bCs w:val="1"/>
      <w:w w:val="100"/>
      <w:position w:val="-1"/>
      <w:sz w:val="20"/>
      <w:szCs w:val="20"/>
      <w:effect w:val="none"/>
      <w:vertAlign w:val="baseline"/>
      <w:cs w:val="0"/>
      <w:em w:val="none"/>
      <w:lang w:bidi="ar-SA" w:eastAsia="en-US" w:val="en-US"/>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FootnoteText">
    <w:name w:val="Footnote Text"/>
    <w:basedOn w:val="Normal"/>
    <w:next w:val="FootnoteText"/>
    <w:autoRedefine w:val="0"/>
    <w:hidden w:val="0"/>
    <w:qFormat w:val="0"/>
    <w:pPr>
      <w:suppressAutoHyphens w:val="1"/>
      <w:spacing/>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TextChar">
    <w:name w:val="Footnote Text Char"/>
    <w:basedOn w:val="DefaultParagraphFont"/>
    <w:next w:val="FootnoteTextChar"/>
    <w:autoRedefine w:val="0"/>
    <w:hidden w:val="0"/>
    <w:qFormat w:val="0"/>
    <w:rPr>
      <w:w w:val="100"/>
      <w:position w:val="-1"/>
      <w:effect w:val="none"/>
      <w:vertAlign w:val="baseline"/>
      <w:cs w:val="0"/>
      <w:em w:val="none"/>
      <w:lang/>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mailto:bholt@basepowercompan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AbdOdjBt9adIvjHT+I7Abs4cpA==">CgMxLjA4AHIhMXpJS3kzWnFWYVp3TXAzQmloYTJhS3ZreHZXalRBQkpf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2026-10-13T21:42:00Z</dcterms:created>
  <dc:creator>ERCOT/if</dc:creator>
</cp:coreProperties>
</file>

<file path=docProps/custom.xml><?xml version="1.0" encoding="utf-8"?>
<Properties xmlns="http://schemas.openxmlformats.org/officeDocument/2006/custom-properties" xmlns:vt="http://schemas.openxmlformats.org/officeDocument/2006/docPropsVTypes"/>
</file>