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DBBE8" w14:textId="77777777" w:rsidR="00475242" w:rsidRDefault="00475242">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1044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80"/>
        <w:gridCol w:w="7560"/>
      </w:tblGrid>
      <w:tr w:rsidR="00475242" w14:paraId="2713D802" w14:textId="77777777">
        <w:tc>
          <w:tcPr>
            <w:tcW w:w="2880" w:type="dxa"/>
            <w:tcBorders>
              <w:bottom w:val="single" w:sz="4" w:space="0" w:color="000000"/>
            </w:tcBorders>
            <w:shd w:val="clear" w:color="auto" w:fill="FFFFFF"/>
            <w:vAlign w:val="center"/>
          </w:tcPr>
          <w:p w14:paraId="5B3E845A" w14:textId="77777777" w:rsidR="00475242" w:rsidRDefault="008F0BC1">
            <w:pPr>
              <w:pBdr>
                <w:top w:val="nil"/>
                <w:left w:val="nil"/>
                <w:bottom w:val="nil"/>
                <w:right w:val="nil"/>
                <w:between w:val="nil"/>
              </w:pBdr>
              <w:tabs>
                <w:tab w:val="center" w:pos="4320"/>
                <w:tab w:val="right" w:pos="8640"/>
              </w:tabs>
              <w:rPr>
                <w:rFonts w:ascii="Verdana" w:eastAsia="Verdana" w:hAnsi="Verdana" w:cs="Verdana"/>
                <w:b/>
                <w:bCs/>
                <w:color w:val="000000"/>
                <w:sz w:val="22"/>
                <w:szCs w:val="22"/>
              </w:rPr>
            </w:pPr>
            <w:r>
              <w:rPr>
                <w:rFonts w:ascii="Arial" w:eastAsia="Arial" w:hAnsi="Arial" w:cs="Arial"/>
                <w:b/>
                <w:bCs/>
                <w:color w:val="000000"/>
              </w:rPr>
              <w:t>Governing Document</w:t>
            </w:r>
          </w:p>
        </w:tc>
        <w:tc>
          <w:tcPr>
            <w:tcW w:w="7560" w:type="dxa"/>
            <w:tcBorders>
              <w:bottom w:val="single" w:sz="4" w:space="0" w:color="000000"/>
            </w:tcBorders>
            <w:vAlign w:val="center"/>
          </w:tcPr>
          <w:p w14:paraId="08685F12" w14:textId="77777777" w:rsidR="00475242" w:rsidRDefault="008F0BC1">
            <w:pPr>
              <w:pBdr>
                <w:top w:val="nil"/>
                <w:left w:val="nil"/>
                <w:bottom w:val="nil"/>
                <w:right w:val="nil"/>
                <w:between w:val="nil"/>
              </w:pBdr>
              <w:tabs>
                <w:tab w:val="center" w:pos="4320"/>
                <w:tab w:val="right" w:pos="8640"/>
              </w:tabs>
              <w:rPr>
                <w:rFonts w:ascii="Arial" w:eastAsia="Arial" w:hAnsi="Arial" w:cs="Arial"/>
                <w:b/>
                <w:bCs/>
                <w:color w:val="000000"/>
              </w:rPr>
            </w:pPr>
            <w:r>
              <w:rPr>
                <w:rFonts w:ascii="Arial" w:eastAsia="Arial" w:hAnsi="Arial" w:cs="Arial"/>
                <w:b/>
                <w:bCs/>
                <w:color w:val="000000"/>
              </w:rPr>
              <w:t>ADER Phase IV</w:t>
            </w:r>
          </w:p>
        </w:tc>
      </w:tr>
      <w:tr w:rsidR="00475242" w14:paraId="793CCAA6" w14:textId="77777777">
        <w:trPr>
          <w:trHeight w:val="413"/>
        </w:trPr>
        <w:tc>
          <w:tcPr>
            <w:tcW w:w="2880" w:type="dxa"/>
            <w:tcBorders>
              <w:top w:val="nil"/>
              <w:left w:val="nil"/>
              <w:bottom w:val="single" w:sz="4" w:space="0" w:color="000000"/>
              <w:right w:val="nil"/>
            </w:tcBorders>
            <w:vAlign w:val="center"/>
          </w:tcPr>
          <w:p w14:paraId="3F528D7B" w14:textId="77777777" w:rsidR="00475242" w:rsidRDefault="00475242">
            <w:pPr>
              <w:pBdr>
                <w:top w:val="nil"/>
                <w:left w:val="nil"/>
                <w:bottom w:val="nil"/>
                <w:right w:val="nil"/>
                <w:between w:val="nil"/>
              </w:pBdr>
              <w:rPr>
                <w:rFonts w:ascii="Arial" w:eastAsia="Arial" w:hAnsi="Arial" w:cs="Arial"/>
                <w:color w:val="000000"/>
              </w:rPr>
            </w:pPr>
          </w:p>
        </w:tc>
        <w:tc>
          <w:tcPr>
            <w:tcW w:w="7560" w:type="dxa"/>
            <w:tcBorders>
              <w:top w:val="single" w:sz="4" w:space="0" w:color="000000"/>
              <w:left w:val="nil"/>
              <w:bottom w:val="nil"/>
              <w:right w:val="nil"/>
            </w:tcBorders>
            <w:vAlign w:val="center"/>
          </w:tcPr>
          <w:p w14:paraId="5D0A8FD5" w14:textId="77777777" w:rsidR="00475242" w:rsidRDefault="00475242">
            <w:pPr>
              <w:pBdr>
                <w:top w:val="nil"/>
                <w:left w:val="nil"/>
                <w:bottom w:val="nil"/>
                <w:right w:val="nil"/>
                <w:between w:val="nil"/>
              </w:pBdr>
              <w:rPr>
                <w:rFonts w:ascii="Arial" w:eastAsia="Arial" w:hAnsi="Arial" w:cs="Arial"/>
                <w:color w:val="000000"/>
              </w:rPr>
            </w:pPr>
          </w:p>
        </w:tc>
      </w:tr>
      <w:tr w:rsidR="00475242" w14:paraId="45C5A693" w14:textId="77777777">
        <w:trPr>
          <w:trHeight w:val="440"/>
        </w:trPr>
        <w:tc>
          <w:tcPr>
            <w:tcW w:w="2880" w:type="dxa"/>
            <w:tcBorders>
              <w:top w:val="single" w:sz="4" w:space="0" w:color="000000"/>
              <w:left w:val="single" w:sz="4" w:space="0" w:color="000000"/>
              <w:bottom w:val="single" w:sz="4" w:space="0" w:color="000000"/>
              <w:right w:val="single" w:sz="4" w:space="0" w:color="000000"/>
            </w:tcBorders>
            <w:vAlign w:val="center"/>
          </w:tcPr>
          <w:p w14:paraId="2C372E34" w14:textId="77777777" w:rsidR="00475242" w:rsidRDefault="008F0BC1">
            <w:pPr>
              <w:pBdr>
                <w:top w:val="nil"/>
                <w:left w:val="nil"/>
                <w:bottom w:val="nil"/>
                <w:right w:val="nil"/>
                <w:between w:val="nil"/>
              </w:pBdr>
              <w:tabs>
                <w:tab w:val="center" w:pos="4320"/>
                <w:tab w:val="right" w:pos="8640"/>
              </w:tabs>
              <w:rPr>
                <w:rFonts w:ascii="Arial" w:eastAsia="Arial" w:hAnsi="Arial" w:cs="Arial"/>
                <w:b/>
                <w:bCs/>
                <w:color w:val="000000"/>
              </w:rPr>
            </w:pPr>
            <w:r>
              <w:rPr>
                <w:rFonts w:ascii="Arial" w:eastAsia="Arial" w:hAnsi="Arial" w:cs="Arial"/>
                <w:b/>
                <w:bCs/>
                <w:color w:val="000000"/>
              </w:rPr>
              <w:t>Date</w:t>
            </w:r>
          </w:p>
        </w:tc>
        <w:tc>
          <w:tcPr>
            <w:tcW w:w="7560" w:type="dxa"/>
            <w:tcBorders>
              <w:top w:val="single" w:sz="4" w:space="0" w:color="000000"/>
              <w:left w:val="single" w:sz="4" w:space="0" w:color="000000"/>
              <w:bottom w:val="single" w:sz="4" w:space="0" w:color="000000"/>
              <w:right w:val="single" w:sz="4" w:space="0" w:color="000000"/>
            </w:tcBorders>
            <w:vAlign w:val="center"/>
          </w:tcPr>
          <w:p w14:paraId="5BF449F2" w14:textId="43431F3D" w:rsidR="00475242" w:rsidRDefault="00DC59CF">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November </w:t>
            </w:r>
            <w:r>
              <w:rPr>
                <w:rFonts w:ascii="Arial" w:eastAsia="Arial" w:hAnsi="Arial" w:cs="Arial"/>
              </w:rPr>
              <w:t>4</w:t>
            </w:r>
            <w:r>
              <w:rPr>
                <w:rFonts w:ascii="Arial" w:eastAsia="Arial" w:hAnsi="Arial" w:cs="Arial"/>
                <w:color w:val="000000"/>
              </w:rPr>
              <w:t>, 2026</w:t>
            </w:r>
          </w:p>
        </w:tc>
      </w:tr>
      <w:tr w:rsidR="00475242" w14:paraId="73772BB5" w14:textId="77777777">
        <w:trPr>
          <w:trHeight w:val="467"/>
        </w:trPr>
        <w:tc>
          <w:tcPr>
            <w:tcW w:w="2880" w:type="dxa"/>
            <w:tcBorders>
              <w:top w:val="single" w:sz="4" w:space="0" w:color="000000"/>
              <w:left w:val="nil"/>
              <w:bottom w:val="nil"/>
              <w:right w:val="nil"/>
            </w:tcBorders>
            <w:shd w:val="clear" w:color="auto" w:fill="FFFFFF"/>
            <w:vAlign w:val="center"/>
          </w:tcPr>
          <w:p w14:paraId="4A943130" w14:textId="77777777" w:rsidR="00475242" w:rsidRDefault="00475242">
            <w:pPr>
              <w:pBdr>
                <w:top w:val="nil"/>
                <w:left w:val="nil"/>
                <w:bottom w:val="nil"/>
                <w:right w:val="nil"/>
                <w:between w:val="nil"/>
              </w:pBdr>
              <w:rPr>
                <w:rFonts w:ascii="Arial" w:eastAsia="Arial" w:hAnsi="Arial" w:cs="Arial"/>
                <w:color w:val="000000"/>
              </w:rPr>
            </w:pPr>
          </w:p>
        </w:tc>
        <w:tc>
          <w:tcPr>
            <w:tcW w:w="7560" w:type="dxa"/>
            <w:tcBorders>
              <w:top w:val="nil"/>
              <w:left w:val="nil"/>
              <w:bottom w:val="nil"/>
              <w:right w:val="nil"/>
            </w:tcBorders>
            <w:vAlign w:val="center"/>
          </w:tcPr>
          <w:p w14:paraId="322FEBD5" w14:textId="77777777" w:rsidR="00475242" w:rsidRDefault="00475242">
            <w:pPr>
              <w:pBdr>
                <w:top w:val="nil"/>
                <w:left w:val="nil"/>
                <w:bottom w:val="nil"/>
                <w:right w:val="nil"/>
                <w:between w:val="nil"/>
              </w:pBdr>
              <w:rPr>
                <w:rFonts w:ascii="Arial" w:eastAsia="Arial" w:hAnsi="Arial" w:cs="Arial"/>
                <w:color w:val="000000"/>
              </w:rPr>
            </w:pPr>
          </w:p>
        </w:tc>
      </w:tr>
      <w:tr w:rsidR="00475242" w14:paraId="2566B210" w14:textId="77777777">
        <w:trPr>
          <w:trHeight w:val="440"/>
        </w:trPr>
        <w:tc>
          <w:tcPr>
            <w:tcW w:w="10440" w:type="dxa"/>
            <w:gridSpan w:val="2"/>
            <w:tcBorders>
              <w:top w:val="single" w:sz="4" w:space="0" w:color="000000"/>
            </w:tcBorders>
            <w:shd w:val="clear" w:color="auto" w:fill="FFFFFF"/>
            <w:vAlign w:val="center"/>
          </w:tcPr>
          <w:p w14:paraId="3DD4BD15" w14:textId="77777777" w:rsidR="00475242" w:rsidRDefault="008F0BC1">
            <w:pPr>
              <w:pBdr>
                <w:top w:val="nil"/>
                <w:left w:val="nil"/>
                <w:bottom w:val="nil"/>
                <w:right w:val="nil"/>
                <w:between w:val="nil"/>
              </w:pBdr>
              <w:tabs>
                <w:tab w:val="center" w:pos="4320"/>
                <w:tab w:val="right" w:pos="8640"/>
              </w:tabs>
              <w:jc w:val="center"/>
              <w:rPr>
                <w:rFonts w:ascii="Arial" w:eastAsia="Arial" w:hAnsi="Arial" w:cs="Arial"/>
                <w:b/>
                <w:bCs/>
                <w:color w:val="000000"/>
              </w:rPr>
            </w:pPr>
            <w:r>
              <w:rPr>
                <w:rFonts w:ascii="Arial" w:eastAsia="Arial" w:hAnsi="Arial" w:cs="Arial"/>
                <w:b/>
                <w:bCs/>
                <w:color w:val="000000"/>
              </w:rPr>
              <w:t>Submitter’s Information</w:t>
            </w:r>
          </w:p>
        </w:tc>
      </w:tr>
      <w:tr w:rsidR="00475242" w14:paraId="65DC5FF9" w14:textId="77777777">
        <w:trPr>
          <w:trHeight w:val="350"/>
        </w:trPr>
        <w:tc>
          <w:tcPr>
            <w:tcW w:w="2880" w:type="dxa"/>
            <w:shd w:val="clear" w:color="auto" w:fill="FFFFFF"/>
            <w:vAlign w:val="center"/>
          </w:tcPr>
          <w:p w14:paraId="6FC9C4B6" w14:textId="77777777" w:rsidR="00475242" w:rsidRDefault="008F0BC1">
            <w:pPr>
              <w:pBdr>
                <w:top w:val="nil"/>
                <w:left w:val="nil"/>
                <w:bottom w:val="nil"/>
                <w:right w:val="nil"/>
                <w:between w:val="nil"/>
              </w:pBdr>
              <w:tabs>
                <w:tab w:val="center" w:pos="4320"/>
                <w:tab w:val="right" w:pos="8640"/>
              </w:tabs>
              <w:rPr>
                <w:rFonts w:ascii="Arial" w:eastAsia="Arial" w:hAnsi="Arial" w:cs="Arial"/>
                <w:b/>
                <w:bCs/>
                <w:color w:val="000000"/>
              </w:rPr>
            </w:pPr>
            <w:r>
              <w:rPr>
                <w:rFonts w:ascii="Arial" w:eastAsia="Arial" w:hAnsi="Arial" w:cs="Arial"/>
                <w:b/>
                <w:bCs/>
                <w:color w:val="000000"/>
              </w:rPr>
              <w:t>Name</w:t>
            </w:r>
          </w:p>
        </w:tc>
        <w:tc>
          <w:tcPr>
            <w:tcW w:w="7560" w:type="dxa"/>
            <w:vAlign w:val="center"/>
          </w:tcPr>
          <w:p w14:paraId="2A8C5D19" w14:textId="7021BB88" w:rsidR="00475242" w:rsidRDefault="00470DC3">
            <w:pPr>
              <w:pBdr>
                <w:top w:val="nil"/>
                <w:left w:val="nil"/>
                <w:bottom w:val="nil"/>
                <w:right w:val="nil"/>
                <w:between w:val="nil"/>
              </w:pBdr>
              <w:rPr>
                <w:rFonts w:ascii="Arial" w:eastAsia="Arial" w:hAnsi="Arial" w:cs="Arial"/>
                <w:color w:val="000000"/>
              </w:rPr>
            </w:pPr>
            <w:r>
              <w:rPr>
                <w:rFonts w:ascii="Arial" w:eastAsia="Arial" w:hAnsi="Arial" w:cs="Arial"/>
                <w:color w:val="000000"/>
              </w:rPr>
              <w:t>Blake Holt</w:t>
            </w:r>
          </w:p>
        </w:tc>
      </w:tr>
      <w:tr w:rsidR="00475242" w14:paraId="6FBF5FEF" w14:textId="77777777">
        <w:trPr>
          <w:trHeight w:val="350"/>
        </w:trPr>
        <w:tc>
          <w:tcPr>
            <w:tcW w:w="2880" w:type="dxa"/>
            <w:shd w:val="clear" w:color="auto" w:fill="FFFFFF"/>
            <w:vAlign w:val="center"/>
          </w:tcPr>
          <w:p w14:paraId="525AAFC5" w14:textId="77777777" w:rsidR="00475242" w:rsidRDefault="008F0BC1">
            <w:pPr>
              <w:pBdr>
                <w:top w:val="nil"/>
                <w:left w:val="nil"/>
                <w:bottom w:val="nil"/>
                <w:right w:val="nil"/>
                <w:between w:val="nil"/>
              </w:pBdr>
              <w:tabs>
                <w:tab w:val="center" w:pos="4320"/>
                <w:tab w:val="right" w:pos="8640"/>
              </w:tabs>
              <w:rPr>
                <w:rFonts w:ascii="Arial" w:eastAsia="Arial" w:hAnsi="Arial" w:cs="Arial"/>
                <w:b/>
                <w:bCs/>
                <w:color w:val="000000"/>
              </w:rPr>
            </w:pPr>
            <w:r>
              <w:rPr>
                <w:rFonts w:ascii="Arial" w:eastAsia="Arial" w:hAnsi="Arial" w:cs="Arial"/>
                <w:b/>
                <w:bCs/>
                <w:color w:val="000000"/>
              </w:rPr>
              <w:t>E-mail Address</w:t>
            </w:r>
          </w:p>
        </w:tc>
        <w:tc>
          <w:tcPr>
            <w:tcW w:w="7560" w:type="dxa"/>
            <w:vAlign w:val="center"/>
          </w:tcPr>
          <w:p w14:paraId="7C15EA03" w14:textId="4E782C03" w:rsidR="00475242" w:rsidRDefault="00470DC3">
            <w:pPr>
              <w:pBdr>
                <w:top w:val="nil"/>
                <w:left w:val="nil"/>
                <w:bottom w:val="nil"/>
                <w:right w:val="nil"/>
                <w:between w:val="nil"/>
              </w:pBdr>
              <w:rPr>
                <w:rFonts w:ascii="Arial" w:eastAsia="Arial" w:hAnsi="Arial" w:cs="Arial"/>
                <w:color w:val="000000"/>
              </w:rPr>
            </w:pPr>
            <w:hyperlink r:id="rId9" w:history="1">
              <w:r w:rsidRPr="005D35E1">
                <w:rPr>
                  <w:rStyle w:val="Hyperlink"/>
                  <w:rFonts w:ascii="Arial" w:eastAsia="Arial" w:hAnsi="Arial" w:cs="Arial"/>
                  <w:position w:val="0"/>
                </w:rPr>
                <w:t>bholt@basepowercompany.com</w:t>
              </w:r>
            </w:hyperlink>
          </w:p>
        </w:tc>
      </w:tr>
      <w:tr w:rsidR="00475242" w14:paraId="79F887ED" w14:textId="77777777">
        <w:trPr>
          <w:trHeight w:val="350"/>
        </w:trPr>
        <w:tc>
          <w:tcPr>
            <w:tcW w:w="2880" w:type="dxa"/>
            <w:shd w:val="clear" w:color="auto" w:fill="FFFFFF"/>
            <w:vAlign w:val="center"/>
          </w:tcPr>
          <w:p w14:paraId="1BD054EE" w14:textId="77777777" w:rsidR="00475242" w:rsidRDefault="008F0BC1">
            <w:pPr>
              <w:pBdr>
                <w:top w:val="nil"/>
                <w:left w:val="nil"/>
                <w:bottom w:val="nil"/>
                <w:right w:val="nil"/>
                <w:between w:val="nil"/>
              </w:pBdr>
              <w:tabs>
                <w:tab w:val="center" w:pos="4320"/>
                <w:tab w:val="right" w:pos="8640"/>
              </w:tabs>
              <w:rPr>
                <w:rFonts w:ascii="Arial" w:eastAsia="Arial" w:hAnsi="Arial" w:cs="Arial"/>
                <w:b/>
                <w:bCs/>
                <w:color w:val="000000"/>
              </w:rPr>
            </w:pPr>
            <w:r>
              <w:rPr>
                <w:rFonts w:ascii="Arial" w:eastAsia="Arial" w:hAnsi="Arial" w:cs="Arial"/>
                <w:b/>
                <w:bCs/>
                <w:color w:val="000000"/>
              </w:rPr>
              <w:t>Company</w:t>
            </w:r>
          </w:p>
        </w:tc>
        <w:tc>
          <w:tcPr>
            <w:tcW w:w="7560" w:type="dxa"/>
            <w:vAlign w:val="center"/>
          </w:tcPr>
          <w:p w14:paraId="2256E0BD" w14:textId="77777777" w:rsidR="00475242" w:rsidRDefault="008F0BC1">
            <w:pPr>
              <w:pBdr>
                <w:top w:val="nil"/>
                <w:left w:val="nil"/>
                <w:bottom w:val="nil"/>
                <w:right w:val="nil"/>
                <w:between w:val="nil"/>
              </w:pBdr>
              <w:rPr>
                <w:rFonts w:ascii="Arial" w:eastAsia="Arial" w:hAnsi="Arial" w:cs="Arial"/>
                <w:color w:val="000000"/>
              </w:rPr>
            </w:pPr>
            <w:r>
              <w:rPr>
                <w:rFonts w:ascii="Arial" w:eastAsia="Arial" w:hAnsi="Arial" w:cs="Arial"/>
                <w:color w:val="000000"/>
              </w:rPr>
              <w:t>Base Power (Base)</w:t>
            </w:r>
          </w:p>
        </w:tc>
      </w:tr>
      <w:tr w:rsidR="00475242" w14:paraId="6A1FBD9A" w14:textId="77777777">
        <w:trPr>
          <w:trHeight w:val="350"/>
        </w:trPr>
        <w:tc>
          <w:tcPr>
            <w:tcW w:w="2880" w:type="dxa"/>
            <w:tcBorders>
              <w:bottom w:val="single" w:sz="4" w:space="0" w:color="000000"/>
            </w:tcBorders>
            <w:shd w:val="clear" w:color="auto" w:fill="FFFFFF"/>
            <w:vAlign w:val="center"/>
          </w:tcPr>
          <w:p w14:paraId="4E83840F" w14:textId="77777777" w:rsidR="00475242" w:rsidRDefault="008F0BC1">
            <w:pPr>
              <w:pBdr>
                <w:top w:val="nil"/>
                <w:left w:val="nil"/>
                <w:bottom w:val="nil"/>
                <w:right w:val="nil"/>
                <w:between w:val="nil"/>
              </w:pBdr>
              <w:tabs>
                <w:tab w:val="center" w:pos="4320"/>
                <w:tab w:val="right" w:pos="8640"/>
              </w:tabs>
              <w:rPr>
                <w:rFonts w:ascii="Arial" w:eastAsia="Arial" w:hAnsi="Arial" w:cs="Arial"/>
                <w:b/>
                <w:bCs/>
                <w:color w:val="000000"/>
              </w:rPr>
            </w:pPr>
            <w:r>
              <w:rPr>
                <w:rFonts w:ascii="Arial" w:eastAsia="Arial" w:hAnsi="Arial" w:cs="Arial"/>
                <w:b/>
                <w:bCs/>
                <w:color w:val="000000"/>
              </w:rPr>
              <w:t>Phone Number</w:t>
            </w:r>
          </w:p>
        </w:tc>
        <w:tc>
          <w:tcPr>
            <w:tcW w:w="7560" w:type="dxa"/>
            <w:tcBorders>
              <w:bottom w:val="single" w:sz="4" w:space="0" w:color="000000"/>
            </w:tcBorders>
            <w:vAlign w:val="center"/>
          </w:tcPr>
          <w:p w14:paraId="266E221F" w14:textId="79076686" w:rsidR="00475242" w:rsidRDefault="00470DC3">
            <w:pPr>
              <w:pBdr>
                <w:top w:val="nil"/>
                <w:left w:val="nil"/>
                <w:bottom w:val="nil"/>
                <w:right w:val="nil"/>
                <w:between w:val="nil"/>
              </w:pBdr>
              <w:rPr>
                <w:rFonts w:ascii="Arial" w:eastAsia="Arial" w:hAnsi="Arial" w:cs="Arial"/>
                <w:color w:val="000000"/>
              </w:rPr>
            </w:pPr>
            <w:r>
              <w:rPr>
                <w:rFonts w:ascii="Arial" w:eastAsia="Arial" w:hAnsi="Arial" w:cs="Arial"/>
                <w:color w:val="000000"/>
              </w:rPr>
              <w:t>254-913-8096</w:t>
            </w:r>
          </w:p>
        </w:tc>
      </w:tr>
      <w:tr w:rsidR="00475242" w14:paraId="386FCEB2" w14:textId="77777777">
        <w:trPr>
          <w:trHeight w:val="350"/>
        </w:trPr>
        <w:tc>
          <w:tcPr>
            <w:tcW w:w="2880" w:type="dxa"/>
            <w:shd w:val="clear" w:color="auto" w:fill="FFFFFF"/>
            <w:vAlign w:val="center"/>
          </w:tcPr>
          <w:p w14:paraId="5EB99B94" w14:textId="77777777" w:rsidR="00475242" w:rsidRDefault="008F0BC1">
            <w:pPr>
              <w:pBdr>
                <w:top w:val="nil"/>
                <w:left w:val="nil"/>
                <w:bottom w:val="nil"/>
                <w:right w:val="nil"/>
                <w:between w:val="nil"/>
              </w:pBdr>
              <w:tabs>
                <w:tab w:val="center" w:pos="4320"/>
                <w:tab w:val="right" w:pos="8640"/>
              </w:tabs>
              <w:rPr>
                <w:rFonts w:ascii="Arial" w:eastAsia="Arial" w:hAnsi="Arial" w:cs="Arial"/>
                <w:b/>
                <w:bCs/>
                <w:color w:val="000000"/>
              </w:rPr>
            </w:pPr>
            <w:r>
              <w:rPr>
                <w:rFonts w:ascii="Arial" w:eastAsia="Arial" w:hAnsi="Arial" w:cs="Arial"/>
                <w:b/>
                <w:bCs/>
                <w:color w:val="000000"/>
              </w:rPr>
              <w:t>Cell Number</w:t>
            </w:r>
          </w:p>
        </w:tc>
        <w:tc>
          <w:tcPr>
            <w:tcW w:w="7560" w:type="dxa"/>
            <w:vAlign w:val="center"/>
          </w:tcPr>
          <w:p w14:paraId="1192666B" w14:textId="77777777" w:rsidR="00475242" w:rsidRDefault="00475242">
            <w:pPr>
              <w:pBdr>
                <w:top w:val="nil"/>
                <w:left w:val="nil"/>
                <w:bottom w:val="nil"/>
                <w:right w:val="nil"/>
                <w:between w:val="nil"/>
              </w:pBdr>
              <w:rPr>
                <w:rFonts w:ascii="Arial" w:eastAsia="Arial" w:hAnsi="Arial" w:cs="Arial"/>
                <w:color w:val="000000"/>
              </w:rPr>
            </w:pPr>
          </w:p>
        </w:tc>
      </w:tr>
      <w:tr w:rsidR="00475242" w14:paraId="7916E319" w14:textId="77777777">
        <w:trPr>
          <w:trHeight w:val="350"/>
        </w:trPr>
        <w:tc>
          <w:tcPr>
            <w:tcW w:w="2880" w:type="dxa"/>
            <w:tcBorders>
              <w:bottom w:val="single" w:sz="4" w:space="0" w:color="000000"/>
            </w:tcBorders>
            <w:shd w:val="clear" w:color="auto" w:fill="FFFFFF"/>
            <w:vAlign w:val="center"/>
          </w:tcPr>
          <w:p w14:paraId="34594281" w14:textId="77777777" w:rsidR="00475242" w:rsidRDefault="008F0BC1">
            <w:pPr>
              <w:pBdr>
                <w:top w:val="nil"/>
                <w:left w:val="nil"/>
                <w:bottom w:val="nil"/>
                <w:right w:val="nil"/>
                <w:between w:val="nil"/>
              </w:pBdr>
              <w:tabs>
                <w:tab w:val="center" w:pos="4320"/>
                <w:tab w:val="right" w:pos="8640"/>
              </w:tabs>
              <w:rPr>
                <w:rFonts w:ascii="Arial" w:eastAsia="Arial" w:hAnsi="Arial" w:cs="Arial"/>
                <w:b/>
                <w:bCs/>
                <w:color w:val="000000"/>
              </w:rPr>
            </w:pPr>
            <w:r>
              <w:rPr>
                <w:rFonts w:ascii="Arial" w:eastAsia="Arial" w:hAnsi="Arial" w:cs="Arial"/>
                <w:b/>
                <w:bCs/>
                <w:color w:val="000000"/>
              </w:rPr>
              <w:t>Market Segment</w:t>
            </w:r>
          </w:p>
        </w:tc>
        <w:tc>
          <w:tcPr>
            <w:tcW w:w="7560" w:type="dxa"/>
            <w:tcBorders>
              <w:bottom w:val="single" w:sz="4" w:space="0" w:color="000000"/>
            </w:tcBorders>
            <w:vAlign w:val="center"/>
          </w:tcPr>
          <w:p w14:paraId="5F591F69" w14:textId="77777777" w:rsidR="00475242" w:rsidRDefault="008F0BC1">
            <w:pPr>
              <w:pBdr>
                <w:top w:val="nil"/>
                <w:left w:val="nil"/>
                <w:bottom w:val="nil"/>
                <w:right w:val="nil"/>
                <w:between w:val="nil"/>
              </w:pBdr>
              <w:rPr>
                <w:rFonts w:ascii="Arial" w:eastAsia="Arial" w:hAnsi="Arial" w:cs="Arial"/>
                <w:color w:val="000000"/>
              </w:rPr>
            </w:pPr>
            <w:r>
              <w:rPr>
                <w:rFonts w:ascii="Arial" w:eastAsia="Arial" w:hAnsi="Arial" w:cs="Arial"/>
                <w:color w:val="000000"/>
              </w:rPr>
              <w:t>Independent Retail Electric Provider (IREP)</w:t>
            </w:r>
          </w:p>
        </w:tc>
      </w:tr>
    </w:tbl>
    <w:p w14:paraId="7E131BC2" w14:textId="77777777" w:rsidR="00475242" w:rsidRDefault="00475242">
      <w:pPr>
        <w:pBdr>
          <w:top w:val="nil"/>
          <w:left w:val="nil"/>
          <w:bottom w:val="nil"/>
          <w:right w:val="nil"/>
          <w:between w:val="nil"/>
        </w:pBdr>
        <w:rPr>
          <w:rFonts w:ascii="Arial" w:eastAsia="Arial" w:hAnsi="Arial" w:cs="Arial"/>
          <w:color w:val="000000"/>
        </w:rPr>
      </w:pPr>
    </w:p>
    <w:p w14:paraId="3E1CCE0C" w14:textId="77777777" w:rsidR="00475242" w:rsidRDefault="00475242">
      <w:pPr>
        <w:pBdr>
          <w:top w:val="nil"/>
          <w:left w:val="nil"/>
          <w:bottom w:val="nil"/>
          <w:right w:val="nil"/>
          <w:between w:val="nil"/>
        </w:pBdr>
        <w:rPr>
          <w:rFonts w:ascii="Arial" w:eastAsia="Arial" w:hAnsi="Arial" w:cs="Arial"/>
          <w:color w:val="000000"/>
        </w:rPr>
      </w:pPr>
    </w:p>
    <w:tbl>
      <w:tblPr>
        <w:tblStyle w:val="a0"/>
        <w:tblW w:w="104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40"/>
      </w:tblGrid>
      <w:tr w:rsidR="00475242" w14:paraId="57E3B502" w14:textId="77777777">
        <w:trPr>
          <w:trHeight w:val="422"/>
          <w:jc w:val="center"/>
        </w:trPr>
        <w:tc>
          <w:tcPr>
            <w:tcW w:w="10440" w:type="dxa"/>
            <w:vAlign w:val="center"/>
          </w:tcPr>
          <w:p w14:paraId="721983D7" w14:textId="77777777" w:rsidR="00475242" w:rsidRDefault="008F0BC1">
            <w:pPr>
              <w:pBdr>
                <w:top w:val="nil"/>
                <w:left w:val="nil"/>
                <w:bottom w:val="nil"/>
                <w:right w:val="nil"/>
                <w:between w:val="nil"/>
              </w:pBdr>
              <w:tabs>
                <w:tab w:val="center" w:pos="4320"/>
                <w:tab w:val="right" w:pos="8640"/>
              </w:tabs>
              <w:jc w:val="center"/>
              <w:rPr>
                <w:rFonts w:ascii="Arial" w:eastAsia="Arial" w:hAnsi="Arial" w:cs="Arial"/>
                <w:b/>
                <w:bCs/>
                <w:color w:val="000000"/>
              </w:rPr>
            </w:pPr>
            <w:r>
              <w:rPr>
                <w:rFonts w:ascii="Arial" w:eastAsia="Arial" w:hAnsi="Arial" w:cs="Arial"/>
                <w:b/>
                <w:bCs/>
                <w:color w:val="000000"/>
              </w:rPr>
              <w:t>Comments</w:t>
            </w:r>
          </w:p>
        </w:tc>
      </w:tr>
    </w:tbl>
    <w:p w14:paraId="55A3E8C3" w14:textId="77777777" w:rsidR="00475242" w:rsidRDefault="00475242">
      <w:pPr>
        <w:pBdr>
          <w:top w:val="nil"/>
          <w:left w:val="nil"/>
          <w:bottom w:val="nil"/>
          <w:right w:val="nil"/>
          <w:between w:val="nil"/>
        </w:pBdr>
        <w:rPr>
          <w:rFonts w:ascii="Arial" w:eastAsia="Arial" w:hAnsi="Arial" w:cs="Arial"/>
          <w:color w:val="000000"/>
        </w:rPr>
      </w:pPr>
    </w:p>
    <w:p w14:paraId="0C257548" w14:textId="77777777" w:rsidR="00475242" w:rsidRDefault="008F0BC1">
      <w:pPr>
        <w:pBdr>
          <w:top w:val="nil"/>
          <w:left w:val="nil"/>
          <w:bottom w:val="nil"/>
          <w:right w:val="nil"/>
          <w:between w:val="nil"/>
        </w:pBdr>
        <w:ind w:firstLine="720"/>
        <w:rPr>
          <w:rFonts w:ascii="Arial" w:eastAsia="Arial" w:hAnsi="Arial" w:cs="Arial"/>
          <w:color w:val="000000"/>
        </w:rPr>
      </w:pPr>
      <w:r>
        <w:rPr>
          <w:rFonts w:ascii="Arial" w:eastAsia="Arial" w:hAnsi="Arial" w:cs="Arial"/>
          <w:color w:val="000000"/>
        </w:rPr>
        <w:t>Base supports ERCOT’s efforts to move the Aggregated Distributed Energy Resource (ADER) Pilot Project into its next phase (i.e., Phase IV). Of utmost importance, there is a need for ERCOT, and market participants in general, to understand the impacts that a nodal dispatch of ADERs can have on a congested transmission network. Given the significant interconnection interest from Large Loads, and the shortage of adequate transmission and generation capacity on the system to meet that demand, Base encourages ma</w:t>
      </w:r>
      <w:r>
        <w:rPr>
          <w:rFonts w:ascii="Arial" w:eastAsia="Arial" w:hAnsi="Arial" w:cs="Arial"/>
          <w:color w:val="000000"/>
        </w:rPr>
        <w:t>rket participants to utilize Phase IV as a testing ground to prove out the benefits that Base has witnessed in a study conducted in coordination with Piq Energy.</w:t>
      </w:r>
      <w:r>
        <w:rPr>
          <w:rFonts w:ascii="Arial" w:eastAsia="Arial" w:hAnsi="Arial" w:cs="Arial"/>
          <w:color w:val="000000"/>
          <w:vertAlign w:val="superscript"/>
        </w:rPr>
        <w:footnoteReference w:id="1"/>
      </w:r>
      <w:r>
        <w:rPr>
          <w:rFonts w:ascii="Arial" w:eastAsia="Arial" w:hAnsi="Arial" w:cs="Arial"/>
          <w:color w:val="000000"/>
        </w:rPr>
        <w:t xml:space="preserve"> Essentially, the study suggests that strategically located and nodally dispatched ADERs</w:t>
      </w:r>
      <w:r>
        <w:rPr>
          <w:rFonts w:ascii="Arial" w:eastAsia="Arial" w:hAnsi="Arial" w:cs="Arial"/>
          <w:color w:val="000000"/>
          <w:vertAlign w:val="superscript"/>
        </w:rPr>
        <w:footnoteReference w:id="2"/>
      </w:r>
      <w:r>
        <w:rPr>
          <w:rFonts w:ascii="Arial" w:eastAsia="Arial" w:hAnsi="Arial" w:cs="Arial"/>
          <w:color w:val="000000"/>
        </w:rPr>
        <w:t xml:space="preserve"> can relieve transmission constraints and optimize existing transmission capacity. These observations suggest that more precise dispatch of ADERs can in the best scenario allow Large Loads to achieve accelerated access to power at a fraction of the cost of traditional infrastructure upgrades, or in the most likely scenario, receive an increase in capacity allocation in ERCOT’s Batch process while waiting on necessary upgrades. </w:t>
      </w:r>
    </w:p>
    <w:p w14:paraId="141108FA" w14:textId="77777777" w:rsidR="00475242" w:rsidRDefault="00475242">
      <w:pPr>
        <w:pBdr>
          <w:top w:val="nil"/>
          <w:left w:val="nil"/>
          <w:bottom w:val="nil"/>
          <w:right w:val="nil"/>
          <w:between w:val="nil"/>
        </w:pBdr>
        <w:ind w:firstLine="720"/>
        <w:rPr>
          <w:rFonts w:ascii="Arial" w:eastAsia="Arial" w:hAnsi="Arial" w:cs="Arial"/>
          <w:color w:val="000000"/>
        </w:rPr>
      </w:pPr>
    </w:p>
    <w:p w14:paraId="6C920CAD" w14:textId="2BF51074" w:rsidR="00475242" w:rsidRDefault="008F0BC1">
      <w:pPr>
        <w:pBdr>
          <w:top w:val="nil"/>
          <w:left w:val="nil"/>
          <w:bottom w:val="nil"/>
          <w:right w:val="nil"/>
          <w:between w:val="nil"/>
        </w:pBdr>
        <w:ind w:firstLine="720"/>
        <w:rPr>
          <w:rFonts w:ascii="Arial" w:eastAsia="Arial" w:hAnsi="Arial" w:cs="Arial"/>
          <w:color w:val="000000"/>
        </w:rPr>
      </w:pPr>
      <w:r>
        <w:rPr>
          <w:rFonts w:ascii="Arial" w:eastAsia="Arial" w:hAnsi="Arial" w:cs="Arial"/>
          <w:color w:val="000000"/>
        </w:rPr>
        <w:t>These benefits should be of interest to all market participants. In fact, they fit squarely within the Technical Advisory Committee’s</w:t>
      </w:r>
      <w:r w:rsidR="00F8390C">
        <w:rPr>
          <w:rFonts w:ascii="Arial" w:eastAsia="Arial" w:hAnsi="Arial" w:cs="Arial"/>
          <w:color w:val="000000"/>
        </w:rPr>
        <w:t xml:space="preserve"> (TAC’s)</w:t>
      </w:r>
      <w:r>
        <w:rPr>
          <w:rFonts w:ascii="Arial" w:eastAsia="Arial" w:hAnsi="Arial" w:cs="Arial"/>
          <w:color w:val="000000"/>
        </w:rPr>
        <w:t xml:space="preserve"> strategic objectives</w:t>
      </w:r>
      <w:r>
        <w:rPr>
          <w:rFonts w:ascii="Arial" w:eastAsia="Arial" w:hAnsi="Arial" w:cs="Arial"/>
          <w:color w:val="000000"/>
          <w:vertAlign w:val="superscript"/>
        </w:rPr>
        <w:footnoteReference w:id="3"/>
      </w:r>
      <w:r>
        <w:rPr>
          <w:rFonts w:ascii="Arial" w:eastAsia="Arial" w:hAnsi="Arial" w:cs="Arial"/>
          <w:color w:val="000000"/>
        </w:rPr>
        <w:t xml:space="preserve"> by </w:t>
      </w:r>
      <w:r>
        <w:rPr>
          <w:rFonts w:ascii="Arial" w:eastAsia="Arial" w:hAnsi="Arial" w:cs="Arial"/>
          <w:color w:val="000000"/>
        </w:rPr>
        <w:lastRenderedPageBreak/>
        <w:t>supporting “open access to the ERCOT markets and transmission networks” and exploring “cost effective market design changes and reliability enhancements.” As defined in 16 Texas Administrative Code (TAC) § 25.361(k)(1), pilot projects are meant to be a “temporary platform” with possible “temporary exceptions from ERCOT rules” to “validate performance claims of alternative technologies.” Additionally, “ERCOT may use information gained from pilot projects to inform the development of permanent changes to ERCO</w:t>
      </w:r>
      <w:r>
        <w:rPr>
          <w:rFonts w:ascii="Arial" w:eastAsia="Arial" w:hAnsi="Arial" w:cs="Arial"/>
          <w:color w:val="000000"/>
        </w:rPr>
        <w:t xml:space="preserve">T rules.” Base welcomes a transition from the pilot phase to a permanent market design but wants to emphasize the unique opportunity that the ADER program </w:t>
      </w:r>
      <w:r>
        <w:rPr>
          <w:rFonts w:ascii="Arial" w:eastAsia="Arial" w:hAnsi="Arial" w:cs="Arial"/>
        </w:rPr>
        <w:t>offers</w:t>
      </w:r>
      <w:r>
        <w:rPr>
          <w:rFonts w:ascii="Arial" w:eastAsia="Arial" w:hAnsi="Arial" w:cs="Arial"/>
          <w:color w:val="000000"/>
        </w:rPr>
        <w:t xml:space="preserve"> to stakeholders… an opportunity to test impacts in a controlled environment </w:t>
      </w:r>
      <w:r>
        <w:rPr>
          <w:rFonts w:ascii="Arial" w:eastAsia="Arial" w:hAnsi="Arial" w:cs="Arial"/>
          <w:i/>
          <w:iCs/>
          <w:color w:val="000000"/>
        </w:rPr>
        <w:t>prior</w:t>
      </w:r>
      <w:r>
        <w:rPr>
          <w:rFonts w:ascii="Arial" w:eastAsia="Arial" w:hAnsi="Arial" w:cs="Arial"/>
          <w:color w:val="000000"/>
        </w:rPr>
        <w:t xml:space="preserve"> to drafting permanent rules. Whatever rules come out of this process, the ERCOT Board and the Public Utility Commission (PUC) are better served by a framework built on pilot data than one built on assumptions. Rules written without that </w:t>
      </w:r>
      <w:r>
        <w:rPr>
          <w:rFonts w:ascii="Arial" w:eastAsia="Arial" w:hAnsi="Arial" w:cs="Arial"/>
        </w:rPr>
        <w:t>experience</w:t>
      </w:r>
      <w:r>
        <w:rPr>
          <w:rFonts w:ascii="Arial" w:eastAsia="Arial" w:hAnsi="Arial" w:cs="Arial"/>
          <w:color w:val="000000"/>
        </w:rPr>
        <w:t xml:space="preserve"> risk being overly permissive or overly restrictive, which would lead to </w:t>
      </w:r>
      <w:r w:rsidR="0059119B">
        <w:rPr>
          <w:rFonts w:ascii="Arial" w:eastAsia="Arial" w:hAnsi="Arial" w:cs="Arial"/>
          <w:color w:val="000000"/>
        </w:rPr>
        <w:t>ineffectiveness and</w:t>
      </w:r>
      <w:r>
        <w:rPr>
          <w:rFonts w:ascii="Arial" w:eastAsia="Arial" w:hAnsi="Arial" w:cs="Arial"/>
          <w:color w:val="000000"/>
        </w:rPr>
        <w:t xml:space="preserve"> delay the solutions that ERCOT needs.</w:t>
      </w:r>
    </w:p>
    <w:p w14:paraId="39FD28FB" w14:textId="77777777" w:rsidR="00475242" w:rsidRDefault="00475242">
      <w:pPr>
        <w:pBdr>
          <w:top w:val="nil"/>
          <w:left w:val="nil"/>
          <w:bottom w:val="nil"/>
          <w:right w:val="nil"/>
          <w:between w:val="nil"/>
        </w:pBdr>
        <w:ind w:firstLine="720"/>
        <w:rPr>
          <w:rFonts w:ascii="Arial" w:eastAsia="Arial" w:hAnsi="Arial" w:cs="Arial"/>
          <w:color w:val="000000"/>
        </w:rPr>
      </w:pPr>
    </w:p>
    <w:p w14:paraId="401A00D2" w14:textId="345ACD0B" w:rsidR="00475242" w:rsidRDefault="008F0BC1">
      <w:pPr>
        <w:pBdr>
          <w:top w:val="nil"/>
          <w:left w:val="nil"/>
          <w:bottom w:val="nil"/>
          <w:right w:val="nil"/>
          <w:between w:val="nil"/>
        </w:pBdr>
        <w:ind w:firstLine="720"/>
        <w:rPr>
          <w:rFonts w:ascii="Arial" w:eastAsia="Arial" w:hAnsi="Arial" w:cs="Arial"/>
          <w:color w:val="000000"/>
        </w:rPr>
      </w:pPr>
      <w:r>
        <w:rPr>
          <w:rFonts w:ascii="Arial" w:eastAsia="Arial" w:hAnsi="Arial" w:cs="Arial"/>
          <w:color w:val="000000"/>
        </w:rPr>
        <w:t>More specifically, Base wants to hi</w:t>
      </w:r>
      <w:r>
        <w:rPr>
          <w:rFonts w:ascii="Arial" w:eastAsia="Arial" w:hAnsi="Arial" w:cs="Arial"/>
        </w:rPr>
        <w:t xml:space="preserve">ghlight potential improvements and </w:t>
      </w:r>
      <w:r>
        <w:rPr>
          <w:rFonts w:ascii="Arial" w:eastAsia="Arial" w:hAnsi="Arial" w:cs="Arial"/>
          <w:color w:val="000000"/>
        </w:rPr>
        <w:t xml:space="preserve">recognize </w:t>
      </w:r>
      <w:r w:rsidR="00310356">
        <w:rPr>
          <w:rFonts w:ascii="Arial" w:eastAsia="Arial" w:hAnsi="Arial" w:cs="Arial"/>
          <w:color w:val="000000"/>
        </w:rPr>
        <w:t>the stakeholder</w:t>
      </w:r>
      <w:r>
        <w:rPr>
          <w:rFonts w:ascii="Arial" w:eastAsia="Arial" w:hAnsi="Arial" w:cs="Arial"/>
          <w:color w:val="000000"/>
        </w:rPr>
        <w:t xml:space="preserve"> concerns that have been </w:t>
      </w:r>
      <w:r w:rsidR="00310356">
        <w:rPr>
          <w:rFonts w:ascii="Arial" w:eastAsia="Arial" w:hAnsi="Arial" w:cs="Arial"/>
          <w:color w:val="000000"/>
        </w:rPr>
        <w:t>raised</w:t>
      </w:r>
      <w:r>
        <w:rPr>
          <w:rFonts w:ascii="Arial" w:eastAsia="Arial" w:hAnsi="Arial" w:cs="Arial"/>
          <w:color w:val="000000"/>
        </w:rPr>
        <w:t xml:space="preserve"> at the 9/25 </w:t>
      </w:r>
      <w:r w:rsidR="008E4E6E">
        <w:rPr>
          <w:rFonts w:ascii="Arial" w:eastAsia="Arial" w:hAnsi="Arial" w:cs="Arial"/>
          <w:color w:val="000000"/>
        </w:rPr>
        <w:t xml:space="preserve">and 10/19 </w:t>
      </w:r>
      <w:r>
        <w:rPr>
          <w:rFonts w:ascii="Arial" w:eastAsia="Arial" w:hAnsi="Arial" w:cs="Arial"/>
          <w:color w:val="000000"/>
        </w:rPr>
        <w:t>Demand Side Working Group (DSWG) and 10/7 Wholesale Market Subcommittee (WMS)</w:t>
      </w:r>
      <w:r w:rsidR="008E4E6E">
        <w:rPr>
          <w:rFonts w:ascii="Arial" w:eastAsia="Arial" w:hAnsi="Arial" w:cs="Arial"/>
          <w:color w:val="000000"/>
        </w:rPr>
        <w:t xml:space="preserve"> meetings</w:t>
      </w:r>
      <w:r>
        <w:rPr>
          <w:rFonts w:ascii="Arial" w:eastAsia="Arial" w:hAnsi="Arial" w:cs="Arial"/>
          <w:color w:val="000000"/>
        </w:rPr>
        <w:t xml:space="preserve">. </w:t>
      </w:r>
    </w:p>
    <w:p w14:paraId="269A6C8A" w14:textId="77777777" w:rsidR="00EE5A0B" w:rsidRDefault="00EE5A0B">
      <w:pPr>
        <w:pBdr>
          <w:top w:val="nil"/>
          <w:left w:val="nil"/>
          <w:bottom w:val="nil"/>
          <w:right w:val="nil"/>
          <w:between w:val="nil"/>
        </w:pBdr>
        <w:ind w:firstLine="720"/>
        <w:rPr>
          <w:rFonts w:ascii="Arial" w:eastAsia="Arial" w:hAnsi="Arial" w:cs="Arial"/>
          <w:color w:val="000000"/>
        </w:rPr>
      </w:pPr>
    </w:p>
    <w:p w14:paraId="11EF90AD" w14:textId="77777777" w:rsidR="00EE5A0B" w:rsidRDefault="00EE5A0B" w:rsidP="00EE5A0B">
      <w:pPr>
        <w:pBdr>
          <w:top w:val="nil"/>
          <w:left w:val="nil"/>
          <w:bottom w:val="nil"/>
          <w:right w:val="nil"/>
          <w:between w:val="nil"/>
        </w:pBdr>
        <w:rPr>
          <w:rFonts w:ascii="Arial" w:eastAsia="Arial" w:hAnsi="Arial" w:cs="Arial"/>
          <w:color w:val="000000"/>
          <w:u w:val="single"/>
        </w:rPr>
      </w:pPr>
      <w:r>
        <w:rPr>
          <w:rFonts w:ascii="Arial" w:eastAsia="Arial" w:hAnsi="Arial" w:cs="Arial"/>
          <w:b/>
          <w:bCs/>
          <w:color w:val="000000"/>
          <w:u w:val="single"/>
        </w:rPr>
        <w:t>Program growth</w:t>
      </w:r>
    </w:p>
    <w:p w14:paraId="2E8E0335" w14:textId="77777777" w:rsidR="00EE5A0B" w:rsidRDefault="00EE5A0B" w:rsidP="00EE5A0B">
      <w:pPr>
        <w:pBdr>
          <w:top w:val="nil"/>
          <w:left w:val="nil"/>
          <w:bottom w:val="nil"/>
          <w:right w:val="nil"/>
          <w:between w:val="nil"/>
        </w:pBdr>
        <w:rPr>
          <w:rFonts w:ascii="Arial" w:eastAsia="Arial" w:hAnsi="Arial" w:cs="Arial"/>
          <w:color w:val="000000"/>
          <w:u w:val="single"/>
        </w:rPr>
      </w:pPr>
    </w:p>
    <w:p w14:paraId="55289BD8" w14:textId="30C27DE3" w:rsidR="00EE5A0B" w:rsidRPr="00EE5A0B" w:rsidRDefault="00EE5A0B" w:rsidP="00EE5A0B">
      <w:pPr>
        <w:pBdr>
          <w:top w:val="nil"/>
          <w:left w:val="nil"/>
          <w:bottom w:val="nil"/>
          <w:right w:val="nil"/>
          <w:between w:val="nil"/>
        </w:pBdr>
        <w:rPr>
          <w:rFonts w:ascii="Arial" w:eastAsia="Arial" w:hAnsi="Arial" w:cs="Arial"/>
          <w:color w:val="000000"/>
        </w:rPr>
      </w:pPr>
      <w:r>
        <w:rPr>
          <w:rFonts w:ascii="Arial" w:eastAsia="Arial" w:hAnsi="Arial" w:cs="Arial"/>
          <w:color w:val="000000"/>
        </w:rPr>
        <w:tab/>
        <w:t>Base agrees with commenters that have acknowledged the rapid growth within the pilot, but we’d also like to put this growth into context. As of September 2026, energy-qualified ADERs total 341 MW, or about 0.18% of the roughly 192 GW of operational generating capacity on the ERCOT grid.</w:t>
      </w:r>
      <w:r>
        <w:rPr>
          <w:rFonts w:ascii="Arial" w:eastAsia="Arial" w:hAnsi="Arial" w:cs="Arial"/>
          <w:color w:val="000000"/>
          <w:vertAlign w:val="superscript"/>
        </w:rPr>
        <w:footnoteReference w:id="4"/>
      </w:r>
      <w:r>
        <w:rPr>
          <w:rFonts w:ascii="Arial" w:eastAsia="Arial" w:hAnsi="Arial" w:cs="Arial"/>
          <w:color w:val="000000"/>
        </w:rPr>
        <w:t xml:space="preserve"> Future growth depends on how fast devices can be manufactured, how quickly individual premises choose to join, and how quickly utilities can approve each configuration. Even if enrolled capacity grew </w:t>
      </w:r>
      <w:r>
        <w:rPr>
          <w:rFonts w:ascii="Arial" w:eastAsia="Arial" w:hAnsi="Arial" w:cs="Arial"/>
          <w:i/>
          <w:iCs/>
          <w:color w:val="000000"/>
        </w:rPr>
        <w:t>tenfold</w:t>
      </w:r>
      <w:r>
        <w:rPr>
          <w:rFonts w:ascii="Arial" w:eastAsia="Arial" w:hAnsi="Arial" w:cs="Arial"/>
          <w:color w:val="000000"/>
        </w:rPr>
        <w:t xml:space="preserve"> over the next year, well beyond the pace seen to date, ADERs/ADESRs would only account for &lt;1.8% of operational capacity on the ERCOT grid. With that context, Base believes that the pilot format can remain temporar</w:t>
      </w:r>
      <w:r w:rsidR="00254B81">
        <w:rPr>
          <w:rFonts w:ascii="Arial" w:eastAsia="Arial" w:hAnsi="Arial" w:cs="Arial"/>
          <w:color w:val="000000"/>
        </w:rPr>
        <w:t>il</w:t>
      </w:r>
      <w:r>
        <w:rPr>
          <w:rFonts w:ascii="Arial" w:eastAsia="Arial" w:hAnsi="Arial" w:cs="Arial"/>
          <w:color w:val="000000"/>
        </w:rPr>
        <w:t>y</w:t>
      </w:r>
      <w:r w:rsidR="00254B81">
        <w:rPr>
          <w:rFonts w:ascii="Arial" w:eastAsia="Arial" w:hAnsi="Arial" w:cs="Arial"/>
          <w:color w:val="000000"/>
        </w:rPr>
        <w:t xml:space="preserve"> as a</w:t>
      </w:r>
      <w:r>
        <w:rPr>
          <w:rFonts w:ascii="Arial" w:eastAsia="Arial" w:hAnsi="Arial" w:cs="Arial"/>
          <w:color w:val="000000"/>
        </w:rPr>
        <w:t xml:space="preserve"> manageable platform for those submitting, approving, and evaluating </w:t>
      </w:r>
      <w:r w:rsidR="00020023">
        <w:rPr>
          <w:rFonts w:ascii="Arial" w:eastAsia="Arial" w:hAnsi="Arial" w:cs="Arial"/>
          <w:color w:val="000000"/>
        </w:rPr>
        <w:t xml:space="preserve">ADER/ADESR </w:t>
      </w:r>
      <w:r>
        <w:rPr>
          <w:rFonts w:ascii="Arial" w:eastAsia="Arial" w:hAnsi="Arial" w:cs="Arial"/>
          <w:color w:val="000000"/>
        </w:rPr>
        <w:t xml:space="preserve">outcomes.  </w:t>
      </w:r>
    </w:p>
    <w:p w14:paraId="409E57BF" w14:textId="77777777" w:rsidR="00475242" w:rsidRDefault="00475242">
      <w:pPr>
        <w:pBdr>
          <w:top w:val="nil"/>
          <w:left w:val="nil"/>
          <w:bottom w:val="nil"/>
          <w:right w:val="nil"/>
          <w:between w:val="nil"/>
        </w:pBdr>
        <w:ind w:firstLine="720"/>
        <w:rPr>
          <w:rFonts w:ascii="Arial" w:eastAsia="Arial" w:hAnsi="Arial" w:cs="Arial"/>
        </w:rPr>
      </w:pPr>
    </w:p>
    <w:p w14:paraId="159923F7" w14:textId="77777777" w:rsidR="00475242" w:rsidRDefault="008F0BC1">
      <w:pPr>
        <w:pBdr>
          <w:top w:val="nil"/>
          <w:left w:val="nil"/>
          <w:bottom w:val="nil"/>
          <w:right w:val="nil"/>
          <w:between w:val="nil"/>
        </w:pBdr>
        <w:rPr>
          <w:rFonts w:ascii="Arial" w:eastAsia="Arial" w:hAnsi="Arial" w:cs="Arial"/>
          <w:color w:val="000000"/>
          <w:u w:val="single"/>
        </w:rPr>
      </w:pPr>
      <w:r>
        <w:rPr>
          <w:rFonts w:ascii="Arial" w:eastAsia="Arial" w:hAnsi="Arial" w:cs="Arial"/>
          <w:b/>
          <w:bCs/>
          <w:color w:val="000000"/>
          <w:u w:val="single"/>
        </w:rPr>
        <w:t>Nodal dispatch and zonal settlement</w:t>
      </w:r>
    </w:p>
    <w:p w14:paraId="2F056B96" w14:textId="77777777" w:rsidR="00475242" w:rsidRDefault="00475242">
      <w:pPr>
        <w:pBdr>
          <w:top w:val="nil"/>
          <w:left w:val="nil"/>
          <w:bottom w:val="nil"/>
          <w:right w:val="nil"/>
          <w:between w:val="nil"/>
        </w:pBdr>
        <w:ind w:firstLine="720"/>
        <w:rPr>
          <w:rFonts w:ascii="Arial" w:eastAsia="Arial" w:hAnsi="Arial" w:cs="Arial"/>
          <w:color w:val="000000"/>
        </w:rPr>
      </w:pPr>
    </w:p>
    <w:p w14:paraId="7DFD1D73" w14:textId="40D7D573" w:rsidR="00475242" w:rsidRDefault="008F0BC1">
      <w:pPr>
        <w:pBdr>
          <w:top w:val="nil"/>
          <w:left w:val="nil"/>
          <w:bottom w:val="nil"/>
          <w:right w:val="nil"/>
          <w:between w:val="nil"/>
        </w:pBdr>
        <w:ind w:firstLine="720"/>
        <w:rPr>
          <w:rFonts w:ascii="Arial" w:eastAsia="Arial" w:hAnsi="Arial" w:cs="Arial"/>
          <w:color w:val="000000"/>
        </w:rPr>
      </w:pPr>
      <w:r>
        <w:rPr>
          <w:rFonts w:ascii="Arial" w:eastAsia="Arial" w:hAnsi="Arial" w:cs="Arial"/>
          <w:color w:val="000000"/>
        </w:rPr>
        <w:t>The IMM and others have raised concerns with the fact that Phase IV will introduce the ability for a participant to transition a designated portion of their ADER fleet from a zonal to nodal dispatch, while still maintaining zonal settlement. ERCOT is proposing to defer nodal settlement to allow for a more expedient review of nodal dispatch benefits (i.e., nodal settlement requires ERCOT internal system changes and may present unanswered policy questions that are better informed with a separate nodal dispatc</w:t>
      </w:r>
      <w:r>
        <w:rPr>
          <w:rFonts w:ascii="Arial" w:eastAsia="Arial" w:hAnsi="Arial" w:cs="Arial"/>
          <w:color w:val="000000"/>
        </w:rPr>
        <w:t xml:space="preserve">h phase). Base recognizes the IMM’s concern that a participant’s dispatch signals </w:t>
      </w:r>
      <w:r w:rsidR="002C586C">
        <w:rPr>
          <w:rFonts w:ascii="Arial" w:eastAsia="Arial" w:hAnsi="Arial" w:cs="Arial"/>
          <w:color w:val="000000"/>
        </w:rPr>
        <w:t>will</w:t>
      </w:r>
      <w:r w:rsidR="00EE13BA">
        <w:rPr>
          <w:rFonts w:ascii="Arial" w:eastAsia="Arial" w:hAnsi="Arial" w:cs="Arial"/>
          <w:color w:val="000000"/>
        </w:rPr>
        <w:t xml:space="preserve"> not align with their</w:t>
      </w:r>
      <w:r>
        <w:rPr>
          <w:rFonts w:ascii="Arial" w:eastAsia="Arial" w:hAnsi="Arial" w:cs="Arial"/>
          <w:color w:val="000000"/>
        </w:rPr>
        <w:t xml:space="preserve"> settlement economics. This would be a poor permanent market design, and it is not a path Base would support outside of the pilot program. Base would also like to highlight that an ADESR must voluntarily submit to this </w:t>
      </w:r>
      <w:r>
        <w:rPr>
          <w:rFonts w:ascii="Arial" w:eastAsia="Arial" w:hAnsi="Arial" w:cs="Arial"/>
          <w:color w:val="000000"/>
        </w:rPr>
        <w:lastRenderedPageBreak/>
        <w:t xml:space="preserve">treatment, and as a participant in the program, the divergent treatment in the pilot is worth the risk to prove out nodal dispatch benefits. </w:t>
      </w:r>
    </w:p>
    <w:p w14:paraId="260EDED1" w14:textId="77777777" w:rsidR="00934F31" w:rsidRDefault="00934F31">
      <w:pPr>
        <w:pBdr>
          <w:top w:val="nil"/>
          <w:left w:val="nil"/>
          <w:bottom w:val="nil"/>
          <w:right w:val="nil"/>
          <w:between w:val="nil"/>
        </w:pBdr>
        <w:ind w:firstLine="720"/>
        <w:rPr>
          <w:rFonts w:ascii="Arial" w:eastAsia="Arial" w:hAnsi="Arial" w:cs="Arial"/>
          <w:color w:val="000000"/>
        </w:rPr>
      </w:pPr>
    </w:p>
    <w:p w14:paraId="00957E27" w14:textId="0A5C6760" w:rsidR="00934F31" w:rsidRDefault="00F8390C">
      <w:pPr>
        <w:pBdr>
          <w:top w:val="nil"/>
          <w:left w:val="nil"/>
          <w:bottom w:val="nil"/>
          <w:right w:val="nil"/>
          <w:between w:val="nil"/>
        </w:pBdr>
        <w:ind w:firstLine="720"/>
        <w:rPr>
          <w:rFonts w:ascii="Arial" w:eastAsia="Arial" w:hAnsi="Arial" w:cs="Arial"/>
          <w:color w:val="000000"/>
        </w:rPr>
      </w:pPr>
      <w:r w:rsidRPr="00F8390C">
        <w:rPr>
          <w:rFonts w:ascii="Arial" w:eastAsia="Arial" w:hAnsi="Arial" w:cs="Arial"/>
          <w:color w:val="000000"/>
        </w:rPr>
        <w:t xml:space="preserve">Base recognizes that some stakeholders </w:t>
      </w:r>
      <w:r w:rsidR="000B1734">
        <w:rPr>
          <w:rFonts w:ascii="Arial" w:eastAsia="Arial" w:hAnsi="Arial" w:cs="Arial"/>
          <w:color w:val="000000"/>
        </w:rPr>
        <w:t xml:space="preserve">also </w:t>
      </w:r>
      <w:r w:rsidRPr="00F8390C">
        <w:rPr>
          <w:rFonts w:ascii="Arial" w:eastAsia="Arial" w:hAnsi="Arial" w:cs="Arial"/>
          <w:color w:val="000000"/>
        </w:rPr>
        <w:t>remain concerned about dispatching nodally and settling zonally</w:t>
      </w:r>
      <w:r w:rsidR="00837BF7">
        <w:rPr>
          <w:rFonts w:ascii="Arial" w:eastAsia="Arial" w:hAnsi="Arial" w:cs="Arial"/>
          <w:color w:val="000000"/>
        </w:rPr>
        <w:t>. During the ex</w:t>
      </w:r>
      <w:r w:rsidRPr="00F8390C">
        <w:rPr>
          <w:rFonts w:ascii="Arial" w:eastAsia="Arial" w:hAnsi="Arial" w:cs="Arial"/>
          <w:color w:val="000000"/>
        </w:rPr>
        <w:t>e</w:t>
      </w:r>
      <w:r w:rsidR="00837BF7">
        <w:rPr>
          <w:rFonts w:ascii="Arial" w:eastAsia="Arial" w:hAnsi="Arial" w:cs="Arial"/>
          <w:color w:val="000000"/>
        </w:rPr>
        <w:t>cution of this phase, we</w:t>
      </w:r>
      <w:r w:rsidRPr="00F8390C">
        <w:rPr>
          <w:rFonts w:ascii="Arial" w:eastAsia="Arial" w:hAnsi="Arial" w:cs="Arial"/>
          <w:color w:val="000000"/>
        </w:rPr>
        <w:t xml:space="preserve"> ask that ERCOT share regular updates on the effects of settlement divergence so all stakeholders can </w:t>
      </w:r>
      <w:r w:rsidR="00AC63E5">
        <w:rPr>
          <w:rFonts w:ascii="Arial" w:eastAsia="Arial" w:hAnsi="Arial" w:cs="Arial"/>
          <w:color w:val="000000"/>
        </w:rPr>
        <w:t>monitor</w:t>
      </w:r>
      <w:r w:rsidRPr="00F8390C">
        <w:rPr>
          <w:rFonts w:ascii="Arial" w:eastAsia="Arial" w:hAnsi="Arial" w:cs="Arial"/>
          <w:color w:val="000000"/>
        </w:rPr>
        <w:t xml:space="preserve"> those concerns using pilot data.</w:t>
      </w:r>
      <w:r>
        <w:rPr>
          <w:rFonts w:ascii="Arial" w:eastAsia="Arial" w:hAnsi="Arial" w:cs="Arial"/>
          <w:color w:val="000000"/>
        </w:rPr>
        <w:t xml:space="preserve"> ERCOT has made it clear that the ultimate solution is nodal settlement, so this evaluation is not needed to support retention of zonal settlement, but rather to give transparency on whether this approach is creating a</w:t>
      </w:r>
      <w:r w:rsidR="00EE13BA">
        <w:rPr>
          <w:rFonts w:ascii="Arial" w:eastAsia="Arial" w:hAnsi="Arial" w:cs="Arial"/>
          <w:color w:val="000000"/>
        </w:rPr>
        <w:t>n</w:t>
      </w:r>
      <w:r>
        <w:rPr>
          <w:rFonts w:ascii="Arial" w:eastAsia="Arial" w:hAnsi="Arial" w:cs="Arial"/>
          <w:color w:val="000000"/>
        </w:rPr>
        <w:t xml:space="preserve"> issue</w:t>
      </w:r>
      <w:r w:rsidR="00EE13BA">
        <w:rPr>
          <w:rFonts w:ascii="Arial" w:eastAsia="Arial" w:hAnsi="Arial" w:cs="Arial"/>
          <w:color w:val="000000"/>
        </w:rPr>
        <w:t xml:space="preserve"> </w:t>
      </w:r>
      <w:r w:rsidR="00310356">
        <w:rPr>
          <w:rFonts w:ascii="Arial" w:eastAsia="Arial" w:hAnsi="Arial" w:cs="Arial"/>
          <w:color w:val="000000"/>
        </w:rPr>
        <w:t xml:space="preserve">within the pilot that is </w:t>
      </w:r>
      <w:r w:rsidR="00EE13BA">
        <w:rPr>
          <w:rFonts w:ascii="Arial" w:eastAsia="Arial" w:hAnsi="Arial" w:cs="Arial"/>
          <w:color w:val="000000"/>
        </w:rPr>
        <w:t>worth addressing</w:t>
      </w:r>
      <w:r>
        <w:rPr>
          <w:rFonts w:ascii="Arial" w:eastAsia="Arial" w:hAnsi="Arial" w:cs="Arial"/>
          <w:color w:val="000000"/>
        </w:rPr>
        <w:t xml:space="preserve">. </w:t>
      </w:r>
      <w:r w:rsidR="00934F31">
        <w:rPr>
          <w:rFonts w:ascii="Arial" w:eastAsia="Arial" w:hAnsi="Arial" w:cs="Arial"/>
          <w:color w:val="000000"/>
        </w:rPr>
        <w:t>When accounting for this divergence, it is important for both sides of the equation to be considered: instances in which the</w:t>
      </w:r>
      <w:r w:rsidR="00191D5F">
        <w:rPr>
          <w:rFonts w:ascii="Arial" w:eastAsia="Arial" w:hAnsi="Arial" w:cs="Arial"/>
          <w:color w:val="000000"/>
        </w:rPr>
        <w:t xml:space="preserve"> dispatch Locational Marginal Price (LMP) is higher than the Load Zone price</w:t>
      </w:r>
      <w:r w:rsidR="00934F31">
        <w:rPr>
          <w:rFonts w:ascii="Arial" w:eastAsia="Arial" w:hAnsi="Arial" w:cs="Arial"/>
          <w:color w:val="000000"/>
        </w:rPr>
        <w:t xml:space="preserve">, and instances in which </w:t>
      </w:r>
      <w:r w:rsidR="00191D5F">
        <w:rPr>
          <w:rFonts w:ascii="Arial" w:eastAsia="Arial" w:hAnsi="Arial" w:cs="Arial"/>
          <w:color w:val="000000"/>
        </w:rPr>
        <w:t>the dispatch LMP is lower than the Load Zone price</w:t>
      </w:r>
      <w:r w:rsidR="00934F31">
        <w:rPr>
          <w:rFonts w:ascii="Arial" w:eastAsia="Arial" w:hAnsi="Arial" w:cs="Arial"/>
          <w:color w:val="000000"/>
        </w:rPr>
        <w:t xml:space="preserve">. The net impact to load should be expressed in $/MWh to give proper context into the </w:t>
      </w:r>
      <w:r w:rsidR="00B17E82">
        <w:rPr>
          <w:rFonts w:ascii="Arial" w:eastAsia="Arial" w:hAnsi="Arial" w:cs="Arial"/>
          <w:color w:val="000000"/>
        </w:rPr>
        <w:t xml:space="preserve">market wide </w:t>
      </w:r>
      <w:r w:rsidR="00934F31">
        <w:rPr>
          <w:rFonts w:ascii="Arial" w:eastAsia="Arial" w:hAnsi="Arial" w:cs="Arial"/>
          <w:color w:val="000000"/>
        </w:rPr>
        <w:t xml:space="preserve">effects of this treatment within the pilot. As mentioned at the 10/19 DSWG, Base is expecting that </w:t>
      </w:r>
      <w:r w:rsidR="00A73B3D">
        <w:rPr>
          <w:rFonts w:ascii="Arial" w:eastAsia="Arial" w:hAnsi="Arial" w:cs="Arial"/>
          <w:color w:val="000000"/>
        </w:rPr>
        <w:t>in</w:t>
      </w:r>
      <w:r w:rsidR="002919E4">
        <w:rPr>
          <w:rFonts w:ascii="Arial" w:eastAsia="Arial" w:hAnsi="Arial" w:cs="Arial"/>
          <w:color w:val="000000"/>
        </w:rPr>
        <w:t xml:space="preserve"> </w:t>
      </w:r>
      <w:r w:rsidR="00A73B3D">
        <w:rPr>
          <w:rFonts w:ascii="Arial" w:eastAsia="Arial" w:hAnsi="Arial" w:cs="Arial"/>
          <w:color w:val="000000"/>
        </w:rPr>
        <w:t>most</w:t>
      </w:r>
      <w:r w:rsidR="002919E4">
        <w:rPr>
          <w:rFonts w:ascii="Arial" w:eastAsia="Arial" w:hAnsi="Arial" w:cs="Arial"/>
          <w:color w:val="000000"/>
        </w:rPr>
        <w:t xml:space="preserve"> circumstances, the ADESR</w:t>
      </w:r>
      <w:r w:rsidR="00191D5F">
        <w:rPr>
          <w:rFonts w:ascii="Arial" w:eastAsia="Arial" w:hAnsi="Arial" w:cs="Arial"/>
          <w:color w:val="000000"/>
        </w:rPr>
        <w:t xml:space="preserve"> dispatch will occur when the dispatch LMP is higher than the Load Zone </w:t>
      </w:r>
      <w:r w:rsidR="001B3127">
        <w:rPr>
          <w:rFonts w:ascii="Arial" w:eastAsia="Arial" w:hAnsi="Arial" w:cs="Arial"/>
          <w:color w:val="000000"/>
        </w:rPr>
        <w:t>p</w:t>
      </w:r>
      <w:r w:rsidR="00191D5F">
        <w:rPr>
          <w:rFonts w:ascii="Arial" w:eastAsia="Arial" w:hAnsi="Arial" w:cs="Arial"/>
          <w:color w:val="000000"/>
        </w:rPr>
        <w:t>rice</w:t>
      </w:r>
      <w:r w:rsidR="001B3127">
        <w:rPr>
          <w:rFonts w:ascii="Arial" w:eastAsia="Arial" w:hAnsi="Arial" w:cs="Arial"/>
          <w:color w:val="000000"/>
        </w:rPr>
        <w:t xml:space="preserve">. </w:t>
      </w:r>
    </w:p>
    <w:p w14:paraId="4B77A050" w14:textId="77777777" w:rsidR="00475242" w:rsidRDefault="00475242">
      <w:pPr>
        <w:pBdr>
          <w:top w:val="nil"/>
          <w:left w:val="nil"/>
          <w:bottom w:val="nil"/>
          <w:right w:val="nil"/>
          <w:between w:val="nil"/>
        </w:pBdr>
        <w:rPr>
          <w:rFonts w:ascii="Arial" w:eastAsia="Arial" w:hAnsi="Arial" w:cs="Arial"/>
          <w:color w:val="000000"/>
        </w:rPr>
      </w:pPr>
    </w:p>
    <w:p w14:paraId="474DED63" w14:textId="6C9302C2" w:rsidR="00475242" w:rsidRDefault="0059119B">
      <w:pPr>
        <w:pBdr>
          <w:top w:val="nil"/>
          <w:left w:val="nil"/>
          <w:bottom w:val="nil"/>
          <w:right w:val="nil"/>
          <w:between w:val="nil"/>
        </w:pBdr>
        <w:rPr>
          <w:rFonts w:ascii="Arial" w:eastAsia="Arial" w:hAnsi="Arial" w:cs="Arial"/>
          <w:color w:val="000000"/>
          <w:u w:val="single"/>
        </w:rPr>
      </w:pPr>
      <w:r>
        <w:rPr>
          <w:rFonts w:ascii="Arial" w:eastAsia="Arial" w:hAnsi="Arial" w:cs="Arial"/>
          <w:b/>
          <w:bCs/>
          <w:color w:val="000000"/>
          <w:u w:val="single"/>
        </w:rPr>
        <w:t>Policy questions and the path to permanent rules</w:t>
      </w:r>
    </w:p>
    <w:p w14:paraId="1398BE04" w14:textId="77777777" w:rsidR="00475242" w:rsidRDefault="00475242">
      <w:pPr>
        <w:pBdr>
          <w:top w:val="nil"/>
          <w:left w:val="nil"/>
          <w:bottom w:val="nil"/>
          <w:right w:val="nil"/>
          <w:between w:val="nil"/>
        </w:pBdr>
        <w:rPr>
          <w:rFonts w:ascii="Arial" w:eastAsia="Arial" w:hAnsi="Arial" w:cs="Arial"/>
          <w:color w:val="000000"/>
        </w:rPr>
      </w:pPr>
    </w:p>
    <w:p w14:paraId="65BE6B21" w14:textId="7983DEBF" w:rsidR="00475242" w:rsidRDefault="008F0BC1">
      <w:pPr>
        <w:pBdr>
          <w:top w:val="nil"/>
          <w:left w:val="nil"/>
          <w:bottom w:val="nil"/>
          <w:right w:val="nil"/>
          <w:between w:val="nil"/>
        </w:pBdr>
        <w:ind w:firstLine="720"/>
        <w:rPr>
          <w:rFonts w:ascii="Arial" w:eastAsia="Arial" w:hAnsi="Arial" w:cs="Arial"/>
          <w:color w:val="000000"/>
        </w:rPr>
      </w:pPr>
      <w:r>
        <w:rPr>
          <w:rFonts w:ascii="Arial" w:eastAsia="Arial" w:hAnsi="Arial" w:cs="Arial"/>
          <w:color w:val="000000"/>
        </w:rPr>
        <w:t>With ultimate establishment in the ERCOT Nodal Protocols, there is the ability for all market participants to openly suggest design changes so that the program can be refined to align with ERCOT</w:t>
      </w:r>
      <w:r w:rsidR="000B1734">
        <w:rPr>
          <w:rFonts w:ascii="Arial" w:eastAsia="Arial" w:hAnsi="Arial" w:cs="Arial"/>
          <w:color w:val="000000"/>
        </w:rPr>
        <w:t>’s</w:t>
      </w:r>
      <w:r>
        <w:rPr>
          <w:rFonts w:ascii="Arial" w:eastAsia="Arial" w:hAnsi="Arial" w:cs="Arial"/>
          <w:color w:val="000000"/>
        </w:rPr>
        <w:t xml:space="preserve"> and TAC</w:t>
      </w:r>
      <w:r w:rsidR="000B1734">
        <w:rPr>
          <w:rFonts w:ascii="Arial" w:eastAsia="Arial" w:hAnsi="Arial" w:cs="Arial"/>
          <w:color w:val="000000"/>
        </w:rPr>
        <w:t>’s</w:t>
      </w:r>
      <w:r>
        <w:rPr>
          <w:rFonts w:ascii="Arial" w:eastAsia="Arial" w:hAnsi="Arial" w:cs="Arial"/>
          <w:color w:val="000000"/>
        </w:rPr>
        <w:t xml:space="preserve"> strategic objectives. Base supports the eventual movement of the program into permanent rules, but not before considering operational insights that are needed to properly craft those rules. Base recognizes </w:t>
      </w:r>
      <w:r w:rsidR="00310356">
        <w:rPr>
          <w:rFonts w:ascii="Arial" w:eastAsia="Arial" w:hAnsi="Arial" w:cs="Arial"/>
          <w:color w:val="000000"/>
        </w:rPr>
        <w:t>that the</w:t>
      </w:r>
      <w:r>
        <w:rPr>
          <w:rFonts w:ascii="Arial" w:eastAsia="Arial" w:hAnsi="Arial" w:cs="Arial"/>
          <w:color w:val="000000"/>
        </w:rPr>
        <w:t xml:space="preserve"> implementation of nodal settlement may require material system changes and may raise unresolved questions regarding cost responsibility.</w:t>
      </w:r>
      <w:r w:rsidR="00176C37">
        <w:rPr>
          <w:rFonts w:ascii="Arial" w:eastAsia="Arial" w:hAnsi="Arial" w:cs="Arial"/>
          <w:color w:val="000000"/>
        </w:rPr>
        <w:t xml:space="preserve"> </w:t>
      </w:r>
      <w:r>
        <w:rPr>
          <w:rFonts w:ascii="Arial" w:eastAsia="Arial" w:hAnsi="Arial" w:cs="Arial"/>
          <w:color w:val="000000"/>
        </w:rPr>
        <w:t>Base agrees that those issues may warrant explicit policy direction, but they should not stop ERCOT from testing nodal dispatch in Phase IV or stakeholders from starting a permanent protocol framework for nodal settlement that draws on lessons learned in the pilot.</w:t>
      </w:r>
    </w:p>
    <w:p w14:paraId="2C656628" w14:textId="77777777" w:rsidR="00840314" w:rsidRDefault="00840314">
      <w:pPr>
        <w:pBdr>
          <w:top w:val="nil"/>
          <w:left w:val="nil"/>
          <w:bottom w:val="nil"/>
          <w:right w:val="nil"/>
          <w:between w:val="nil"/>
        </w:pBdr>
        <w:ind w:firstLine="720"/>
        <w:rPr>
          <w:rFonts w:ascii="Arial" w:eastAsia="Arial" w:hAnsi="Arial" w:cs="Arial"/>
          <w:color w:val="000000"/>
        </w:rPr>
      </w:pPr>
    </w:p>
    <w:p w14:paraId="0A56FDC3" w14:textId="362A49A0" w:rsidR="00176C37" w:rsidRPr="00931F74" w:rsidRDefault="00840314" w:rsidP="00931F74">
      <w:pPr>
        <w:pBdr>
          <w:top w:val="nil"/>
          <w:left w:val="nil"/>
          <w:bottom w:val="nil"/>
          <w:right w:val="nil"/>
          <w:between w:val="nil"/>
        </w:pBdr>
        <w:ind w:firstLine="720"/>
        <w:rPr>
          <w:rFonts w:ascii="Arial" w:eastAsia="Arial" w:hAnsi="Arial" w:cs="Arial"/>
          <w:color w:val="000000"/>
        </w:rPr>
      </w:pPr>
      <w:r w:rsidRPr="009E0AFE">
        <w:rPr>
          <w:rFonts w:ascii="Arial" w:eastAsia="Arial" w:hAnsi="Arial" w:cs="Arial"/>
          <w:color w:val="000000"/>
        </w:rPr>
        <w:t xml:space="preserve">Additionally, there have been requests to remove settlement language in the governing document altogether due to </w:t>
      </w:r>
      <w:r w:rsidR="007218A6" w:rsidRPr="009E0AFE">
        <w:rPr>
          <w:rFonts w:ascii="Arial" w:eastAsia="Arial" w:hAnsi="Arial" w:cs="Arial"/>
          <w:color w:val="000000"/>
        </w:rPr>
        <w:t xml:space="preserve">DSPs </w:t>
      </w:r>
      <w:r w:rsidRPr="009E0AFE">
        <w:rPr>
          <w:rFonts w:ascii="Arial" w:eastAsia="Arial" w:hAnsi="Arial" w:cs="Arial"/>
          <w:color w:val="000000"/>
        </w:rPr>
        <w:t>expect</w:t>
      </w:r>
      <w:r w:rsidR="007218A6" w:rsidRPr="009E0AFE">
        <w:rPr>
          <w:rFonts w:ascii="Arial" w:eastAsia="Arial" w:hAnsi="Arial" w:cs="Arial"/>
          <w:color w:val="000000"/>
        </w:rPr>
        <w:t>ing increases in</w:t>
      </w:r>
      <w:r w:rsidRPr="009E0AFE">
        <w:rPr>
          <w:rFonts w:ascii="Arial" w:eastAsia="Arial" w:hAnsi="Arial" w:cs="Arial"/>
          <w:color w:val="000000"/>
        </w:rPr>
        <w:t xml:space="preserve"> </w:t>
      </w:r>
      <w:r w:rsidR="006D2C66" w:rsidRPr="009E0AFE">
        <w:rPr>
          <w:rFonts w:ascii="Arial" w:eastAsia="Arial" w:hAnsi="Arial" w:cs="Arial"/>
          <w:color w:val="000000"/>
        </w:rPr>
        <w:t>cost</w:t>
      </w:r>
      <w:r w:rsidR="007218A6" w:rsidRPr="009E0AFE">
        <w:rPr>
          <w:rFonts w:ascii="Arial" w:eastAsia="Arial" w:hAnsi="Arial" w:cs="Arial"/>
          <w:color w:val="000000"/>
        </w:rPr>
        <w:t>s</w:t>
      </w:r>
      <w:r w:rsidR="006D2C66" w:rsidRPr="009E0AFE">
        <w:rPr>
          <w:rFonts w:ascii="Arial" w:eastAsia="Arial" w:hAnsi="Arial" w:cs="Arial"/>
          <w:color w:val="000000"/>
        </w:rPr>
        <w:t xml:space="preserve"> and operational </w:t>
      </w:r>
      <w:r w:rsidR="007218A6" w:rsidRPr="009E0AFE">
        <w:rPr>
          <w:rFonts w:ascii="Arial" w:eastAsia="Arial" w:hAnsi="Arial" w:cs="Arial"/>
          <w:color w:val="000000"/>
        </w:rPr>
        <w:t>obligations</w:t>
      </w:r>
      <w:r w:rsidR="009E0AFE" w:rsidRPr="009E0AFE">
        <w:rPr>
          <w:rFonts w:ascii="Arial" w:eastAsia="Arial" w:hAnsi="Arial" w:cs="Arial"/>
          <w:color w:val="000000"/>
        </w:rPr>
        <w:t xml:space="preserve"> under nodal settlement</w:t>
      </w:r>
      <w:r w:rsidR="00931F74" w:rsidRPr="00931F74">
        <w:rPr>
          <w:rFonts w:ascii="Arial" w:eastAsia="Arial" w:hAnsi="Arial" w:cs="Arial"/>
          <w:color w:val="000000"/>
        </w:rPr>
        <w:t xml:space="preserve">. </w:t>
      </w:r>
      <w:r w:rsidR="00931F74">
        <w:rPr>
          <w:rFonts w:ascii="Arial" w:eastAsia="Arial" w:hAnsi="Arial" w:cs="Arial"/>
          <w:color w:val="000000"/>
        </w:rPr>
        <w:t>However, i</w:t>
      </w:r>
      <w:r w:rsidR="00837BF7" w:rsidRPr="009E0AFE">
        <w:rPr>
          <w:rFonts w:ascii="Arial" w:eastAsia="Arial" w:hAnsi="Arial" w:cs="Arial"/>
          <w:color w:val="000000"/>
        </w:rPr>
        <w:t>t is worth noting that t</w:t>
      </w:r>
      <w:r w:rsidR="00B55CFC" w:rsidRPr="009E0AFE">
        <w:rPr>
          <w:rFonts w:ascii="Arial" w:eastAsia="Arial" w:hAnsi="Arial" w:cs="Arial"/>
          <w:color w:val="000000"/>
        </w:rPr>
        <w:t>hese concerns are based on what is understood today, and they have not been tested or proven with data</w:t>
      </w:r>
      <w:r w:rsidR="00931F74">
        <w:rPr>
          <w:rFonts w:ascii="Arial" w:eastAsia="Arial" w:hAnsi="Arial" w:cs="Arial"/>
          <w:color w:val="000000"/>
        </w:rPr>
        <w:t xml:space="preserve"> or experience</w:t>
      </w:r>
      <w:r w:rsidR="00B55CFC" w:rsidRPr="009E0AFE">
        <w:rPr>
          <w:rFonts w:ascii="Arial" w:eastAsia="Arial" w:hAnsi="Arial" w:cs="Arial"/>
          <w:color w:val="000000"/>
        </w:rPr>
        <w:t>.</w:t>
      </w:r>
      <w:r w:rsidR="000B1734" w:rsidRPr="009E0AFE">
        <w:rPr>
          <w:rFonts w:ascii="Arial" w:eastAsia="Arial" w:hAnsi="Arial" w:cs="Arial"/>
          <w:color w:val="000000"/>
        </w:rPr>
        <w:t xml:space="preserve"> </w:t>
      </w:r>
      <w:r w:rsidR="00310356" w:rsidRPr="009E0AFE">
        <w:rPr>
          <w:rFonts w:ascii="Arial" w:eastAsia="Arial" w:hAnsi="Arial" w:cs="Arial"/>
          <w:color w:val="000000"/>
        </w:rPr>
        <w:t>Base’s view is</w:t>
      </w:r>
      <w:r w:rsidR="00CA346C" w:rsidRPr="009E0AFE">
        <w:rPr>
          <w:rFonts w:ascii="Arial" w:eastAsia="Arial" w:hAnsi="Arial" w:cs="Arial"/>
          <w:color w:val="000000"/>
        </w:rPr>
        <w:t xml:space="preserve"> that the nodal settlement</w:t>
      </w:r>
      <w:r w:rsidR="009E0AFE">
        <w:rPr>
          <w:rFonts w:ascii="Arial" w:eastAsia="Arial" w:hAnsi="Arial" w:cs="Arial"/>
          <w:color w:val="000000"/>
        </w:rPr>
        <w:t xml:space="preserve"> language</w:t>
      </w:r>
      <w:r w:rsidR="00CA346C" w:rsidRPr="009E0AFE">
        <w:rPr>
          <w:rFonts w:ascii="Arial" w:eastAsia="Arial" w:hAnsi="Arial" w:cs="Arial"/>
          <w:color w:val="000000"/>
        </w:rPr>
        <w:t xml:space="preserve"> gives useful context </w:t>
      </w:r>
      <w:r w:rsidR="009E0AFE">
        <w:rPr>
          <w:rFonts w:ascii="Arial" w:eastAsia="Arial" w:hAnsi="Arial" w:cs="Arial"/>
          <w:color w:val="000000"/>
        </w:rPr>
        <w:t xml:space="preserve">on one reason </w:t>
      </w:r>
      <w:r w:rsidR="00CA346C" w:rsidRPr="009E0AFE">
        <w:rPr>
          <w:rFonts w:ascii="Arial" w:eastAsia="Arial" w:hAnsi="Arial" w:cs="Arial"/>
          <w:color w:val="000000"/>
        </w:rPr>
        <w:t>why nodal dispatch is being tested, and Base supports keeping it in the governing document. Read plainly, the language commits to analysis and nothing more.</w:t>
      </w:r>
      <w:r w:rsidR="006D2C66" w:rsidRPr="009E0AFE">
        <w:rPr>
          <w:rStyle w:val="FootnoteReference"/>
          <w:rFonts w:ascii="Arial" w:eastAsia="Arial" w:hAnsi="Arial" w:cs="Arial"/>
          <w:color w:val="000000"/>
        </w:rPr>
        <w:footnoteReference w:id="5"/>
      </w:r>
      <w:r w:rsidR="009E0AFE">
        <w:rPr>
          <w:rFonts w:ascii="Arial" w:eastAsia="Arial" w:hAnsi="Arial" w:cs="Arial"/>
          <w:color w:val="000000"/>
        </w:rPr>
        <w:t xml:space="preserve"> </w:t>
      </w:r>
      <w:r w:rsidR="00603819">
        <w:rPr>
          <w:rFonts w:ascii="Arial" w:eastAsia="Arial" w:hAnsi="Arial" w:cs="Arial"/>
          <w:color w:val="000000"/>
        </w:rPr>
        <w:t>Retaining the language gives stakeholders a defined scope</w:t>
      </w:r>
      <w:r w:rsidR="00310356">
        <w:rPr>
          <w:rFonts w:ascii="Arial" w:eastAsia="Arial" w:hAnsi="Arial" w:cs="Arial"/>
          <w:color w:val="000000"/>
        </w:rPr>
        <w:t xml:space="preserve"> for Phase IV</w:t>
      </w:r>
      <w:r w:rsidR="00603819">
        <w:rPr>
          <w:rFonts w:ascii="Arial" w:eastAsia="Arial" w:hAnsi="Arial" w:cs="Arial"/>
          <w:color w:val="000000"/>
        </w:rPr>
        <w:t xml:space="preserve"> and supports the pilot’s purpose of informing permanent rules. </w:t>
      </w:r>
    </w:p>
    <w:p w14:paraId="4BC7BDBA" w14:textId="77777777" w:rsidR="00176C37" w:rsidRDefault="00176C37">
      <w:pPr>
        <w:pBdr>
          <w:top w:val="nil"/>
          <w:left w:val="nil"/>
          <w:bottom w:val="nil"/>
          <w:right w:val="nil"/>
          <w:between w:val="nil"/>
        </w:pBdr>
        <w:rPr>
          <w:rFonts w:ascii="Arial" w:eastAsia="Arial" w:hAnsi="Arial" w:cs="Arial"/>
          <w:b/>
          <w:bCs/>
          <w:color w:val="000000"/>
          <w:u w:val="single"/>
        </w:rPr>
      </w:pPr>
    </w:p>
    <w:p w14:paraId="63E6FA6C" w14:textId="4651D0E5" w:rsidR="00475242" w:rsidRDefault="00DC59CF">
      <w:pPr>
        <w:pBdr>
          <w:top w:val="nil"/>
          <w:left w:val="nil"/>
          <w:bottom w:val="nil"/>
          <w:right w:val="nil"/>
          <w:between w:val="nil"/>
        </w:pBdr>
        <w:rPr>
          <w:rFonts w:ascii="Arial" w:eastAsia="Arial" w:hAnsi="Arial" w:cs="Arial"/>
          <w:b/>
          <w:bCs/>
          <w:color w:val="000000"/>
          <w:u w:val="single"/>
        </w:rPr>
      </w:pPr>
      <w:r>
        <w:rPr>
          <w:rFonts w:ascii="Arial" w:eastAsia="Arial" w:hAnsi="Arial" w:cs="Arial"/>
          <w:b/>
          <w:bCs/>
          <w:color w:val="000000"/>
          <w:u w:val="single"/>
        </w:rPr>
        <w:t>Process improvements</w:t>
      </w:r>
      <w:r w:rsidR="00934F31">
        <w:rPr>
          <w:rFonts w:ascii="Arial" w:eastAsia="Arial" w:hAnsi="Arial" w:cs="Arial"/>
          <w:b/>
          <w:bCs/>
          <w:color w:val="000000"/>
          <w:u w:val="single"/>
        </w:rPr>
        <w:t xml:space="preserve"> and insights</w:t>
      </w:r>
    </w:p>
    <w:p w14:paraId="2F21FBBE" w14:textId="77777777" w:rsidR="00475242" w:rsidRDefault="00475242">
      <w:pPr>
        <w:pBdr>
          <w:top w:val="nil"/>
          <w:left w:val="nil"/>
          <w:bottom w:val="nil"/>
          <w:right w:val="nil"/>
          <w:between w:val="nil"/>
        </w:pBdr>
        <w:rPr>
          <w:rFonts w:ascii="Arial" w:eastAsia="Arial" w:hAnsi="Arial" w:cs="Arial"/>
          <w:color w:val="000000"/>
          <w:u w:val="single"/>
        </w:rPr>
      </w:pPr>
    </w:p>
    <w:p w14:paraId="760E803B" w14:textId="77777777" w:rsidR="00DC59CF" w:rsidRDefault="008F0BC1">
      <w:pPr>
        <w:pBdr>
          <w:top w:val="nil"/>
          <w:left w:val="nil"/>
          <w:bottom w:val="nil"/>
          <w:right w:val="nil"/>
          <w:between w:val="nil"/>
        </w:pBdr>
        <w:rPr>
          <w:rFonts w:ascii="Arial" w:eastAsia="Arial" w:hAnsi="Arial" w:cs="Arial"/>
          <w:color w:val="000000"/>
        </w:rPr>
      </w:pPr>
      <w:r>
        <w:rPr>
          <w:rFonts w:ascii="Arial" w:eastAsia="Arial" w:hAnsi="Arial" w:cs="Arial"/>
          <w:color w:val="000000"/>
        </w:rPr>
        <w:tab/>
        <w:t xml:space="preserve">In several locations of the updated governing document there are </w:t>
      </w:r>
      <w:r>
        <w:rPr>
          <w:rFonts w:ascii="Arial" w:eastAsia="Arial" w:hAnsi="Arial" w:cs="Arial"/>
        </w:rPr>
        <w:t>phrases</w:t>
      </w:r>
      <w:r>
        <w:rPr>
          <w:rFonts w:ascii="Arial" w:eastAsia="Arial" w:hAnsi="Arial" w:cs="Arial"/>
          <w:color w:val="000000"/>
        </w:rPr>
        <w:t xml:space="preserve"> that generally state that the TSP or DSP may enforce locational limits to maintain the safety and reliability of the system. Base completely supports this discretion and direction. It</w:t>
      </w:r>
      <w:r>
        <w:rPr>
          <w:rFonts w:ascii="Arial" w:eastAsia="Arial" w:hAnsi="Arial" w:cs="Arial"/>
        </w:rPr>
        <w:t>’s worth noting that different DSPs have varying views on equipment operation which can create a challenge for potential participants.</w:t>
      </w:r>
      <w:r>
        <w:rPr>
          <w:rFonts w:ascii="Arial" w:eastAsia="Arial" w:hAnsi="Arial" w:cs="Arial"/>
          <w:color w:val="000000"/>
        </w:rPr>
        <w:t xml:space="preserve"> One improvement to the process would allow for more transparency on locational hosting capacity and a defined communication pathway on improvements that are needed to relax locational limits. The worst outcome for both the DSP and ADER participant in this situation is leaving a customer in limbo without insight into a path forward. </w:t>
      </w:r>
    </w:p>
    <w:p w14:paraId="13237985" w14:textId="77777777" w:rsidR="00DC59CF" w:rsidRDefault="00DC59CF">
      <w:pPr>
        <w:pBdr>
          <w:top w:val="nil"/>
          <w:left w:val="nil"/>
          <w:bottom w:val="nil"/>
          <w:right w:val="nil"/>
          <w:between w:val="nil"/>
        </w:pBdr>
        <w:rPr>
          <w:rFonts w:ascii="Arial" w:eastAsia="Arial" w:hAnsi="Arial" w:cs="Arial"/>
          <w:color w:val="000000"/>
        </w:rPr>
      </w:pPr>
    </w:p>
    <w:p w14:paraId="1A244BBC" w14:textId="02F3B8F5" w:rsidR="00AF6D3B" w:rsidRDefault="00DC59CF">
      <w:pPr>
        <w:pBdr>
          <w:top w:val="nil"/>
          <w:left w:val="nil"/>
          <w:bottom w:val="nil"/>
          <w:right w:val="nil"/>
          <w:between w:val="nil"/>
        </w:pBdr>
        <w:rPr>
          <w:rFonts w:ascii="Arial" w:eastAsia="Arial" w:hAnsi="Arial" w:cs="Arial"/>
          <w:color w:val="000000"/>
        </w:rPr>
      </w:pPr>
      <w:r>
        <w:rPr>
          <w:rFonts w:ascii="Arial" w:eastAsia="Arial" w:hAnsi="Arial" w:cs="Arial"/>
          <w:color w:val="000000"/>
        </w:rPr>
        <w:tab/>
        <w:t xml:space="preserve">Since the 10/19 DSWG, Base has had conversations with DSPs on </w:t>
      </w:r>
      <w:r w:rsidR="00AF6D3B">
        <w:rPr>
          <w:rFonts w:ascii="Arial" w:eastAsia="Arial" w:hAnsi="Arial" w:cs="Arial"/>
          <w:color w:val="000000"/>
        </w:rPr>
        <w:t>ideas</w:t>
      </w:r>
      <w:r>
        <w:rPr>
          <w:rFonts w:ascii="Arial" w:eastAsia="Arial" w:hAnsi="Arial" w:cs="Arial"/>
          <w:color w:val="000000"/>
        </w:rPr>
        <w:t xml:space="preserve"> to enhance this transparency </w:t>
      </w:r>
      <w:r w:rsidR="0079734B">
        <w:rPr>
          <w:rFonts w:ascii="Arial" w:eastAsia="Arial" w:hAnsi="Arial" w:cs="Arial"/>
          <w:color w:val="000000"/>
        </w:rPr>
        <w:t>through updates</w:t>
      </w:r>
      <w:r>
        <w:rPr>
          <w:rFonts w:ascii="Arial" w:eastAsia="Arial" w:hAnsi="Arial" w:cs="Arial"/>
          <w:color w:val="000000"/>
        </w:rPr>
        <w:t xml:space="preserve"> </w:t>
      </w:r>
      <w:r w:rsidR="00616C1E">
        <w:rPr>
          <w:rFonts w:ascii="Arial" w:eastAsia="Arial" w:hAnsi="Arial" w:cs="Arial"/>
          <w:color w:val="000000"/>
        </w:rPr>
        <w:t xml:space="preserve">within the </w:t>
      </w:r>
      <w:r>
        <w:rPr>
          <w:rFonts w:ascii="Arial" w:eastAsia="Arial" w:hAnsi="Arial" w:cs="Arial"/>
          <w:color w:val="000000"/>
        </w:rPr>
        <w:t>Details of the Aggregation (DOTA) form</w:t>
      </w:r>
      <w:r w:rsidR="0079734B">
        <w:rPr>
          <w:rFonts w:ascii="Arial" w:eastAsia="Arial" w:hAnsi="Arial" w:cs="Arial"/>
          <w:color w:val="000000"/>
        </w:rPr>
        <w:t xml:space="preserve"> and Base does not think governing document updates are needed</w:t>
      </w:r>
      <w:r>
        <w:rPr>
          <w:rFonts w:ascii="Arial" w:eastAsia="Arial" w:hAnsi="Arial" w:cs="Arial"/>
          <w:color w:val="000000"/>
        </w:rPr>
        <w:t xml:space="preserve">. </w:t>
      </w:r>
      <w:r w:rsidR="0079734B">
        <w:rPr>
          <w:rFonts w:ascii="Arial" w:eastAsia="Arial" w:hAnsi="Arial" w:cs="Arial"/>
          <w:color w:val="000000"/>
        </w:rPr>
        <w:t xml:space="preserve">Given increased penetration on their systems, </w:t>
      </w:r>
      <w:r>
        <w:rPr>
          <w:rFonts w:ascii="Arial" w:eastAsia="Arial" w:hAnsi="Arial" w:cs="Arial"/>
          <w:color w:val="000000"/>
        </w:rPr>
        <w:t xml:space="preserve">DSPs appear to be working through </w:t>
      </w:r>
      <w:r w:rsidR="0079734B">
        <w:rPr>
          <w:rFonts w:ascii="Arial" w:eastAsia="Arial" w:hAnsi="Arial" w:cs="Arial"/>
          <w:color w:val="000000"/>
        </w:rPr>
        <w:t xml:space="preserve">framing the scope of </w:t>
      </w:r>
      <w:r w:rsidR="00AF6D3B">
        <w:rPr>
          <w:rFonts w:ascii="Arial" w:eastAsia="Arial" w:hAnsi="Arial" w:cs="Arial"/>
          <w:color w:val="000000"/>
        </w:rPr>
        <w:t>their</w:t>
      </w:r>
      <w:r w:rsidR="0079734B">
        <w:rPr>
          <w:rFonts w:ascii="Arial" w:eastAsia="Arial" w:hAnsi="Arial" w:cs="Arial"/>
          <w:color w:val="000000"/>
        </w:rPr>
        <w:t xml:space="preserve"> distribution studies. </w:t>
      </w:r>
      <w:r w:rsidR="00AF6D3B" w:rsidRPr="00AF6D3B">
        <w:rPr>
          <w:rFonts w:ascii="Arial" w:eastAsia="Arial" w:hAnsi="Arial" w:cs="Arial"/>
          <w:color w:val="000000"/>
        </w:rPr>
        <w:t>Base is committed to working with DSPs</w:t>
      </w:r>
      <w:r w:rsidR="00AF6D3B">
        <w:rPr>
          <w:rFonts w:ascii="Arial" w:eastAsia="Arial" w:hAnsi="Arial" w:cs="Arial"/>
          <w:color w:val="000000"/>
        </w:rPr>
        <w:t xml:space="preserve"> in this process</w:t>
      </w:r>
      <w:r w:rsidR="00AF6D3B" w:rsidRPr="00AF6D3B">
        <w:rPr>
          <w:rFonts w:ascii="Arial" w:eastAsia="Arial" w:hAnsi="Arial" w:cs="Arial"/>
          <w:color w:val="000000"/>
        </w:rPr>
        <w:t xml:space="preserve"> and has </w:t>
      </w:r>
      <w:r w:rsidR="00AF6D3B">
        <w:rPr>
          <w:rFonts w:ascii="Arial" w:eastAsia="Arial" w:hAnsi="Arial" w:cs="Arial"/>
          <w:color w:val="000000"/>
        </w:rPr>
        <w:t>offered</w:t>
      </w:r>
      <w:r w:rsidR="00AF6D3B" w:rsidRPr="00AF6D3B">
        <w:rPr>
          <w:rFonts w:ascii="Arial" w:eastAsia="Arial" w:hAnsi="Arial" w:cs="Arial"/>
          <w:color w:val="000000"/>
        </w:rPr>
        <w:t xml:space="preserve"> </w:t>
      </w:r>
      <w:r w:rsidR="00AF6D3B">
        <w:rPr>
          <w:rFonts w:ascii="Arial" w:eastAsia="Arial" w:hAnsi="Arial" w:cs="Arial"/>
          <w:color w:val="000000"/>
        </w:rPr>
        <w:t>enhanced</w:t>
      </w:r>
      <w:r w:rsidR="00AF6D3B" w:rsidRPr="00AF6D3B">
        <w:rPr>
          <w:rFonts w:ascii="Arial" w:eastAsia="Arial" w:hAnsi="Arial" w:cs="Arial"/>
          <w:color w:val="000000"/>
        </w:rPr>
        <w:t xml:space="preserve"> visibility </w:t>
      </w:r>
      <w:proofErr w:type="gramStart"/>
      <w:r w:rsidR="00AF6D3B" w:rsidRPr="00AF6D3B">
        <w:rPr>
          <w:rFonts w:ascii="Arial" w:eastAsia="Arial" w:hAnsi="Arial" w:cs="Arial"/>
          <w:color w:val="000000"/>
        </w:rPr>
        <w:t>into</w:t>
      </w:r>
      <w:proofErr w:type="gramEnd"/>
      <w:r w:rsidR="00AF6D3B" w:rsidRPr="00AF6D3B">
        <w:rPr>
          <w:rFonts w:ascii="Arial" w:eastAsia="Arial" w:hAnsi="Arial" w:cs="Arial"/>
          <w:color w:val="000000"/>
        </w:rPr>
        <w:t xml:space="preserve"> existing ADER operations</w:t>
      </w:r>
      <w:r w:rsidR="00AF6D3B">
        <w:rPr>
          <w:rFonts w:ascii="Arial" w:eastAsia="Arial" w:hAnsi="Arial" w:cs="Arial"/>
          <w:color w:val="000000"/>
        </w:rPr>
        <w:t xml:space="preserve"> </w:t>
      </w:r>
      <w:r w:rsidR="00AF6D3B" w:rsidRPr="00AF6D3B">
        <w:rPr>
          <w:rFonts w:ascii="Arial" w:eastAsia="Arial" w:hAnsi="Arial" w:cs="Arial"/>
          <w:color w:val="000000"/>
        </w:rPr>
        <w:t xml:space="preserve">so that </w:t>
      </w:r>
      <w:r w:rsidR="00AF6D3B">
        <w:rPr>
          <w:rFonts w:ascii="Arial" w:eastAsia="Arial" w:hAnsi="Arial" w:cs="Arial"/>
          <w:color w:val="000000"/>
        </w:rPr>
        <w:t>the</w:t>
      </w:r>
      <w:r w:rsidR="00AF6D3B" w:rsidRPr="00AF6D3B">
        <w:rPr>
          <w:rFonts w:ascii="Arial" w:eastAsia="Arial" w:hAnsi="Arial" w:cs="Arial"/>
          <w:color w:val="000000"/>
        </w:rPr>
        <w:t xml:space="preserve"> studies </w:t>
      </w:r>
      <w:r w:rsidR="00AF6D3B">
        <w:rPr>
          <w:rFonts w:ascii="Arial" w:eastAsia="Arial" w:hAnsi="Arial" w:cs="Arial"/>
          <w:color w:val="000000"/>
        </w:rPr>
        <w:t xml:space="preserve">can incorporate </w:t>
      </w:r>
      <w:r w:rsidR="00AF6D3B" w:rsidRPr="00AF6D3B">
        <w:rPr>
          <w:rFonts w:ascii="Arial" w:eastAsia="Arial" w:hAnsi="Arial" w:cs="Arial"/>
          <w:color w:val="000000"/>
        </w:rPr>
        <w:t xml:space="preserve">an accurate picture of how these resources </w:t>
      </w:r>
      <w:r w:rsidR="00AF6D3B">
        <w:rPr>
          <w:rFonts w:ascii="Arial" w:eastAsia="Arial" w:hAnsi="Arial" w:cs="Arial"/>
          <w:color w:val="000000"/>
        </w:rPr>
        <w:t>operate</w:t>
      </w:r>
      <w:r w:rsidR="00AF6D3B" w:rsidRPr="00AF6D3B">
        <w:rPr>
          <w:rFonts w:ascii="Arial" w:eastAsia="Arial" w:hAnsi="Arial" w:cs="Arial"/>
          <w:color w:val="000000"/>
        </w:rPr>
        <w:t>.</w:t>
      </w:r>
    </w:p>
    <w:p w14:paraId="554B31F0" w14:textId="77777777" w:rsidR="00AF6D3B" w:rsidRDefault="00AF6D3B">
      <w:pPr>
        <w:pBdr>
          <w:top w:val="nil"/>
          <w:left w:val="nil"/>
          <w:bottom w:val="nil"/>
          <w:right w:val="nil"/>
          <w:between w:val="nil"/>
        </w:pBdr>
        <w:rPr>
          <w:rFonts w:ascii="Arial" w:eastAsia="Arial" w:hAnsi="Arial" w:cs="Arial"/>
          <w:color w:val="000000"/>
        </w:rPr>
      </w:pPr>
    </w:p>
    <w:p w14:paraId="479EF361" w14:textId="7D7A3B8B" w:rsidR="00475242" w:rsidRDefault="008F0BC1">
      <w:pPr>
        <w:pBdr>
          <w:top w:val="nil"/>
          <w:left w:val="nil"/>
          <w:bottom w:val="nil"/>
          <w:right w:val="nil"/>
          <w:between w:val="nil"/>
        </w:pBdr>
        <w:rPr>
          <w:rFonts w:ascii="Arial" w:eastAsia="Arial" w:hAnsi="Arial" w:cs="Arial"/>
          <w:color w:val="000000"/>
          <w:u w:val="single"/>
        </w:rPr>
      </w:pPr>
      <w:r>
        <w:rPr>
          <w:rFonts w:ascii="Arial" w:eastAsia="Arial" w:hAnsi="Arial" w:cs="Arial"/>
          <w:b/>
          <w:bCs/>
          <w:color w:val="000000"/>
          <w:u w:val="single"/>
        </w:rPr>
        <w:t>Conclusion</w:t>
      </w:r>
    </w:p>
    <w:p w14:paraId="37EB9B18" w14:textId="77777777" w:rsidR="00475242" w:rsidRDefault="00475242">
      <w:pPr>
        <w:pBdr>
          <w:top w:val="nil"/>
          <w:left w:val="nil"/>
          <w:bottom w:val="nil"/>
          <w:right w:val="nil"/>
          <w:between w:val="nil"/>
        </w:pBdr>
        <w:rPr>
          <w:rFonts w:ascii="Arial" w:eastAsia="Arial" w:hAnsi="Arial" w:cs="Arial"/>
          <w:color w:val="000000"/>
          <w:u w:val="single"/>
        </w:rPr>
      </w:pPr>
    </w:p>
    <w:p w14:paraId="64A9ACCD" w14:textId="77777777" w:rsidR="00475242" w:rsidRDefault="008F0BC1">
      <w:pPr>
        <w:pBdr>
          <w:top w:val="nil"/>
          <w:left w:val="nil"/>
          <w:bottom w:val="nil"/>
          <w:right w:val="nil"/>
          <w:between w:val="nil"/>
        </w:pBdr>
        <w:rPr>
          <w:rFonts w:ascii="Arial" w:eastAsia="Arial" w:hAnsi="Arial" w:cs="Arial"/>
          <w:color w:val="000000"/>
        </w:rPr>
      </w:pPr>
      <w:r>
        <w:rPr>
          <w:rFonts w:ascii="Arial" w:eastAsia="Arial" w:hAnsi="Arial" w:cs="Arial"/>
          <w:color w:val="000000"/>
        </w:rPr>
        <w:tab/>
      </w:r>
      <w:r>
        <w:rPr>
          <w:rFonts w:ascii="Arial" w:eastAsia="Arial" w:hAnsi="Arial" w:cs="Arial"/>
          <w:color w:val="000000"/>
        </w:rPr>
        <w:t xml:space="preserve">The nodal dispatch phase of the pilot will allow stakeholders to gather the data that is needed to bring an informed set of protocols to the ERCOT Board and PUC. Base stands ready to collaborate on improvements to the Phase IV governing document and supports ERCOT Board consideration in December 2026.  </w:t>
      </w:r>
    </w:p>
    <w:sectPr w:rsidR="00475242">
      <w:headerReference w:type="default" r:id="rId10"/>
      <w:footerReference w:type="defaul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537420" w14:textId="77777777" w:rsidR="008F0BC1" w:rsidRDefault="008F0BC1">
      <w:r>
        <w:separator/>
      </w:r>
    </w:p>
  </w:endnote>
  <w:endnote w:type="continuationSeparator" w:id="0">
    <w:p w14:paraId="0405BE6B" w14:textId="77777777" w:rsidR="008F0BC1" w:rsidRDefault="008F0B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38F55DEC-8D67-4450-944C-5B04401E8296}"/>
  </w:font>
  <w:font w:name="Georgia">
    <w:panose1 w:val="02040502050405020303"/>
    <w:charset w:val="00"/>
    <w:family w:val="roman"/>
    <w:pitch w:val="variable"/>
    <w:sig w:usb0="00000287" w:usb1="00000000" w:usb2="00000000" w:usb3="00000000" w:csb0="0000009F" w:csb1="00000000"/>
    <w:embedItalic r:id="rId2" w:fontKey="{C2C0AEB0-8BD4-4BD7-A141-E3BB8575C7A7}"/>
  </w:font>
  <w:font w:name="Verdana">
    <w:panose1 w:val="020B0604030504040204"/>
    <w:charset w:val="00"/>
    <w:family w:val="swiss"/>
    <w:pitch w:val="variable"/>
    <w:sig w:usb0="A00006FF" w:usb1="4000205B" w:usb2="00000010" w:usb3="00000000" w:csb0="0000019F" w:csb1="00000000"/>
    <w:embedBold r:id="rId3" w:fontKey="{94400A63-9BA1-40C0-9219-8266E422A949}"/>
  </w:font>
  <w:font w:name="Calibri">
    <w:panose1 w:val="020F0502020204030204"/>
    <w:charset w:val="00"/>
    <w:family w:val="swiss"/>
    <w:pitch w:val="variable"/>
    <w:sig w:usb0="E4002EFF" w:usb1="C200247B" w:usb2="00000009" w:usb3="00000000" w:csb0="000001FF" w:csb1="00000000"/>
    <w:embedRegular r:id="rId4" w:fontKey="{AFC1E26D-011A-4501-8FCF-64D0EB56AC1A}"/>
  </w:font>
  <w:font w:name="Cambria">
    <w:panose1 w:val="02040503050406030204"/>
    <w:charset w:val="00"/>
    <w:family w:val="roman"/>
    <w:pitch w:val="variable"/>
    <w:sig w:usb0="E00006FF" w:usb1="420024FF" w:usb2="02000000" w:usb3="00000000" w:csb0="0000019F" w:csb1="00000000"/>
    <w:embedRegular r:id="rId5" w:fontKey="{77D33FB4-6893-4165-8FAE-27C6E40B2BC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6D41A" w14:textId="77777777" w:rsidR="00475242" w:rsidRDefault="008F0BC1">
    <w:pPr>
      <w:pBdr>
        <w:top w:val="nil"/>
        <w:left w:val="nil"/>
        <w:bottom w:val="nil"/>
        <w:right w:val="nil"/>
        <w:between w:val="nil"/>
      </w:pBdr>
      <w:tabs>
        <w:tab w:val="center" w:pos="4320"/>
        <w:tab w:val="right" w:pos="8640"/>
        <w:tab w:val="right" w:pos="9360"/>
      </w:tabs>
      <w:rPr>
        <w:rFonts w:ascii="Arial" w:eastAsia="Arial" w:hAnsi="Arial" w:cs="Arial"/>
        <w:color w:val="000000"/>
        <w:sz w:val="18"/>
        <w:szCs w:val="18"/>
      </w:rPr>
    </w:pPr>
    <w:r>
      <w:rPr>
        <w:rFonts w:ascii="Arial" w:eastAsia="Arial" w:hAnsi="Arial" w:cs="Arial"/>
        <w:color w:val="000000"/>
        <w:sz w:val="18"/>
        <w:szCs w:val="18"/>
      </w:rPr>
      <w:t>Base Comments on ADER Phase IV</w:t>
    </w:r>
    <w:r>
      <w:rPr>
        <w:rFonts w:ascii="Arial" w:eastAsia="Arial" w:hAnsi="Arial" w:cs="Arial"/>
        <w:color w:val="000000"/>
        <w:sz w:val="18"/>
        <w:szCs w:val="18"/>
      </w:rPr>
      <w:tab/>
      <w:t xml:space="preserve">Page </w:t>
    </w:r>
    <w:r>
      <w:rPr>
        <w:rFonts w:ascii="Arial" w:eastAsia="Arial" w:hAnsi="Arial" w:cs="Arial"/>
        <w:color w:val="000000"/>
        <w:sz w:val="18"/>
        <w:szCs w:val="18"/>
      </w:rPr>
      <w:fldChar w:fldCharType="begin"/>
    </w:r>
    <w:r>
      <w:rPr>
        <w:rFonts w:ascii="Arial" w:eastAsia="Arial" w:hAnsi="Arial" w:cs="Arial"/>
        <w:color w:val="000000"/>
        <w:sz w:val="18"/>
        <w:szCs w:val="18"/>
      </w:rPr>
      <w:instrText>PAGE</w:instrText>
    </w:r>
    <w:r>
      <w:rPr>
        <w:rFonts w:ascii="Arial" w:eastAsia="Arial" w:hAnsi="Arial" w:cs="Arial"/>
        <w:color w:val="000000"/>
        <w:sz w:val="18"/>
        <w:szCs w:val="18"/>
      </w:rPr>
      <w:fldChar w:fldCharType="separate"/>
    </w:r>
    <w:r w:rsidR="00091672">
      <w:rPr>
        <w:rFonts w:ascii="Arial" w:eastAsia="Arial" w:hAnsi="Arial" w:cs="Arial"/>
        <w:noProof/>
        <w:color w:val="000000"/>
        <w:sz w:val="18"/>
        <w:szCs w:val="18"/>
      </w:rPr>
      <w:t>1</w:t>
    </w:r>
    <w:r>
      <w:rPr>
        <w:rFonts w:ascii="Arial" w:eastAsia="Arial" w:hAnsi="Arial" w:cs="Arial"/>
        <w:color w:val="000000"/>
        <w:sz w:val="18"/>
        <w:szCs w:val="18"/>
      </w:rPr>
      <w:fldChar w:fldCharType="end"/>
    </w:r>
    <w:r>
      <w:rPr>
        <w:rFonts w:ascii="Arial" w:eastAsia="Arial" w:hAnsi="Arial" w:cs="Arial"/>
        <w:color w:val="000000"/>
        <w:sz w:val="18"/>
        <w:szCs w:val="18"/>
      </w:rPr>
      <w:t xml:space="preserve"> of </w:t>
    </w:r>
    <w:r>
      <w:rPr>
        <w:rFonts w:ascii="Arial" w:eastAsia="Arial" w:hAnsi="Arial" w:cs="Arial"/>
        <w:color w:val="000000"/>
        <w:sz w:val="18"/>
        <w:szCs w:val="18"/>
      </w:rPr>
      <w:fldChar w:fldCharType="begin"/>
    </w:r>
    <w:r>
      <w:rPr>
        <w:rFonts w:ascii="Arial" w:eastAsia="Arial" w:hAnsi="Arial" w:cs="Arial"/>
        <w:color w:val="000000"/>
        <w:sz w:val="18"/>
        <w:szCs w:val="18"/>
      </w:rPr>
      <w:instrText>NUMPAGES</w:instrText>
    </w:r>
    <w:r>
      <w:rPr>
        <w:rFonts w:ascii="Arial" w:eastAsia="Arial" w:hAnsi="Arial" w:cs="Arial"/>
        <w:color w:val="000000"/>
        <w:sz w:val="18"/>
        <w:szCs w:val="18"/>
      </w:rPr>
      <w:fldChar w:fldCharType="separate"/>
    </w:r>
    <w:r w:rsidR="00091672">
      <w:rPr>
        <w:rFonts w:ascii="Arial" w:eastAsia="Arial" w:hAnsi="Arial" w:cs="Arial"/>
        <w:noProof/>
        <w:color w:val="000000"/>
        <w:sz w:val="18"/>
        <w:szCs w:val="18"/>
      </w:rPr>
      <w:t>2</w:t>
    </w:r>
    <w:r>
      <w:rPr>
        <w:rFonts w:ascii="Arial" w:eastAsia="Arial" w:hAnsi="Arial" w:cs="Arial"/>
        <w:color w:val="000000"/>
        <w:sz w:val="18"/>
        <w:szCs w:val="18"/>
      </w:rPr>
      <w:fldChar w:fldCharType="end"/>
    </w:r>
  </w:p>
  <w:p w14:paraId="32639CEC" w14:textId="77777777" w:rsidR="00475242" w:rsidRDefault="008F0BC1">
    <w:pPr>
      <w:pBdr>
        <w:top w:val="nil"/>
        <w:left w:val="nil"/>
        <w:bottom w:val="nil"/>
        <w:right w:val="nil"/>
        <w:between w:val="nil"/>
      </w:pBdr>
      <w:tabs>
        <w:tab w:val="center" w:pos="4320"/>
        <w:tab w:val="right" w:pos="8640"/>
        <w:tab w:val="right" w:pos="9360"/>
      </w:tabs>
      <w:rPr>
        <w:rFonts w:ascii="Arial" w:eastAsia="Arial" w:hAnsi="Arial" w:cs="Arial"/>
        <w:color w:val="000000"/>
        <w:sz w:val="18"/>
        <w:szCs w:val="18"/>
      </w:rPr>
    </w:pPr>
    <w:r>
      <w:rPr>
        <w:rFonts w:ascii="Arial" w:eastAsia="Arial" w:hAnsi="Arial" w:cs="Arial"/>
        <w:color w:val="000000"/>
        <w:sz w:val="18"/>
        <w:szCs w:val="18"/>
      </w:rPr>
      <w:t>PUBLIC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81C9B" w14:textId="77777777" w:rsidR="008F0BC1" w:rsidRDefault="008F0BC1">
      <w:r>
        <w:separator/>
      </w:r>
    </w:p>
  </w:footnote>
  <w:footnote w:type="continuationSeparator" w:id="0">
    <w:p w14:paraId="3DD6672C" w14:textId="77777777" w:rsidR="008F0BC1" w:rsidRDefault="008F0BC1">
      <w:r>
        <w:continuationSeparator/>
      </w:r>
    </w:p>
  </w:footnote>
  <w:footnote w:id="1">
    <w:p w14:paraId="0CF4E85D" w14:textId="77777777" w:rsidR="00475242" w:rsidRDefault="008F0BC1">
      <w:pPr>
        <w:pBdr>
          <w:top w:val="nil"/>
          <w:left w:val="nil"/>
          <w:bottom w:val="nil"/>
          <w:right w:val="nil"/>
          <w:between w:val="nil"/>
        </w:pBdr>
        <w:rPr>
          <w:rFonts w:ascii="Arial" w:eastAsia="Arial" w:hAnsi="Arial" w:cs="Arial"/>
          <w:color w:val="000000"/>
          <w:sz w:val="20"/>
          <w:szCs w:val="20"/>
        </w:rPr>
      </w:pPr>
      <w:r>
        <w:rPr>
          <w:rStyle w:val="FootnoteReference"/>
        </w:rPr>
        <w:footnoteRef/>
      </w:r>
      <w:r>
        <w:rPr>
          <w:rFonts w:ascii="Arial" w:eastAsia="Arial" w:hAnsi="Arial" w:cs="Arial"/>
          <w:color w:val="000000"/>
          <w:sz w:val="20"/>
          <w:szCs w:val="20"/>
        </w:rPr>
        <w:t xml:space="preserve"> </w:t>
      </w:r>
      <w:r>
        <w:rPr>
          <w:rFonts w:ascii="Arial" w:eastAsia="Arial" w:hAnsi="Arial" w:cs="Arial"/>
          <w:i/>
          <w:iCs/>
          <w:color w:val="000000"/>
          <w:sz w:val="20"/>
          <w:szCs w:val="20"/>
        </w:rPr>
        <w:t>See</w:t>
      </w:r>
      <w:r>
        <w:rPr>
          <w:rFonts w:ascii="Arial" w:eastAsia="Arial" w:hAnsi="Arial" w:cs="Arial"/>
          <w:color w:val="000000"/>
          <w:sz w:val="20"/>
          <w:szCs w:val="20"/>
        </w:rPr>
        <w:t xml:space="preserve"> Piq Energy’s Flexibility without Curtailment: Aggregate DER Dispatch to Support Additional Firm Large Load Service study (Sep. 1, 2026), </w:t>
      </w:r>
      <w:r>
        <w:rPr>
          <w:rFonts w:ascii="Arial" w:eastAsia="Arial" w:hAnsi="Arial" w:cs="Arial"/>
          <w:i/>
          <w:iCs/>
          <w:color w:val="000000"/>
          <w:sz w:val="20"/>
          <w:szCs w:val="20"/>
        </w:rPr>
        <w:t xml:space="preserve">available </w:t>
      </w:r>
      <w:proofErr w:type="gramStart"/>
      <w:r>
        <w:rPr>
          <w:rFonts w:ascii="Arial" w:eastAsia="Arial" w:hAnsi="Arial" w:cs="Arial"/>
          <w:i/>
          <w:iCs/>
          <w:color w:val="000000"/>
          <w:sz w:val="20"/>
          <w:szCs w:val="20"/>
        </w:rPr>
        <w:t xml:space="preserve">at </w:t>
      </w:r>
      <w:r>
        <w:rPr>
          <w:rFonts w:ascii="Arial" w:eastAsia="Arial" w:hAnsi="Arial" w:cs="Arial"/>
          <w:color w:val="000000"/>
          <w:sz w:val="20"/>
          <w:szCs w:val="20"/>
        </w:rPr>
        <w:t xml:space="preserve"> https://www.piqenergy.com/research/piq-energy-base-power---flexibility-without-curtailment.pdf</w:t>
      </w:r>
      <w:proofErr w:type="gramEnd"/>
    </w:p>
  </w:footnote>
  <w:footnote w:id="2">
    <w:p w14:paraId="2A82DD97" w14:textId="77777777" w:rsidR="00475242" w:rsidRDefault="008F0BC1">
      <w:pPr>
        <w:pBdr>
          <w:top w:val="nil"/>
          <w:left w:val="nil"/>
          <w:bottom w:val="nil"/>
          <w:right w:val="nil"/>
          <w:between w:val="nil"/>
        </w:pBdr>
        <w:rPr>
          <w:rFonts w:ascii="Arial" w:eastAsia="Arial" w:hAnsi="Arial" w:cs="Arial"/>
          <w:color w:val="000000"/>
          <w:sz w:val="20"/>
          <w:szCs w:val="20"/>
        </w:rPr>
      </w:pPr>
      <w:r>
        <w:rPr>
          <w:rStyle w:val="FootnoteReference"/>
        </w:rPr>
        <w:footnoteRef/>
      </w:r>
      <w:r>
        <w:rPr>
          <w:rFonts w:ascii="Arial" w:eastAsia="Arial" w:hAnsi="Arial" w:cs="Arial"/>
          <w:color w:val="000000"/>
          <w:sz w:val="20"/>
          <w:szCs w:val="20"/>
        </w:rPr>
        <w:t xml:space="preserve"> Under Phase IV, a nodally dispatched ADER will be registered as an “Aggregate Distributed Energy Storage Resource” or “ADESR”.</w:t>
      </w:r>
    </w:p>
  </w:footnote>
  <w:footnote w:id="3">
    <w:p w14:paraId="797BA29C" w14:textId="77777777" w:rsidR="00475242" w:rsidRDefault="008F0BC1">
      <w:pPr>
        <w:pBdr>
          <w:top w:val="nil"/>
          <w:left w:val="nil"/>
          <w:bottom w:val="nil"/>
          <w:right w:val="nil"/>
          <w:between w:val="nil"/>
        </w:pBdr>
        <w:rPr>
          <w:color w:val="000000"/>
          <w:sz w:val="20"/>
          <w:szCs w:val="20"/>
        </w:rPr>
      </w:pPr>
      <w:r>
        <w:rPr>
          <w:rStyle w:val="FootnoteReference"/>
        </w:rPr>
        <w:footnoteRef/>
      </w:r>
      <w:r>
        <w:rPr>
          <w:rFonts w:ascii="Arial" w:eastAsia="Arial" w:hAnsi="Arial" w:cs="Arial"/>
          <w:color w:val="000000"/>
          <w:sz w:val="20"/>
          <w:szCs w:val="20"/>
        </w:rPr>
        <w:t xml:space="preserve"> </w:t>
      </w:r>
      <w:r>
        <w:rPr>
          <w:rFonts w:ascii="Arial" w:eastAsia="Arial" w:hAnsi="Arial" w:cs="Arial"/>
          <w:i/>
          <w:iCs/>
          <w:color w:val="000000"/>
          <w:sz w:val="20"/>
          <w:szCs w:val="20"/>
        </w:rPr>
        <w:t xml:space="preserve">See </w:t>
      </w:r>
      <w:r>
        <w:rPr>
          <w:rFonts w:ascii="Arial" w:eastAsia="Arial" w:hAnsi="Arial" w:cs="Arial"/>
          <w:color w:val="000000"/>
          <w:sz w:val="20"/>
          <w:szCs w:val="20"/>
        </w:rPr>
        <w:t xml:space="preserve">TAC Strategic Objectives (Feb. 27, 2025), </w:t>
      </w:r>
      <w:r>
        <w:rPr>
          <w:rFonts w:ascii="Arial" w:eastAsia="Arial" w:hAnsi="Arial" w:cs="Arial"/>
          <w:i/>
          <w:iCs/>
          <w:color w:val="000000"/>
          <w:sz w:val="20"/>
          <w:szCs w:val="20"/>
        </w:rPr>
        <w:t>available at</w:t>
      </w:r>
      <w:r>
        <w:rPr>
          <w:rFonts w:ascii="Arial" w:eastAsia="Arial" w:hAnsi="Arial" w:cs="Arial"/>
          <w:color w:val="000000"/>
          <w:sz w:val="20"/>
          <w:szCs w:val="20"/>
        </w:rPr>
        <w:t xml:space="preserve"> https://www.ercot.com/files/docs/2025/02/27/TAC-Strategic-Objectives-Approved-02272025.pptx</w:t>
      </w:r>
    </w:p>
  </w:footnote>
  <w:footnote w:id="4">
    <w:p w14:paraId="27F0C17E" w14:textId="77777777" w:rsidR="00EE5A0B" w:rsidRDefault="00EE5A0B" w:rsidP="00EE5A0B">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w:t>
      </w:r>
      <w:r>
        <w:rPr>
          <w:i/>
          <w:iCs/>
          <w:color w:val="000000"/>
          <w:sz w:val="20"/>
          <w:szCs w:val="20"/>
        </w:rPr>
        <w:t>See</w:t>
      </w:r>
      <w:r>
        <w:rPr>
          <w:color w:val="000000"/>
          <w:sz w:val="20"/>
          <w:szCs w:val="20"/>
        </w:rPr>
        <w:t xml:space="preserve"> December 2026 Monthly Outlook for Resource Adequacy report, </w:t>
      </w:r>
      <w:r>
        <w:rPr>
          <w:i/>
          <w:iCs/>
          <w:color w:val="000000"/>
          <w:sz w:val="20"/>
          <w:szCs w:val="20"/>
        </w:rPr>
        <w:t xml:space="preserve">available </w:t>
      </w:r>
      <w:proofErr w:type="gramStart"/>
      <w:r>
        <w:rPr>
          <w:i/>
          <w:iCs/>
          <w:color w:val="000000"/>
          <w:sz w:val="20"/>
          <w:szCs w:val="20"/>
        </w:rPr>
        <w:t xml:space="preserve">at </w:t>
      </w:r>
      <w:r>
        <w:rPr>
          <w:color w:val="000000"/>
          <w:sz w:val="20"/>
          <w:szCs w:val="20"/>
        </w:rPr>
        <w:t xml:space="preserve"> https://www.ercot.com/files/docs/2026/10/02/MORA_December2026.pdf</w:t>
      </w:r>
      <w:proofErr w:type="gramEnd"/>
      <w:r>
        <w:rPr>
          <w:color w:val="000000"/>
          <w:sz w:val="20"/>
          <w:szCs w:val="20"/>
        </w:rPr>
        <w:t xml:space="preserve"> </w:t>
      </w:r>
    </w:p>
  </w:footnote>
  <w:footnote w:id="5">
    <w:p w14:paraId="05A5DE8D" w14:textId="5A8DB4C5" w:rsidR="006D2C66" w:rsidRDefault="006D2C66">
      <w:pPr>
        <w:pStyle w:val="FootnoteText"/>
        <w:ind w:left="0" w:hanging="2"/>
      </w:pPr>
      <w:r>
        <w:rPr>
          <w:rStyle w:val="FootnoteReference"/>
        </w:rPr>
        <w:footnoteRef/>
      </w:r>
      <w:r>
        <w:t xml:space="preserve"> </w:t>
      </w:r>
      <w:r w:rsidRPr="006D2C66">
        <w:rPr>
          <w:lang w:val="en"/>
        </w:rPr>
        <w:t>Specifically, the governing document states that “Zonal Settlement will be retained during Phase 4,” that a</w:t>
      </w:r>
      <w:r w:rsidR="009E0AFE">
        <w:rPr>
          <w:lang w:val="en"/>
        </w:rPr>
        <w:t xml:space="preserve"> </w:t>
      </w:r>
      <w:r w:rsidR="0059119B">
        <w:rPr>
          <w:lang w:val="en"/>
        </w:rPr>
        <w:t>pilot</w:t>
      </w:r>
      <w:r w:rsidRPr="006D2C66">
        <w:rPr>
          <w:lang w:val="en"/>
        </w:rPr>
        <w:t xml:space="preserve"> objective is to “[d]evelop and evaluate options of metering approaches and nodal Settlement processes for ADESR while ensuring customers are protected,” and that ERCOT “may develop a concept paper on the challenges and possible approaches to implementing nodal Settlement for ADESRs.”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DC88" w14:textId="77777777" w:rsidR="00475242" w:rsidRDefault="008F0BC1">
    <w:pPr>
      <w:pBdr>
        <w:top w:val="nil"/>
        <w:left w:val="nil"/>
        <w:bottom w:val="nil"/>
        <w:right w:val="nil"/>
        <w:between w:val="nil"/>
      </w:pBdr>
      <w:tabs>
        <w:tab w:val="center" w:pos="4320"/>
        <w:tab w:val="right" w:pos="8640"/>
      </w:tabs>
      <w:jc w:val="center"/>
      <w:rPr>
        <w:rFonts w:ascii="Arial" w:eastAsia="Arial" w:hAnsi="Arial" w:cs="Arial"/>
        <w:b/>
        <w:bCs/>
        <w:color w:val="000000"/>
      </w:rPr>
    </w:pPr>
    <w:r>
      <w:rPr>
        <w:rFonts w:ascii="Arial" w:eastAsia="Arial" w:hAnsi="Arial" w:cs="Arial"/>
        <w:b/>
        <w:bCs/>
        <w:color w:val="000000"/>
        <w:sz w:val="32"/>
        <w:szCs w:val="32"/>
      </w:rPr>
      <w:t>ADER Phase IV Comments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A2031F"/>
    <w:multiLevelType w:val="multilevel"/>
    <w:tmpl w:val="75C6ACEE"/>
    <w:lvl w:ilvl="0">
      <w:start w:val="1"/>
      <w:numFmt w:val="decimal"/>
      <w:pStyle w:val="Heading11"/>
      <w:lvlText w:val="%1."/>
      <w:lvlJc w:val="left"/>
      <w:pPr>
        <w:tabs>
          <w:tab w:val="num" w:pos="720"/>
        </w:tabs>
        <w:ind w:left="720" w:hanging="720"/>
      </w:pPr>
    </w:lvl>
    <w:lvl w:ilvl="1">
      <w:start w:val="1"/>
      <w:numFmt w:val="decimal"/>
      <w:pStyle w:val="Heading21"/>
      <w:lvlText w:val="%2."/>
      <w:lvlJc w:val="left"/>
      <w:pPr>
        <w:tabs>
          <w:tab w:val="num" w:pos="1440"/>
        </w:tabs>
        <w:ind w:left="1440" w:hanging="720"/>
      </w:pPr>
    </w:lvl>
    <w:lvl w:ilvl="2">
      <w:start w:val="1"/>
      <w:numFmt w:val="decimal"/>
      <w:pStyle w:val="Heading31"/>
      <w:lvlText w:val="%3."/>
      <w:lvlJc w:val="left"/>
      <w:pPr>
        <w:tabs>
          <w:tab w:val="num" w:pos="2160"/>
        </w:tabs>
        <w:ind w:left="2160" w:hanging="720"/>
      </w:pPr>
    </w:lvl>
    <w:lvl w:ilvl="3">
      <w:start w:val="1"/>
      <w:numFmt w:val="decimal"/>
      <w:pStyle w:val="Heading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581910115">
    <w:abstractNumId w:val="0"/>
  </w:num>
  <w:num w:numId="2" w16cid:durableId="18637386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5242"/>
    <w:rsid w:val="00020023"/>
    <w:rsid w:val="00091672"/>
    <w:rsid w:val="000B1734"/>
    <w:rsid w:val="000F1605"/>
    <w:rsid w:val="00176C37"/>
    <w:rsid w:val="00191D5F"/>
    <w:rsid w:val="001B3127"/>
    <w:rsid w:val="00254B81"/>
    <w:rsid w:val="002919E4"/>
    <w:rsid w:val="002A6783"/>
    <w:rsid w:val="002C586C"/>
    <w:rsid w:val="00310356"/>
    <w:rsid w:val="00331B17"/>
    <w:rsid w:val="003E35F0"/>
    <w:rsid w:val="0046609D"/>
    <w:rsid w:val="00470DC3"/>
    <w:rsid w:val="00475242"/>
    <w:rsid w:val="005021CB"/>
    <w:rsid w:val="005545E4"/>
    <w:rsid w:val="0059119B"/>
    <w:rsid w:val="005D6446"/>
    <w:rsid w:val="00603819"/>
    <w:rsid w:val="00616C1E"/>
    <w:rsid w:val="00681506"/>
    <w:rsid w:val="006D2C66"/>
    <w:rsid w:val="007218A6"/>
    <w:rsid w:val="0079734B"/>
    <w:rsid w:val="00837BF7"/>
    <w:rsid w:val="00840314"/>
    <w:rsid w:val="008E4E6E"/>
    <w:rsid w:val="008F0BC1"/>
    <w:rsid w:val="00931F74"/>
    <w:rsid w:val="00934F31"/>
    <w:rsid w:val="009D365B"/>
    <w:rsid w:val="009E0AFE"/>
    <w:rsid w:val="00A73B3D"/>
    <w:rsid w:val="00AC63E5"/>
    <w:rsid w:val="00AE31DE"/>
    <w:rsid w:val="00AF6D3B"/>
    <w:rsid w:val="00B17E82"/>
    <w:rsid w:val="00B55CFC"/>
    <w:rsid w:val="00C204A0"/>
    <w:rsid w:val="00CA346C"/>
    <w:rsid w:val="00CC0E13"/>
    <w:rsid w:val="00D1401E"/>
    <w:rsid w:val="00DC59CF"/>
    <w:rsid w:val="00E000D8"/>
    <w:rsid w:val="00EE13BA"/>
    <w:rsid w:val="00EE5A0B"/>
    <w:rsid w:val="00F8390C"/>
    <w:rsid w:val="00FC17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8EDE7"/>
  <w15:docId w15:val="{1D4330DA-0D1F-45CE-843E-9A3B50286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paragraph" w:styleId="Heading7">
    <w:name w:val="heading 7"/>
    <w:basedOn w:val="Normal"/>
    <w:next w:val="Normal"/>
    <w:pPr>
      <w:suppressAutoHyphens/>
      <w:spacing w:before="240" w:after="60"/>
      <w:ind w:leftChars="-1" w:left="-1" w:hangingChars="1" w:hanging="1"/>
      <w:textDirection w:val="btLr"/>
      <w:textAlignment w:val="top"/>
      <w:outlineLvl w:val="6"/>
    </w:pPr>
    <w:rPr>
      <w:position w:val="-1"/>
      <w:szCs w:val="20"/>
      <w:lang w:val="en-US"/>
    </w:rPr>
  </w:style>
  <w:style w:type="paragraph" w:styleId="Heading8">
    <w:name w:val="heading 8"/>
    <w:basedOn w:val="Normal"/>
    <w:next w:val="Normal"/>
    <w:pPr>
      <w:suppressAutoHyphens/>
      <w:spacing w:before="240" w:after="60"/>
      <w:ind w:leftChars="-1" w:left="-1" w:hangingChars="1" w:hanging="1"/>
      <w:textDirection w:val="btLr"/>
      <w:textAlignment w:val="top"/>
      <w:outlineLvl w:val="7"/>
    </w:pPr>
    <w:rPr>
      <w:i/>
      <w:position w:val="-1"/>
      <w:szCs w:val="20"/>
      <w:lang w:val="en-US"/>
    </w:rPr>
  </w:style>
  <w:style w:type="paragraph" w:styleId="Heading9">
    <w:name w:val="heading 9"/>
    <w:basedOn w:val="Normal"/>
    <w:next w:val="Normal"/>
    <w:pPr>
      <w:suppressAutoHyphens/>
      <w:spacing w:before="240" w:after="60"/>
      <w:ind w:leftChars="-1" w:left="-1" w:hangingChars="1" w:hanging="1"/>
      <w:textDirection w:val="btLr"/>
      <w:textAlignment w:val="top"/>
      <w:outlineLvl w:val="8"/>
    </w:pPr>
    <w:rPr>
      <w:rFonts w:ascii="Arial" w:hAnsi="Arial"/>
      <w:position w:val="-1"/>
      <w:sz w:val="22"/>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customStyle="1" w:styleId="Heading11">
    <w:name w:val="Heading 11"/>
    <w:aliases w:val="h1"/>
    <w:basedOn w:val="Normal"/>
    <w:next w:val="Normal"/>
    <w:pPr>
      <w:keepNext/>
      <w:numPr>
        <w:numId w:val="1"/>
      </w:numPr>
      <w:suppressAutoHyphens/>
      <w:spacing w:after="240"/>
      <w:ind w:leftChars="-1" w:left="-1" w:hangingChars="1" w:hanging="1"/>
      <w:textDirection w:val="btLr"/>
      <w:textAlignment w:val="top"/>
      <w:outlineLvl w:val="0"/>
    </w:pPr>
    <w:rPr>
      <w:b/>
      <w:caps/>
      <w:position w:val="-1"/>
      <w:szCs w:val="20"/>
      <w:lang w:val="en-US"/>
    </w:rPr>
  </w:style>
  <w:style w:type="paragraph" w:customStyle="1" w:styleId="Heading21">
    <w:name w:val="Heading 21"/>
    <w:aliases w:val="h2"/>
    <w:basedOn w:val="Normal"/>
    <w:next w:val="Normal"/>
    <w:pPr>
      <w:keepNext/>
      <w:numPr>
        <w:ilvl w:val="1"/>
        <w:numId w:val="1"/>
      </w:numPr>
      <w:suppressAutoHyphens/>
      <w:spacing w:before="240" w:after="240"/>
      <w:ind w:leftChars="-1" w:left="-1" w:hangingChars="1" w:hanging="1"/>
      <w:textDirection w:val="btLr"/>
      <w:textAlignment w:val="top"/>
      <w:outlineLvl w:val="1"/>
    </w:pPr>
    <w:rPr>
      <w:b/>
      <w:position w:val="-1"/>
      <w:szCs w:val="20"/>
      <w:lang w:val="en-US"/>
    </w:rPr>
  </w:style>
  <w:style w:type="paragraph" w:customStyle="1" w:styleId="Heading31">
    <w:name w:val="Heading 31"/>
    <w:aliases w:val="h3"/>
    <w:basedOn w:val="Normal"/>
    <w:next w:val="Normal"/>
    <w:pPr>
      <w:keepNext/>
      <w:numPr>
        <w:ilvl w:val="2"/>
        <w:numId w:val="1"/>
      </w:numPr>
      <w:suppressAutoHyphens/>
      <w:spacing w:before="120" w:after="120"/>
      <w:ind w:leftChars="-1" w:left="-1" w:hangingChars="1" w:hanging="1"/>
      <w:textDirection w:val="btLr"/>
      <w:textAlignment w:val="top"/>
      <w:outlineLvl w:val="2"/>
    </w:pPr>
    <w:rPr>
      <w:b/>
      <w:bCs/>
      <w:i/>
      <w:iCs/>
      <w:position w:val="-1"/>
      <w:szCs w:val="20"/>
      <w:lang w:val="en-US"/>
    </w:rPr>
  </w:style>
  <w:style w:type="paragraph" w:customStyle="1" w:styleId="Heading41">
    <w:name w:val="Heading 41"/>
    <w:aliases w:val="h4"/>
    <w:basedOn w:val="Normal"/>
    <w:next w:val="Normal"/>
    <w:pPr>
      <w:keepNext/>
      <w:widowControl w:val="0"/>
      <w:numPr>
        <w:ilvl w:val="3"/>
        <w:numId w:val="1"/>
      </w:numPr>
      <w:suppressAutoHyphens/>
      <w:spacing w:before="360" w:after="240"/>
      <w:ind w:leftChars="-1" w:left="-1" w:hangingChars="1" w:hanging="1"/>
      <w:textDirection w:val="btLr"/>
      <w:textAlignment w:val="top"/>
      <w:outlineLvl w:val="3"/>
    </w:pPr>
    <w:rPr>
      <w:b/>
      <w:bCs/>
      <w:snapToGrid w:val="0"/>
      <w:position w:val="-1"/>
      <w:szCs w:val="20"/>
      <w:lang w:val="en-US"/>
    </w:rPr>
  </w:style>
  <w:style w:type="paragraph" w:customStyle="1" w:styleId="Heading51">
    <w:name w:val="Heading 51"/>
    <w:aliases w:val="h5"/>
    <w:basedOn w:val="Normal"/>
    <w:next w:val="Normal"/>
    <w:pPr>
      <w:suppressAutoHyphens/>
      <w:spacing w:before="240" w:after="60"/>
      <w:ind w:leftChars="-1" w:left="-1" w:hangingChars="1" w:hanging="1"/>
      <w:textDirection w:val="btLr"/>
      <w:textAlignment w:val="top"/>
      <w:outlineLvl w:val="4"/>
    </w:pPr>
    <w:rPr>
      <w:b/>
      <w:i/>
      <w:position w:val="-1"/>
      <w:sz w:val="26"/>
      <w:szCs w:val="20"/>
      <w:lang w:val="en-US"/>
    </w:rPr>
  </w:style>
  <w:style w:type="paragraph" w:customStyle="1" w:styleId="Heading61">
    <w:name w:val="Heading 61"/>
    <w:aliases w:val="h6"/>
    <w:basedOn w:val="Normal"/>
    <w:next w:val="Normal"/>
    <w:pPr>
      <w:suppressAutoHyphens/>
      <w:spacing w:before="240" w:after="60"/>
      <w:ind w:leftChars="-1" w:left="-1" w:hangingChars="1" w:hanging="1"/>
      <w:textDirection w:val="btLr"/>
      <w:textAlignment w:val="top"/>
      <w:outlineLvl w:val="5"/>
    </w:pPr>
    <w:rPr>
      <w:b/>
      <w:position w:val="-1"/>
      <w:sz w:val="22"/>
      <w:szCs w:val="20"/>
      <w:lang w:val="en-US"/>
    </w:rPr>
  </w:style>
  <w:style w:type="paragraph" w:styleId="Header">
    <w:name w:val="header"/>
    <w:basedOn w:val="Normal"/>
    <w:pPr>
      <w:tabs>
        <w:tab w:val="center" w:pos="4320"/>
        <w:tab w:val="right" w:pos="8640"/>
      </w:tabs>
      <w:suppressAutoHyphens/>
      <w:ind w:leftChars="-1" w:left="-1" w:hangingChars="1" w:hanging="1"/>
      <w:textDirection w:val="btLr"/>
      <w:textAlignment w:val="top"/>
      <w:outlineLvl w:val="0"/>
    </w:pPr>
    <w:rPr>
      <w:rFonts w:ascii="Arial" w:hAnsi="Arial"/>
      <w:b/>
      <w:bCs/>
      <w:position w:val="-1"/>
      <w:lang w:val="en-US"/>
    </w:rPr>
  </w:style>
  <w:style w:type="paragraph" w:styleId="Footer">
    <w:name w:val="footer"/>
    <w:basedOn w:val="Normal"/>
    <w:pPr>
      <w:tabs>
        <w:tab w:val="center" w:pos="4320"/>
        <w:tab w:val="right" w:pos="8640"/>
      </w:tabs>
      <w:suppressAutoHyphens/>
      <w:ind w:leftChars="-1" w:left="-1" w:hangingChars="1" w:hanging="1"/>
      <w:textDirection w:val="btLr"/>
      <w:textAlignment w:val="top"/>
      <w:outlineLvl w:val="0"/>
    </w:pPr>
    <w:rPr>
      <w:position w:val="-1"/>
      <w:lang w:val="en-US"/>
    </w:rPr>
  </w:style>
  <w:style w:type="paragraph" w:customStyle="1" w:styleId="TXUNormal">
    <w:name w:val="TXUNormal"/>
    <w:pPr>
      <w:suppressAutoHyphens/>
      <w:spacing w:after="120"/>
      <w:ind w:leftChars="-1" w:left="-1" w:hangingChars="1" w:hanging="1"/>
      <w:textDirection w:val="btLr"/>
      <w:textAlignment w:val="top"/>
      <w:outlineLvl w:val="0"/>
    </w:pPr>
    <w:rPr>
      <w:position w:val="-1"/>
      <w:lang w:val="en-US"/>
    </w:r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uppressAutoHyphens/>
      <w:spacing w:before="120" w:after="120"/>
      <w:ind w:leftChars="-1" w:left="720" w:right="720" w:hangingChars="1" w:hanging="1"/>
      <w:textDirection w:val="btLr"/>
      <w:textAlignment w:val="top"/>
      <w:outlineLvl w:val="0"/>
    </w:pPr>
    <w:rPr>
      <w:position w:val="-1"/>
      <w:szCs w:val="20"/>
      <w:lang w:val="en-US"/>
    </w:rPr>
  </w:style>
  <w:style w:type="character" w:styleId="Hyperlink">
    <w:name w:val="Hyperlink"/>
    <w:rPr>
      <w:color w:val="0000FF"/>
      <w:w w:val="100"/>
      <w:position w:val="-1"/>
      <w:u w:val="single"/>
      <w:effect w:val="none"/>
      <w:vertAlign w:val="baseline"/>
      <w:cs w:val="0"/>
      <w:em w:val="none"/>
    </w:rPr>
  </w:style>
  <w:style w:type="paragraph" w:styleId="BodyText">
    <w:name w:val="Body Text"/>
    <w:basedOn w:val="Normal"/>
    <w:pPr>
      <w:suppressAutoHyphens/>
      <w:spacing w:before="120" w:after="120"/>
      <w:ind w:leftChars="-1" w:left="-1" w:hangingChars="1" w:hanging="1"/>
      <w:textDirection w:val="btLr"/>
      <w:textAlignment w:val="top"/>
      <w:outlineLvl w:val="0"/>
    </w:pPr>
    <w:rPr>
      <w:position w:val="-1"/>
      <w:lang w:val="en-US"/>
    </w:rPr>
  </w:style>
  <w:style w:type="paragraph" w:styleId="BodyTextIndent">
    <w:name w:val="Body Text Indent"/>
    <w:basedOn w:val="Normal"/>
    <w:pPr>
      <w:suppressAutoHyphens/>
      <w:spacing w:before="120" w:after="120"/>
      <w:ind w:leftChars="-1" w:left="720" w:hangingChars="1" w:hanging="1"/>
      <w:textDirection w:val="btLr"/>
      <w:textAlignment w:val="top"/>
      <w:outlineLvl w:val="0"/>
    </w:pPr>
    <w:rPr>
      <w:position w:val="-1"/>
      <w:lang w:val="en-US"/>
    </w:rPr>
  </w:style>
  <w:style w:type="paragraph" w:customStyle="1" w:styleId="Bullet">
    <w:name w:val="Bullet"/>
    <w:basedOn w:val="Normal"/>
    <w:pPr>
      <w:tabs>
        <w:tab w:val="num" w:pos="720"/>
      </w:tabs>
      <w:suppressAutoHyphens/>
      <w:spacing w:before="60" w:after="120"/>
      <w:ind w:leftChars="-1" w:left="-1" w:hangingChars="1" w:hanging="1"/>
      <w:textDirection w:val="btLr"/>
      <w:textAlignment w:val="top"/>
      <w:outlineLvl w:val="0"/>
    </w:pPr>
    <w:rPr>
      <w:position w:val="-1"/>
      <w:szCs w:val="20"/>
      <w:lang w:val="en-US"/>
    </w:rPr>
  </w:style>
  <w:style w:type="paragraph" w:styleId="BalloonText">
    <w:name w:val="Balloon Text"/>
    <w:basedOn w:val="Normal"/>
    <w:pPr>
      <w:suppressAutoHyphens/>
      <w:ind w:leftChars="-1" w:left="-1" w:hangingChars="1" w:hanging="1"/>
      <w:textDirection w:val="btLr"/>
      <w:textAlignment w:val="top"/>
      <w:outlineLvl w:val="0"/>
    </w:pPr>
    <w:rPr>
      <w:rFonts w:ascii="Tahoma" w:hAnsi="Tahoma" w:cs="Tahoma"/>
      <w:position w:val="-1"/>
      <w:sz w:val="16"/>
      <w:szCs w:val="16"/>
      <w:lang w:val="en-US"/>
    </w:rPr>
  </w:style>
  <w:style w:type="paragraph" w:customStyle="1" w:styleId="NormalArial">
    <w:name w:val="Normal+Arial"/>
    <w:basedOn w:val="Normal"/>
    <w:pPr>
      <w:suppressAutoHyphens/>
      <w:ind w:leftChars="-1" w:left="-1" w:hangingChars="1" w:hanging="1"/>
      <w:textDirection w:val="btLr"/>
      <w:textAlignment w:val="top"/>
      <w:outlineLvl w:val="0"/>
    </w:pPr>
    <w:rPr>
      <w:rFonts w:ascii="Arial" w:hAnsi="Arial"/>
      <w:position w:val="-1"/>
      <w:lang w:val="en-US"/>
    </w:rPr>
  </w:style>
  <w:style w:type="table" w:styleId="TableGrid">
    <w:name w:val="Table Grid"/>
    <w:basedOn w:val="TableNormal"/>
    <w:pPr>
      <w:suppressAutoHyphens/>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Pr>
      <w:w w:val="100"/>
      <w:position w:val="-1"/>
      <w:sz w:val="16"/>
      <w:szCs w:val="16"/>
      <w:effect w:val="none"/>
      <w:vertAlign w:val="baseline"/>
      <w:cs w:val="0"/>
      <w:em w:val="none"/>
    </w:rPr>
  </w:style>
  <w:style w:type="paragraph" w:styleId="CommentText">
    <w:name w:val="annotation text"/>
    <w:basedOn w:val="Normal"/>
    <w:pPr>
      <w:suppressAutoHyphens/>
      <w:ind w:leftChars="-1" w:left="-1" w:hangingChars="1" w:hanging="1"/>
      <w:textDirection w:val="btLr"/>
      <w:textAlignment w:val="top"/>
      <w:outlineLvl w:val="0"/>
    </w:pPr>
    <w:rPr>
      <w:position w:val="-1"/>
      <w:sz w:val="20"/>
      <w:szCs w:val="20"/>
      <w:lang w:val="en-US"/>
    </w:rPr>
  </w:style>
  <w:style w:type="paragraph" w:styleId="CommentSubject">
    <w:name w:val="annotation subject"/>
    <w:basedOn w:val="CommentText"/>
    <w:next w:val="CommentText"/>
    <w:rPr>
      <w:b/>
      <w:bCs/>
    </w:rPr>
  </w:style>
  <w:style w:type="character" w:styleId="UnresolvedMention">
    <w:name w:val="Unresolved Mention"/>
    <w:qFormat/>
    <w:rPr>
      <w:color w:val="605E5C"/>
      <w:w w:val="100"/>
      <w:position w:val="-1"/>
      <w:effect w:val="none"/>
      <w:shd w:val="clear" w:color="auto" w:fill="E1DFDD"/>
      <w:vertAlign w:val="baseline"/>
      <w:cs w:val="0"/>
      <w:em w:val="none"/>
    </w:rPr>
  </w:style>
  <w:style w:type="paragraph" w:styleId="FootnoteText">
    <w:name w:val="footnote text"/>
    <w:basedOn w:val="Normal"/>
    <w:pPr>
      <w:suppressAutoHyphens/>
      <w:ind w:leftChars="-1" w:left="-1" w:hangingChars="1" w:hanging="1"/>
      <w:textDirection w:val="btLr"/>
      <w:textAlignment w:val="top"/>
      <w:outlineLvl w:val="0"/>
    </w:pPr>
    <w:rPr>
      <w:position w:val="-1"/>
      <w:sz w:val="20"/>
      <w:szCs w:val="20"/>
      <w:lang w:val="en-US"/>
    </w:rPr>
  </w:style>
  <w:style w:type="character" w:customStyle="1" w:styleId="FootnoteTextChar">
    <w:name w:val="Footnote Text Char"/>
    <w:basedOn w:val="DefaultParagraphFont"/>
    <w:rPr>
      <w:w w:val="100"/>
      <w:position w:val="-1"/>
      <w:effect w:val="none"/>
      <w:vertAlign w:val="baseline"/>
      <w:cs w:val="0"/>
      <w:em w:val="none"/>
    </w:rPr>
  </w:style>
  <w:style w:type="character" w:styleId="FootnoteReference">
    <w:name w:val="footnote reference"/>
    <w:rPr>
      <w:w w:val="100"/>
      <w:position w:val="-1"/>
      <w:effect w:val="none"/>
      <w:vertAlign w:val="superscript"/>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bholt@basepowercompany.com"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AbdOdjBt9adIvjHT+I7Abs4cpA==">CgMxLjA4AHIhMXpJS3kzWnFWYVp3TXAzQmloYTJhS3ZreHZXalRBQkpf</go:docsCustomData>
</go:gDocsCustomXmlDataStorage>
</file>

<file path=customXml/itemProps1.xml><?xml version="1.0" encoding="utf-8"?>
<ds:datastoreItem xmlns:ds="http://schemas.openxmlformats.org/officeDocument/2006/customXml" ds:itemID="{6588A8CD-3BBF-41E3-8141-CB65DBD5D0EF}">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1460</Words>
  <Characters>7859</Characters>
  <Application>Microsoft Office Word</Application>
  <DocSecurity>4</DocSecurity>
  <Lines>151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ERCOT/if</dc:creator>
  <cp:lastModifiedBy>Isenhower, Elin</cp:lastModifiedBy>
  <cp:revision>2</cp:revision>
  <dcterms:created xsi:type="dcterms:W3CDTF">2026-11-02T16:40:00Z</dcterms:created>
  <dcterms:modified xsi:type="dcterms:W3CDTF">2026-11-02T16:40:00Z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2026-11-02T16:40:55Z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83aa305a-9371-4cb7-9f2a-57aba60bdc0b</vt:lpwstr>
  </property>
  <property fmtid="{D5CDD505-2E9C-101B-9397-08002B2CF9AE}" pid="8" name="MSIP_Label_7084cbda-52b8-46fb-a7b7-cb5bd465ed85_ContentBits">
    <vt:lpwstr>0</vt:lpwstr>
  </property>
  <property fmtid="{D5CDD505-2E9C-101B-9397-08002B2CF9AE}" pid="9" name="MSIP_Label_7084cbda-52b8-46fb-a7b7-cb5bd465ed85_Tag">
    <vt:lpwstr>10, 3, 0, 1</vt:lpwstr>
  </property>
</Properties>
</file>