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152993" w14:paraId="1217B9BE" w14:textId="77777777">
        <w:tc>
          <w:tcPr>
            <w:tcW w:w="1620" w:type="dxa"/>
            <w:tcBorders>
              <w:bottom w:val="single" w:sz="4" w:space="0" w:color="auto"/>
            </w:tcBorders>
            <w:shd w:val="clear" w:color="auto" w:fill="FFFFFF"/>
            <w:vAlign w:val="center"/>
          </w:tcPr>
          <w:p w14:paraId="1B6DEBB5" w14:textId="77777777" w:rsidR="00152993" w:rsidRDefault="00EE6681">
            <w:pPr>
              <w:pStyle w:val="Header"/>
              <w:rPr>
                <w:rFonts w:ascii="Verdana" w:hAnsi="Verdana"/>
                <w:sz w:val="22"/>
              </w:rPr>
            </w:pPr>
            <w:r>
              <w:t>N</w:t>
            </w:r>
            <w:r w:rsidR="00152993">
              <w:t>PRR Number</w:t>
            </w:r>
          </w:p>
        </w:tc>
        <w:tc>
          <w:tcPr>
            <w:tcW w:w="1260" w:type="dxa"/>
            <w:tcBorders>
              <w:bottom w:val="single" w:sz="4" w:space="0" w:color="auto"/>
            </w:tcBorders>
            <w:vAlign w:val="center"/>
          </w:tcPr>
          <w:p w14:paraId="62F8421D" w14:textId="4ED310CA" w:rsidR="00152993" w:rsidRDefault="00227176">
            <w:pPr>
              <w:pStyle w:val="Header"/>
            </w:pPr>
            <w:hyperlink r:id="rId8" w:history="1">
              <w:r w:rsidR="00585CFC" w:rsidRPr="00227176">
                <w:rPr>
                  <w:rStyle w:val="Hyperlink"/>
                </w:rPr>
                <w:t>1348</w:t>
              </w:r>
            </w:hyperlink>
          </w:p>
        </w:tc>
        <w:tc>
          <w:tcPr>
            <w:tcW w:w="900" w:type="dxa"/>
            <w:tcBorders>
              <w:bottom w:val="single" w:sz="4" w:space="0" w:color="auto"/>
            </w:tcBorders>
            <w:shd w:val="clear" w:color="auto" w:fill="FFFFFF"/>
            <w:vAlign w:val="center"/>
          </w:tcPr>
          <w:p w14:paraId="690D37B0" w14:textId="77777777" w:rsidR="00152993" w:rsidRDefault="00EE6681">
            <w:pPr>
              <w:pStyle w:val="Header"/>
            </w:pPr>
            <w:r>
              <w:t>N</w:t>
            </w:r>
            <w:r w:rsidR="00152993">
              <w:t>PRR Title</w:t>
            </w:r>
          </w:p>
        </w:tc>
        <w:tc>
          <w:tcPr>
            <w:tcW w:w="6660" w:type="dxa"/>
            <w:tcBorders>
              <w:bottom w:val="single" w:sz="4" w:space="0" w:color="auto"/>
            </w:tcBorders>
            <w:vAlign w:val="center"/>
          </w:tcPr>
          <w:p w14:paraId="3B1E3D05" w14:textId="2E8C5302" w:rsidR="00152993" w:rsidRPr="00585CFC" w:rsidRDefault="00585CFC" w:rsidP="00227176">
            <w:pPr>
              <w:pStyle w:val="Header"/>
              <w:rPr>
                <w:szCs w:val="20"/>
              </w:rPr>
            </w:pPr>
            <w:r w:rsidRPr="00227176">
              <w:t>Telemetry Offsetting for Provisional Controllable Load Resources</w:t>
            </w:r>
          </w:p>
        </w:tc>
      </w:tr>
      <w:tr w:rsidR="00152993" w14:paraId="08B600C2" w14:textId="77777777">
        <w:trPr>
          <w:trHeight w:val="413"/>
        </w:trPr>
        <w:tc>
          <w:tcPr>
            <w:tcW w:w="2880" w:type="dxa"/>
            <w:gridSpan w:val="2"/>
            <w:tcBorders>
              <w:top w:val="nil"/>
              <w:left w:val="nil"/>
              <w:bottom w:val="single" w:sz="4" w:space="0" w:color="auto"/>
              <w:right w:val="nil"/>
            </w:tcBorders>
            <w:vAlign w:val="center"/>
          </w:tcPr>
          <w:p w14:paraId="333D6818" w14:textId="77777777" w:rsidR="00152993" w:rsidRDefault="00152993">
            <w:pPr>
              <w:pStyle w:val="NormalArial"/>
            </w:pPr>
          </w:p>
        </w:tc>
        <w:tc>
          <w:tcPr>
            <w:tcW w:w="7560" w:type="dxa"/>
            <w:gridSpan w:val="2"/>
            <w:tcBorders>
              <w:top w:val="single" w:sz="4" w:space="0" w:color="auto"/>
              <w:left w:val="nil"/>
              <w:bottom w:val="nil"/>
              <w:right w:val="nil"/>
            </w:tcBorders>
            <w:vAlign w:val="center"/>
          </w:tcPr>
          <w:p w14:paraId="55CF31CA" w14:textId="77777777" w:rsidR="00152993" w:rsidRDefault="00152993">
            <w:pPr>
              <w:pStyle w:val="NormalArial"/>
            </w:pPr>
          </w:p>
        </w:tc>
      </w:tr>
      <w:tr w:rsidR="00152993" w14:paraId="08F03846" w14:textId="77777777">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4947B4F1" w14:textId="77777777" w:rsidR="00152993" w:rsidRDefault="00152993">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5EF570AB" w14:textId="314AE6E5" w:rsidR="00152993" w:rsidRDefault="0017335D">
            <w:pPr>
              <w:pStyle w:val="NormalArial"/>
            </w:pPr>
            <w:r w:rsidRPr="0017335D">
              <w:rPr>
                <w:rFonts w:cs="Arial"/>
              </w:rPr>
              <w:t>October</w:t>
            </w:r>
            <w:r w:rsidR="00227176">
              <w:rPr>
                <w:rFonts w:cs="Arial"/>
              </w:rPr>
              <w:t xml:space="preserve"> 13,</w:t>
            </w:r>
            <w:r w:rsidRPr="0017335D">
              <w:rPr>
                <w:rFonts w:cs="Arial"/>
              </w:rPr>
              <w:t xml:space="preserve"> 2026</w:t>
            </w:r>
          </w:p>
        </w:tc>
      </w:tr>
      <w:tr w:rsidR="00152993" w14:paraId="37581423" w14:textId="77777777">
        <w:trPr>
          <w:trHeight w:val="467"/>
        </w:trPr>
        <w:tc>
          <w:tcPr>
            <w:tcW w:w="2880" w:type="dxa"/>
            <w:gridSpan w:val="2"/>
            <w:tcBorders>
              <w:top w:val="single" w:sz="4" w:space="0" w:color="auto"/>
              <w:left w:val="nil"/>
              <w:bottom w:val="nil"/>
              <w:right w:val="nil"/>
            </w:tcBorders>
            <w:shd w:val="clear" w:color="auto" w:fill="FFFFFF"/>
            <w:vAlign w:val="center"/>
          </w:tcPr>
          <w:p w14:paraId="02AB9B58" w14:textId="77777777" w:rsidR="00152993" w:rsidRDefault="00152993">
            <w:pPr>
              <w:pStyle w:val="NormalArial"/>
            </w:pPr>
          </w:p>
        </w:tc>
        <w:tc>
          <w:tcPr>
            <w:tcW w:w="7560" w:type="dxa"/>
            <w:gridSpan w:val="2"/>
            <w:tcBorders>
              <w:top w:val="nil"/>
              <w:left w:val="nil"/>
              <w:bottom w:val="nil"/>
              <w:right w:val="nil"/>
            </w:tcBorders>
            <w:vAlign w:val="center"/>
          </w:tcPr>
          <w:p w14:paraId="0C731E24" w14:textId="77777777" w:rsidR="00152993" w:rsidRDefault="00152993">
            <w:pPr>
              <w:pStyle w:val="NormalArial"/>
            </w:pPr>
          </w:p>
        </w:tc>
      </w:tr>
      <w:tr w:rsidR="00152993" w14:paraId="05757D2A" w14:textId="77777777">
        <w:trPr>
          <w:trHeight w:val="440"/>
        </w:trPr>
        <w:tc>
          <w:tcPr>
            <w:tcW w:w="10440" w:type="dxa"/>
            <w:gridSpan w:val="4"/>
            <w:tcBorders>
              <w:top w:val="single" w:sz="4" w:space="0" w:color="auto"/>
            </w:tcBorders>
            <w:shd w:val="clear" w:color="auto" w:fill="FFFFFF"/>
            <w:vAlign w:val="center"/>
          </w:tcPr>
          <w:p w14:paraId="49095101" w14:textId="77777777" w:rsidR="00152993" w:rsidRDefault="00152993">
            <w:pPr>
              <w:pStyle w:val="Header"/>
              <w:jc w:val="center"/>
            </w:pPr>
            <w:r>
              <w:t>Submitter’s Information</w:t>
            </w:r>
          </w:p>
        </w:tc>
      </w:tr>
      <w:tr w:rsidR="00152993" w14:paraId="5F23B8CE" w14:textId="77777777">
        <w:trPr>
          <w:trHeight w:val="350"/>
        </w:trPr>
        <w:tc>
          <w:tcPr>
            <w:tcW w:w="2880" w:type="dxa"/>
            <w:gridSpan w:val="2"/>
            <w:shd w:val="clear" w:color="auto" w:fill="FFFFFF"/>
            <w:vAlign w:val="center"/>
          </w:tcPr>
          <w:p w14:paraId="074F7A05" w14:textId="77777777" w:rsidR="00152993" w:rsidRPr="00EC55B3" w:rsidRDefault="00152993" w:rsidP="00EC55B3">
            <w:pPr>
              <w:pStyle w:val="Header"/>
            </w:pPr>
            <w:r w:rsidRPr="00EC55B3">
              <w:t>Name</w:t>
            </w:r>
          </w:p>
        </w:tc>
        <w:tc>
          <w:tcPr>
            <w:tcW w:w="7560" w:type="dxa"/>
            <w:gridSpan w:val="2"/>
            <w:vAlign w:val="center"/>
          </w:tcPr>
          <w:p w14:paraId="0F08C96B" w14:textId="31761F5D" w:rsidR="00152993" w:rsidRDefault="007B2EE9">
            <w:pPr>
              <w:pStyle w:val="NormalArial"/>
            </w:pPr>
            <w:r>
              <w:t>David Miller</w:t>
            </w:r>
          </w:p>
        </w:tc>
      </w:tr>
      <w:tr w:rsidR="00152993" w14:paraId="314CD34D" w14:textId="77777777">
        <w:trPr>
          <w:trHeight w:val="350"/>
        </w:trPr>
        <w:tc>
          <w:tcPr>
            <w:tcW w:w="2880" w:type="dxa"/>
            <w:gridSpan w:val="2"/>
            <w:shd w:val="clear" w:color="auto" w:fill="FFFFFF"/>
            <w:vAlign w:val="center"/>
          </w:tcPr>
          <w:p w14:paraId="787593BE" w14:textId="77777777" w:rsidR="00152993" w:rsidRPr="00EC55B3" w:rsidRDefault="00152993" w:rsidP="00EC55B3">
            <w:pPr>
              <w:pStyle w:val="Header"/>
            </w:pPr>
            <w:r w:rsidRPr="00EC55B3">
              <w:t>E-mail Address</w:t>
            </w:r>
          </w:p>
        </w:tc>
        <w:tc>
          <w:tcPr>
            <w:tcW w:w="7560" w:type="dxa"/>
            <w:gridSpan w:val="2"/>
            <w:vAlign w:val="center"/>
          </w:tcPr>
          <w:p w14:paraId="51B1E937" w14:textId="05352CC9" w:rsidR="00152993" w:rsidRDefault="007B2EE9">
            <w:pPr>
              <w:pStyle w:val="NormalArial"/>
            </w:pPr>
            <w:hyperlink r:id="rId9" w:history="1">
              <w:r w:rsidRPr="00A252E2">
                <w:rPr>
                  <w:rStyle w:val="Hyperlink"/>
                </w:rPr>
                <w:t>david@gridmatic.com</w:t>
              </w:r>
            </w:hyperlink>
          </w:p>
        </w:tc>
      </w:tr>
      <w:tr w:rsidR="00152993" w14:paraId="16B4F89C" w14:textId="77777777">
        <w:trPr>
          <w:trHeight w:val="350"/>
        </w:trPr>
        <w:tc>
          <w:tcPr>
            <w:tcW w:w="2880" w:type="dxa"/>
            <w:gridSpan w:val="2"/>
            <w:shd w:val="clear" w:color="auto" w:fill="FFFFFF"/>
            <w:vAlign w:val="center"/>
          </w:tcPr>
          <w:p w14:paraId="6B52EF29" w14:textId="77777777" w:rsidR="00152993" w:rsidRPr="00EC55B3" w:rsidRDefault="00152993" w:rsidP="00EC55B3">
            <w:pPr>
              <w:pStyle w:val="Header"/>
            </w:pPr>
            <w:r w:rsidRPr="00EC55B3">
              <w:t>Company</w:t>
            </w:r>
          </w:p>
        </w:tc>
        <w:tc>
          <w:tcPr>
            <w:tcW w:w="7560" w:type="dxa"/>
            <w:gridSpan w:val="2"/>
            <w:vAlign w:val="center"/>
          </w:tcPr>
          <w:p w14:paraId="67ADEEF4" w14:textId="0386B011" w:rsidR="00152993" w:rsidRDefault="007B2EE9">
            <w:pPr>
              <w:pStyle w:val="NormalArial"/>
            </w:pPr>
            <w:r>
              <w:t>Gridmatic</w:t>
            </w:r>
            <w:r w:rsidR="00F22CD1">
              <w:t xml:space="preserve"> Inc.</w:t>
            </w:r>
          </w:p>
        </w:tc>
      </w:tr>
      <w:tr w:rsidR="00152993" w14:paraId="0673974C" w14:textId="77777777">
        <w:trPr>
          <w:trHeight w:val="350"/>
        </w:trPr>
        <w:tc>
          <w:tcPr>
            <w:tcW w:w="2880" w:type="dxa"/>
            <w:gridSpan w:val="2"/>
            <w:tcBorders>
              <w:bottom w:val="single" w:sz="4" w:space="0" w:color="auto"/>
            </w:tcBorders>
            <w:shd w:val="clear" w:color="auto" w:fill="FFFFFF"/>
            <w:vAlign w:val="center"/>
          </w:tcPr>
          <w:p w14:paraId="37B236B7" w14:textId="77777777" w:rsidR="00152993" w:rsidRPr="00EC55B3" w:rsidRDefault="00152993" w:rsidP="00EC55B3">
            <w:pPr>
              <w:pStyle w:val="Header"/>
            </w:pPr>
            <w:r w:rsidRPr="00EC55B3">
              <w:t>Phone Number</w:t>
            </w:r>
          </w:p>
        </w:tc>
        <w:tc>
          <w:tcPr>
            <w:tcW w:w="7560" w:type="dxa"/>
            <w:gridSpan w:val="2"/>
            <w:tcBorders>
              <w:bottom w:val="single" w:sz="4" w:space="0" w:color="auto"/>
            </w:tcBorders>
            <w:vAlign w:val="center"/>
          </w:tcPr>
          <w:p w14:paraId="4AE9CD3E" w14:textId="2644F313" w:rsidR="00152993" w:rsidRDefault="007B2EE9">
            <w:pPr>
              <w:pStyle w:val="NormalArial"/>
            </w:pPr>
            <w:r>
              <w:t>650-200-3645</w:t>
            </w:r>
          </w:p>
        </w:tc>
      </w:tr>
      <w:tr w:rsidR="00152993" w14:paraId="4DE195FE" w14:textId="77777777">
        <w:trPr>
          <w:trHeight w:val="350"/>
        </w:trPr>
        <w:tc>
          <w:tcPr>
            <w:tcW w:w="2880" w:type="dxa"/>
            <w:gridSpan w:val="2"/>
            <w:shd w:val="clear" w:color="auto" w:fill="FFFFFF"/>
            <w:vAlign w:val="center"/>
          </w:tcPr>
          <w:p w14:paraId="1B7FF4EF" w14:textId="77777777" w:rsidR="00152993" w:rsidRPr="00EC55B3" w:rsidRDefault="00075A94" w:rsidP="00EC55B3">
            <w:pPr>
              <w:pStyle w:val="Header"/>
            </w:pPr>
            <w:r>
              <w:t>Cell</w:t>
            </w:r>
            <w:r w:rsidRPr="00EC55B3">
              <w:t xml:space="preserve"> </w:t>
            </w:r>
            <w:r w:rsidR="00152993" w:rsidRPr="00EC55B3">
              <w:t>Number</w:t>
            </w:r>
          </w:p>
        </w:tc>
        <w:tc>
          <w:tcPr>
            <w:tcW w:w="7560" w:type="dxa"/>
            <w:gridSpan w:val="2"/>
            <w:vAlign w:val="center"/>
          </w:tcPr>
          <w:p w14:paraId="16E442C1" w14:textId="6EE426B9" w:rsidR="00152993" w:rsidRDefault="007B2EE9">
            <w:pPr>
              <w:pStyle w:val="NormalArial"/>
            </w:pPr>
            <w:r>
              <w:t>650-200-3645</w:t>
            </w:r>
          </w:p>
        </w:tc>
      </w:tr>
      <w:tr w:rsidR="00075A94" w14:paraId="28B929D1" w14:textId="77777777">
        <w:trPr>
          <w:trHeight w:val="350"/>
        </w:trPr>
        <w:tc>
          <w:tcPr>
            <w:tcW w:w="2880" w:type="dxa"/>
            <w:gridSpan w:val="2"/>
            <w:tcBorders>
              <w:bottom w:val="single" w:sz="4" w:space="0" w:color="auto"/>
            </w:tcBorders>
            <w:shd w:val="clear" w:color="auto" w:fill="FFFFFF"/>
            <w:vAlign w:val="center"/>
          </w:tcPr>
          <w:p w14:paraId="62440DBC" w14:textId="77777777" w:rsidR="00075A94" w:rsidRPr="00EC55B3" w:rsidDel="00075A94" w:rsidRDefault="00075A94" w:rsidP="00EC55B3">
            <w:pPr>
              <w:pStyle w:val="Header"/>
            </w:pPr>
            <w:r>
              <w:t>Market Segment</w:t>
            </w:r>
          </w:p>
        </w:tc>
        <w:tc>
          <w:tcPr>
            <w:tcW w:w="7560" w:type="dxa"/>
            <w:gridSpan w:val="2"/>
            <w:tcBorders>
              <w:bottom w:val="single" w:sz="4" w:space="0" w:color="auto"/>
            </w:tcBorders>
            <w:vAlign w:val="center"/>
          </w:tcPr>
          <w:p w14:paraId="67CFC4AE" w14:textId="3DF2C305" w:rsidR="00075A94" w:rsidRDefault="00D414F6">
            <w:pPr>
              <w:pStyle w:val="NormalArial"/>
            </w:pPr>
            <w:r w:rsidRPr="00D414F6">
              <w:t>Independent Power Marketer (IPM)</w:t>
            </w:r>
          </w:p>
        </w:tc>
      </w:tr>
    </w:tbl>
    <w:p w14:paraId="4C777E4A" w14:textId="77777777" w:rsidR="00075A94" w:rsidRDefault="00075A94">
      <w:pPr>
        <w:pStyle w:val="NormalArial"/>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75A94" w:rsidRPr="00B5080A" w14:paraId="4366F37C" w14:textId="77777777" w:rsidTr="00B5080A">
        <w:trPr>
          <w:trHeight w:val="422"/>
          <w:jc w:val="center"/>
        </w:trPr>
        <w:tc>
          <w:tcPr>
            <w:tcW w:w="10440" w:type="dxa"/>
            <w:vAlign w:val="center"/>
          </w:tcPr>
          <w:p w14:paraId="1F34B094" w14:textId="77777777" w:rsidR="00075A94" w:rsidRPr="00075A94" w:rsidRDefault="00075A94" w:rsidP="00B5080A">
            <w:pPr>
              <w:pStyle w:val="Header"/>
              <w:jc w:val="center"/>
            </w:pPr>
            <w:r w:rsidRPr="00075A94">
              <w:t>Comments</w:t>
            </w:r>
          </w:p>
        </w:tc>
      </w:tr>
    </w:tbl>
    <w:p w14:paraId="35868F71" w14:textId="77777777" w:rsidR="00487553" w:rsidRDefault="00487553" w:rsidP="00421E12">
      <w:pPr>
        <w:pStyle w:val="NormalArial"/>
        <w:rPr>
          <w:b/>
          <w:bCs/>
        </w:rPr>
      </w:pPr>
    </w:p>
    <w:p w14:paraId="22998713" w14:textId="6555C76F" w:rsidR="00EB3682" w:rsidRPr="006A7F85" w:rsidRDefault="00EB3682" w:rsidP="00EB3682">
      <w:pPr>
        <w:pStyle w:val="NormalArial"/>
        <w:rPr>
          <w:rFonts w:cs="Arial"/>
          <w:b/>
        </w:rPr>
      </w:pPr>
      <w:r w:rsidRPr="00790B36">
        <w:rPr>
          <w:rFonts w:cs="Arial"/>
          <w:b/>
          <w:bCs/>
        </w:rPr>
        <w:t xml:space="preserve">About Gridmatic &amp; </w:t>
      </w:r>
      <w:r w:rsidR="003770E0">
        <w:rPr>
          <w:rFonts w:cs="Arial"/>
          <w:b/>
          <w:bCs/>
        </w:rPr>
        <w:t>i</w:t>
      </w:r>
      <w:r w:rsidRPr="00790B36">
        <w:rPr>
          <w:rFonts w:cs="Arial"/>
          <w:b/>
          <w:bCs/>
        </w:rPr>
        <w:t>nterest in NPRR1348</w:t>
      </w:r>
      <w:r w:rsidRPr="006A7F85">
        <w:rPr>
          <w:rFonts w:cs="Arial"/>
          <w:b/>
        </w:rPr>
        <w:t xml:space="preserve"> </w:t>
      </w:r>
    </w:p>
    <w:p w14:paraId="3BEF902B" w14:textId="281E58D5" w:rsidR="00B22474" w:rsidRDefault="00790B36" w:rsidP="00EB3682">
      <w:pPr>
        <w:pStyle w:val="NormalArial"/>
        <w:rPr>
          <w:rFonts w:cs="Arial"/>
        </w:rPr>
      </w:pPr>
      <w:r w:rsidRPr="00790B36">
        <w:rPr>
          <w:rFonts w:cs="Arial"/>
        </w:rPr>
        <w:t>Gridmatic</w:t>
      </w:r>
      <w:r w:rsidR="00F22CD1">
        <w:rPr>
          <w:rFonts w:cs="Arial"/>
        </w:rPr>
        <w:t xml:space="preserve"> Inc., through its affiliate entities,</w:t>
      </w:r>
      <w:r w:rsidRPr="00790B36">
        <w:rPr>
          <w:rFonts w:cs="Arial"/>
        </w:rPr>
        <w:t xml:space="preserve"> </w:t>
      </w:r>
      <w:r w:rsidR="00B22474">
        <w:rPr>
          <w:rFonts w:cs="Arial"/>
        </w:rPr>
        <w:t>participates in the</w:t>
      </w:r>
      <w:r w:rsidRPr="00790B36">
        <w:rPr>
          <w:rFonts w:cs="Arial"/>
        </w:rPr>
        <w:t xml:space="preserve"> ERCOT market as a </w:t>
      </w:r>
      <w:r w:rsidR="00B22474" w:rsidRPr="00790B36">
        <w:rPr>
          <w:rFonts w:cs="Arial"/>
        </w:rPr>
        <w:t>Retail Electric Provider (REP)</w:t>
      </w:r>
      <w:r w:rsidR="00B22474">
        <w:rPr>
          <w:rFonts w:cs="Arial"/>
        </w:rPr>
        <w:t xml:space="preserve"> and as a </w:t>
      </w:r>
      <w:r w:rsidRPr="00790B36">
        <w:rPr>
          <w:rFonts w:cs="Arial"/>
        </w:rPr>
        <w:t>Qualified Scheduling Entity (QSE)</w:t>
      </w:r>
      <w:r w:rsidR="00B22474">
        <w:rPr>
          <w:rFonts w:cs="Arial"/>
        </w:rPr>
        <w:t>. Our REP serves</w:t>
      </w:r>
      <w:r w:rsidRPr="00790B36">
        <w:rPr>
          <w:rFonts w:cs="Arial"/>
        </w:rPr>
        <w:t xml:space="preserve"> Commercial &amp; Industrial (C&amp;I) customers</w:t>
      </w:r>
      <w:r w:rsidR="00B22474">
        <w:rPr>
          <w:rFonts w:cs="Arial"/>
        </w:rPr>
        <w:t>.</w:t>
      </w:r>
      <w:r w:rsidRPr="00790B36">
        <w:rPr>
          <w:rFonts w:cs="Arial"/>
        </w:rPr>
        <w:t xml:space="preserve"> </w:t>
      </w:r>
      <w:r w:rsidR="00B22474">
        <w:rPr>
          <w:rFonts w:cs="Arial"/>
        </w:rPr>
        <w:t xml:space="preserve">As a QSE, we are a power </w:t>
      </w:r>
      <w:proofErr w:type="gramStart"/>
      <w:r w:rsidR="00B22474">
        <w:rPr>
          <w:rFonts w:cs="Arial"/>
        </w:rPr>
        <w:t>marketer</w:t>
      </w:r>
      <w:proofErr w:type="gramEnd"/>
      <w:r w:rsidR="00B22474">
        <w:rPr>
          <w:rFonts w:cs="Arial"/>
        </w:rPr>
        <w:t xml:space="preserve"> and we represent</w:t>
      </w:r>
      <w:r w:rsidRPr="00790B36">
        <w:rPr>
          <w:rFonts w:cs="Arial"/>
        </w:rPr>
        <w:t xml:space="preserve"> grid-scale </w:t>
      </w:r>
      <w:r w:rsidR="007B2EE9" w:rsidRPr="007B2EE9">
        <w:rPr>
          <w:rFonts w:cs="Arial"/>
        </w:rPr>
        <w:t>Energy Storage R</w:t>
      </w:r>
      <w:r w:rsidR="00B22474">
        <w:rPr>
          <w:rFonts w:cs="Arial"/>
        </w:rPr>
        <w:t>esources (ESRs)</w:t>
      </w:r>
      <w:r w:rsidRPr="00790B36">
        <w:rPr>
          <w:rFonts w:cs="Arial"/>
        </w:rPr>
        <w:t>.</w:t>
      </w:r>
    </w:p>
    <w:p w14:paraId="0768A030" w14:textId="77777777" w:rsidR="00B22474" w:rsidRDefault="00B22474" w:rsidP="00EB3682">
      <w:pPr>
        <w:pStyle w:val="NormalArial"/>
        <w:rPr>
          <w:rFonts w:cs="Arial"/>
        </w:rPr>
      </w:pPr>
    </w:p>
    <w:p w14:paraId="4137277C" w14:textId="0005B8CF" w:rsidR="00EB3682" w:rsidRPr="00EB3682" w:rsidRDefault="00B22474" w:rsidP="00EB3682">
      <w:pPr>
        <w:pStyle w:val="NormalArial"/>
      </w:pPr>
      <w:r w:rsidRPr="00B22474">
        <w:rPr>
          <w:rFonts w:cs="Arial"/>
        </w:rPr>
        <w:t>Gridmatic uses AI to predict weather, electricity supply, demand, and prices, then</w:t>
      </w:r>
      <w:r w:rsidR="003770E0">
        <w:rPr>
          <w:rFonts w:cs="Arial"/>
        </w:rPr>
        <w:t xml:space="preserve"> </w:t>
      </w:r>
      <w:proofErr w:type="gramStart"/>
      <w:r w:rsidRPr="00B22474">
        <w:rPr>
          <w:rFonts w:cs="Arial"/>
        </w:rPr>
        <w:t>applies</w:t>
      </w:r>
      <w:proofErr w:type="gramEnd"/>
      <w:r w:rsidRPr="00B22474">
        <w:rPr>
          <w:rFonts w:cs="Arial"/>
        </w:rPr>
        <w:t xml:space="preserve"> those forecasts to optimize how energy is procured, stored, supplied, and used. Our technology combines advanced weather modeling, machine learning, and optimization. We develop proprietary weather models, train deep learning models to forecast prices and grid behavior across thousands of locations, and build optimization systems that determine how energy should be traded, stored, and dispatched under real-world grid constraints.</w:t>
      </w:r>
    </w:p>
    <w:p w14:paraId="7CD08CF7" w14:textId="77777777" w:rsidR="003770E0" w:rsidRDefault="003770E0" w:rsidP="00EB3682">
      <w:pPr>
        <w:pStyle w:val="NormalArial"/>
        <w:rPr>
          <w:rFonts w:cs="Arial"/>
        </w:rPr>
      </w:pPr>
    </w:p>
    <w:p w14:paraId="173C3CED" w14:textId="3E690F67" w:rsidR="00EB3682" w:rsidRPr="00790B36" w:rsidRDefault="00790B36" w:rsidP="00EB3682">
      <w:pPr>
        <w:pStyle w:val="NormalArial"/>
        <w:rPr>
          <w:rFonts w:cs="Arial"/>
        </w:rPr>
      </w:pPr>
      <w:r w:rsidRPr="00790B36">
        <w:rPr>
          <w:rFonts w:cs="Arial"/>
        </w:rPr>
        <w:t xml:space="preserve">Gridmatic submits these comments because we </w:t>
      </w:r>
      <w:r w:rsidR="00B22474">
        <w:rPr>
          <w:rFonts w:cs="Arial"/>
        </w:rPr>
        <w:t>see opportunities for some</w:t>
      </w:r>
      <w:r w:rsidRPr="00790B36">
        <w:rPr>
          <w:rFonts w:cs="Arial"/>
        </w:rPr>
        <w:t xml:space="preserve"> of the grid's most pressing physical constraints </w:t>
      </w:r>
      <w:r w:rsidR="00B22474">
        <w:rPr>
          <w:rFonts w:cs="Arial"/>
        </w:rPr>
        <w:t xml:space="preserve">to be </w:t>
      </w:r>
      <w:r w:rsidR="007B2EE9" w:rsidRPr="007B2EE9">
        <w:rPr>
          <w:rFonts w:cs="Arial"/>
        </w:rPr>
        <w:t>address</w:t>
      </w:r>
      <w:r w:rsidR="00B22474">
        <w:rPr>
          <w:rFonts w:cs="Arial"/>
        </w:rPr>
        <w:t xml:space="preserve">ed with </w:t>
      </w:r>
      <w:r w:rsidRPr="00790B36">
        <w:rPr>
          <w:rFonts w:cs="Arial"/>
        </w:rPr>
        <w:t xml:space="preserve">software and data. NPRR1348 </w:t>
      </w:r>
      <w:r w:rsidR="007B2EE9" w:rsidRPr="007B2EE9">
        <w:rPr>
          <w:rFonts w:cs="Arial"/>
        </w:rPr>
        <w:t>i</w:t>
      </w:r>
      <w:r w:rsidR="00B22474">
        <w:rPr>
          <w:rFonts w:cs="Arial"/>
        </w:rPr>
        <w:t>s</w:t>
      </w:r>
      <w:r w:rsidRPr="00790B36">
        <w:rPr>
          <w:rFonts w:cs="Arial"/>
        </w:rPr>
        <w:t xml:space="preserve"> one such </w:t>
      </w:r>
      <w:r w:rsidR="00F22CD1" w:rsidRPr="00F22CD1">
        <w:rPr>
          <w:rFonts w:cs="Arial"/>
        </w:rPr>
        <w:t>opportunity</w:t>
      </w:r>
      <w:r w:rsidRPr="00790B36">
        <w:rPr>
          <w:rFonts w:cs="Arial"/>
        </w:rPr>
        <w:t xml:space="preserve">, and we support it. </w:t>
      </w:r>
      <w:r w:rsidR="00B22474">
        <w:rPr>
          <w:rFonts w:cs="Arial"/>
        </w:rPr>
        <w:t>Our</w:t>
      </w:r>
      <w:r w:rsidRPr="00790B36">
        <w:rPr>
          <w:rFonts w:cs="Arial"/>
        </w:rPr>
        <w:t xml:space="preserve"> comments focus on three things: the broader urgency of resolving Bring Your Own Generation (BYOG) rules and the role flexibility can play in relieving transmission constraints</w:t>
      </w:r>
      <w:r w:rsidR="007B2EE9">
        <w:rPr>
          <w:rFonts w:cs="Arial"/>
        </w:rPr>
        <w:t>,</w:t>
      </w:r>
      <w:r w:rsidRPr="00790B36">
        <w:rPr>
          <w:rFonts w:cs="Arial"/>
        </w:rPr>
        <w:t xml:space="preserve"> why Gridmatic's operating experience makes us confident the mechanism is executable today</w:t>
      </w:r>
      <w:r w:rsidR="007B2EE9">
        <w:rPr>
          <w:rFonts w:cs="Arial"/>
        </w:rPr>
        <w:t>,</w:t>
      </w:r>
      <w:r w:rsidRPr="00790B36">
        <w:rPr>
          <w:rFonts w:cs="Arial"/>
        </w:rPr>
        <w:t xml:space="preserve"> and whether BYOG configurations that require no transmission upgrades should be approved outside the batch study process.</w:t>
      </w:r>
    </w:p>
    <w:p w14:paraId="50422E8F" w14:textId="77777777" w:rsidR="00EB3682" w:rsidRDefault="00EB3682" w:rsidP="00EB3682">
      <w:pPr>
        <w:pStyle w:val="NormalArial"/>
        <w:rPr>
          <w:b/>
          <w:bCs/>
        </w:rPr>
      </w:pPr>
    </w:p>
    <w:p w14:paraId="41CE640E" w14:textId="15BF9D12" w:rsidR="00EB3682" w:rsidRPr="00B22474" w:rsidRDefault="00EB3682" w:rsidP="00EB3682">
      <w:pPr>
        <w:pStyle w:val="NormalArial"/>
        <w:rPr>
          <w:rFonts w:cs="Arial"/>
          <w:b/>
        </w:rPr>
      </w:pPr>
      <w:r w:rsidRPr="00790B36">
        <w:rPr>
          <w:rFonts w:cs="Arial"/>
          <w:b/>
          <w:bCs/>
        </w:rPr>
        <w:t xml:space="preserve">Executive </w:t>
      </w:r>
      <w:r w:rsidR="003770E0">
        <w:rPr>
          <w:rFonts w:cs="Arial"/>
          <w:b/>
          <w:bCs/>
        </w:rPr>
        <w:t>s</w:t>
      </w:r>
      <w:r w:rsidRPr="00790B36">
        <w:rPr>
          <w:rFonts w:cs="Arial"/>
          <w:b/>
          <w:bCs/>
        </w:rPr>
        <w:t xml:space="preserve">ummary &amp; </w:t>
      </w:r>
      <w:r w:rsidR="003770E0">
        <w:rPr>
          <w:rFonts w:cs="Arial"/>
          <w:b/>
          <w:bCs/>
        </w:rPr>
        <w:t>p</w:t>
      </w:r>
      <w:r w:rsidRPr="00790B36">
        <w:rPr>
          <w:rFonts w:cs="Arial"/>
          <w:b/>
          <w:bCs/>
        </w:rPr>
        <w:t>osition</w:t>
      </w:r>
      <w:r w:rsidRPr="00B22474">
        <w:rPr>
          <w:rFonts w:cs="Arial"/>
          <w:b/>
        </w:rPr>
        <w:t xml:space="preserve"> </w:t>
      </w:r>
    </w:p>
    <w:p w14:paraId="7CF9FB67" w14:textId="5C0C6815" w:rsidR="00EB3682" w:rsidRPr="00790B36" w:rsidRDefault="00EB3682" w:rsidP="00EB3682">
      <w:pPr>
        <w:pStyle w:val="NormalArial"/>
        <w:rPr>
          <w:rFonts w:cs="Arial"/>
        </w:rPr>
      </w:pPr>
      <w:r w:rsidRPr="00790B36">
        <w:rPr>
          <w:rFonts w:cs="Arial"/>
        </w:rPr>
        <w:t xml:space="preserve">Gridmatic </w:t>
      </w:r>
      <w:r w:rsidR="003770E0">
        <w:rPr>
          <w:rFonts w:cs="Arial"/>
        </w:rPr>
        <w:t>supports</w:t>
      </w:r>
      <w:r w:rsidRPr="00790B36">
        <w:rPr>
          <w:rFonts w:cs="Arial"/>
        </w:rPr>
        <w:t xml:space="preserve"> NPRR1348</w:t>
      </w:r>
      <w:r w:rsidR="00790B36" w:rsidRPr="00790B36">
        <w:rPr>
          <w:rFonts w:cs="Arial"/>
        </w:rPr>
        <w:t xml:space="preserve"> and urges the Protocol Revision Subcommittee (PRS) to advance it. The ERCOT market is facing an unprecedented volume of large load </w:t>
      </w:r>
      <w:r w:rsidR="00790B36" w:rsidRPr="00790B36">
        <w:rPr>
          <w:rFonts w:cs="Arial"/>
        </w:rPr>
        <w:lastRenderedPageBreak/>
        <w:t>interconnection requests that cannot wait for traditional transmission planning cycles. The Global Capacity Alliance, Luminary Strategies, Cypress Creek Energy, Habitat Energy, and Cipher Digital have already explained the attributability gap in detail, shown that Telemetry Offsetting operates at the QSE layer without new SCED optimization logic, and documented the modeled curtailment benefit. Gridmatic agrees with that analysis</w:t>
      </w:r>
      <w:r w:rsidR="00B22474">
        <w:rPr>
          <w:rFonts w:cs="Arial"/>
        </w:rPr>
        <w:t>.</w:t>
      </w:r>
    </w:p>
    <w:p w14:paraId="5C2E6313" w14:textId="77777777" w:rsidR="00EB3682" w:rsidRPr="00EB3682" w:rsidRDefault="00EB3682" w:rsidP="00EB3682">
      <w:pPr>
        <w:pStyle w:val="NormalArial"/>
      </w:pPr>
    </w:p>
    <w:p w14:paraId="70EECDB5" w14:textId="40D032C0" w:rsidR="00790B36" w:rsidRPr="00790B36" w:rsidRDefault="00790B36" w:rsidP="00937167">
      <w:pPr>
        <w:pStyle w:val="NormalArial"/>
        <w:rPr>
          <w:rFonts w:cs="Arial"/>
        </w:rPr>
      </w:pPr>
      <w:r w:rsidRPr="00790B36">
        <w:rPr>
          <w:rFonts w:cs="Arial"/>
        </w:rPr>
        <w:t>Having reviewed the proposed Telemetry Offsetting mechanism against our own QSE systems, we consider it executable</w:t>
      </w:r>
      <w:r w:rsidR="00B22474">
        <w:rPr>
          <w:rFonts w:cs="Arial"/>
        </w:rPr>
        <w:t xml:space="preserve"> </w:t>
      </w:r>
      <w:r w:rsidRPr="00790B36">
        <w:rPr>
          <w:rFonts w:cs="Arial"/>
        </w:rPr>
        <w:t>and commercializable.</w:t>
      </w:r>
    </w:p>
    <w:p w14:paraId="5A16F6A9" w14:textId="77777777" w:rsidR="00790B36" w:rsidRPr="00790B36" w:rsidRDefault="00790B36" w:rsidP="00937167">
      <w:pPr>
        <w:pStyle w:val="NormalArial"/>
        <w:rPr>
          <w:rFonts w:cs="Arial"/>
        </w:rPr>
      </w:pPr>
    </w:p>
    <w:p w14:paraId="0B2AB5E5" w14:textId="363F635D" w:rsidR="00790B36" w:rsidRPr="003770E0" w:rsidRDefault="00790B36" w:rsidP="00937167">
      <w:pPr>
        <w:pStyle w:val="NormalArial"/>
        <w:rPr>
          <w:rFonts w:cs="Arial"/>
          <w:b/>
        </w:rPr>
      </w:pPr>
      <w:r w:rsidRPr="006A7F85">
        <w:rPr>
          <w:rFonts w:cs="Arial"/>
          <w:b/>
        </w:rPr>
        <w:t xml:space="preserve">1. Resolving </w:t>
      </w:r>
      <w:r w:rsidR="003770E0">
        <w:rPr>
          <w:rFonts w:cs="Arial"/>
          <w:b/>
        </w:rPr>
        <w:t>the BYOG construct is an urgent issue</w:t>
      </w:r>
    </w:p>
    <w:p w14:paraId="46EEB6C9" w14:textId="23D991E1" w:rsidR="00790B36" w:rsidRPr="00790B36" w:rsidRDefault="00790B36" w:rsidP="000631AE">
      <w:pPr>
        <w:pStyle w:val="NormalArial"/>
        <w:rPr>
          <w:rFonts w:cs="Arial"/>
        </w:rPr>
      </w:pPr>
      <w:r w:rsidRPr="00790B36">
        <w:rPr>
          <w:rFonts w:cs="Arial"/>
        </w:rPr>
        <w:t xml:space="preserve">NPRR1348 should be understood as one piece of a larger and more urgent problem: ERCOT does not yet have a working rulebook for loads that bring their own generation. The </w:t>
      </w:r>
      <w:r w:rsidR="007B2EE9" w:rsidRPr="00790B36">
        <w:rPr>
          <w:rFonts w:cs="Arial"/>
        </w:rPr>
        <w:t>Withdrawal-Limited Private Use Network (WLPUN) and the Provisional Controllable Load Resource (PCLR)</w:t>
      </w:r>
      <w:r w:rsidR="007B2EE9">
        <w:rPr>
          <w:rFonts w:cs="Arial"/>
        </w:rPr>
        <w:t xml:space="preserve"> </w:t>
      </w:r>
      <w:r w:rsidRPr="00790B36">
        <w:rPr>
          <w:rFonts w:cs="Arial"/>
        </w:rPr>
        <w:t>constructs approved in PGRR145 and NPRR1325</w:t>
      </w:r>
      <w:r w:rsidR="007B2EE9">
        <w:rPr>
          <w:rFonts w:cs="Arial"/>
        </w:rPr>
        <w:t xml:space="preserve"> </w:t>
      </w:r>
      <w:r w:rsidRPr="00790B36">
        <w:rPr>
          <w:rFonts w:cs="Arial"/>
        </w:rPr>
        <w:t xml:space="preserve">created </w:t>
      </w:r>
      <w:r w:rsidR="007B2EE9">
        <w:rPr>
          <w:rFonts w:cs="Arial"/>
        </w:rPr>
        <w:t>an</w:t>
      </w:r>
      <w:r w:rsidRPr="00790B36">
        <w:rPr>
          <w:rFonts w:cs="Arial"/>
        </w:rPr>
        <w:t xml:space="preserve"> interconnection pathway, but without an operational rule for crediting paired generation</w:t>
      </w:r>
      <w:r w:rsidR="007B2EE9">
        <w:rPr>
          <w:rFonts w:cs="Arial"/>
        </w:rPr>
        <w:t>, those constructs remain</w:t>
      </w:r>
      <w:r w:rsidR="000631AE">
        <w:rPr>
          <w:rFonts w:cs="Arial"/>
        </w:rPr>
        <w:t xml:space="preserve"> unworkable for customers. Customers need the ability to mitigate their own curtailment risk by bringing new generation that the market needs. </w:t>
      </w:r>
      <w:r w:rsidRPr="00790B36">
        <w:rPr>
          <w:rFonts w:cs="Arial"/>
        </w:rPr>
        <w:t>Every month th</w:t>
      </w:r>
      <w:r w:rsidR="007B2EE9">
        <w:rPr>
          <w:rFonts w:cs="Arial"/>
        </w:rPr>
        <w:t>ese issues</w:t>
      </w:r>
      <w:r w:rsidRPr="00790B36">
        <w:rPr>
          <w:rFonts w:cs="Arial"/>
        </w:rPr>
        <w:t xml:space="preserve"> remain unresolved, capital that would otherwise fund new grid-connected generation and storage in Texas is instead being directed to islanded or off-grid configurations that </w:t>
      </w:r>
      <w:r w:rsidR="007B2EE9" w:rsidRPr="007B2EE9">
        <w:rPr>
          <w:rFonts w:cs="Arial"/>
        </w:rPr>
        <w:t xml:space="preserve">ERCOT cannot see, cannot dispatch, and cannot </w:t>
      </w:r>
      <w:r w:rsidR="007B2EE9">
        <w:rPr>
          <w:rFonts w:cs="Arial"/>
        </w:rPr>
        <w:t>call upon</w:t>
      </w:r>
      <w:r w:rsidR="007B2EE9" w:rsidRPr="007B2EE9">
        <w:rPr>
          <w:rFonts w:cs="Arial"/>
        </w:rPr>
        <w:t xml:space="preserve"> during scarcity</w:t>
      </w:r>
      <w:r w:rsidRPr="00790B36">
        <w:rPr>
          <w:rFonts w:cs="Arial"/>
        </w:rPr>
        <w:t>.</w:t>
      </w:r>
    </w:p>
    <w:p w14:paraId="0AD9ED8A" w14:textId="77777777" w:rsidR="003770E0" w:rsidRDefault="003770E0" w:rsidP="00EB3682">
      <w:pPr>
        <w:pStyle w:val="NormalArial"/>
        <w:rPr>
          <w:rFonts w:cs="Arial"/>
          <w:b/>
          <w:bCs/>
        </w:rPr>
      </w:pPr>
    </w:p>
    <w:p w14:paraId="21FF48E5" w14:textId="2314E56D" w:rsidR="00790B36" w:rsidRPr="00790B36" w:rsidRDefault="00790B36" w:rsidP="00EB3682">
      <w:pPr>
        <w:pStyle w:val="NormalArial"/>
        <w:rPr>
          <w:rFonts w:cs="Arial"/>
          <w:b/>
          <w:bCs/>
        </w:rPr>
      </w:pPr>
      <w:r w:rsidRPr="00790B36">
        <w:rPr>
          <w:rFonts w:cs="Arial"/>
          <w:b/>
          <w:bCs/>
        </w:rPr>
        <w:t xml:space="preserve">2. </w:t>
      </w:r>
      <w:r w:rsidR="000631AE">
        <w:rPr>
          <w:rFonts w:cs="Arial"/>
          <w:b/>
          <w:bCs/>
        </w:rPr>
        <w:t xml:space="preserve">Telemetry </w:t>
      </w:r>
      <w:r w:rsidR="007B2EE9">
        <w:rPr>
          <w:rFonts w:cs="Arial"/>
          <w:b/>
          <w:bCs/>
        </w:rPr>
        <w:t>O</w:t>
      </w:r>
      <w:r w:rsidR="000631AE">
        <w:rPr>
          <w:rFonts w:cs="Arial"/>
          <w:b/>
          <w:bCs/>
        </w:rPr>
        <w:t xml:space="preserve">ffsetting is </w:t>
      </w:r>
      <w:r w:rsidR="003770E0">
        <w:rPr>
          <w:rFonts w:cs="Arial"/>
          <w:b/>
          <w:bCs/>
        </w:rPr>
        <w:t xml:space="preserve">technically </w:t>
      </w:r>
      <w:r w:rsidR="000631AE">
        <w:rPr>
          <w:rFonts w:cs="Arial"/>
          <w:b/>
          <w:bCs/>
        </w:rPr>
        <w:t>viable</w:t>
      </w:r>
    </w:p>
    <w:p w14:paraId="44E60F5D" w14:textId="11D1E37A" w:rsidR="00790B36" w:rsidRPr="006A7F85" w:rsidRDefault="00790B36" w:rsidP="00EB3682">
      <w:pPr>
        <w:pStyle w:val="NormalArial"/>
        <w:rPr>
          <w:rFonts w:cs="Arial"/>
          <w:bCs/>
        </w:rPr>
      </w:pPr>
      <w:r w:rsidRPr="006A7F85">
        <w:rPr>
          <w:rFonts w:cs="Arial"/>
          <w:bCs/>
        </w:rPr>
        <w:t>Gridmatic provides QSE services for grid-scale batteries in ERCOT</w:t>
      </w:r>
      <w:r w:rsidR="007B2EE9" w:rsidRPr="007B2EE9">
        <w:rPr>
          <w:rFonts w:cs="Arial"/>
          <w:bCs/>
        </w:rPr>
        <w:t xml:space="preserve"> and manages</w:t>
      </w:r>
      <w:r w:rsidRPr="006A7F85">
        <w:rPr>
          <w:rFonts w:cs="Arial"/>
          <w:bCs/>
        </w:rPr>
        <w:t xml:space="preserve"> more than 1 GWh of storage across ERCOT and CAISO</w:t>
      </w:r>
      <w:r w:rsidR="000631AE">
        <w:rPr>
          <w:rFonts w:cs="Arial"/>
          <w:bCs/>
        </w:rPr>
        <w:t xml:space="preserve">. </w:t>
      </w:r>
      <w:r w:rsidRPr="006A7F85">
        <w:rPr>
          <w:rFonts w:cs="Arial"/>
          <w:bCs/>
        </w:rPr>
        <w:t xml:space="preserve">We are also </w:t>
      </w:r>
      <w:proofErr w:type="gramStart"/>
      <w:r w:rsidRPr="006A7F85">
        <w:rPr>
          <w:rFonts w:cs="Arial"/>
          <w:bCs/>
        </w:rPr>
        <w:t>a REP</w:t>
      </w:r>
      <w:proofErr w:type="gramEnd"/>
      <w:r w:rsidRPr="006A7F85">
        <w:rPr>
          <w:rFonts w:cs="Arial"/>
          <w:bCs/>
        </w:rPr>
        <w:t xml:space="preserve"> whose product </w:t>
      </w:r>
      <w:proofErr w:type="gramStart"/>
      <w:r w:rsidR="000631AE">
        <w:rPr>
          <w:rFonts w:cs="Arial"/>
          <w:bCs/>
        </w:rPr>
        <w:t>offering</w:t>
      </w:r>
      <w:proofErr w:type="gramEnd"/>
      <w:r w:rsidR="000631AE">
        <w:rPr>
          <w:rFonts w:cs="Arial"/>
          <w:bCs/>
        </w:rPr>
        <w:t xml:space="preserve"> includes</w:t>
      </w:r>
      <w:r w:rsidRPr="006A7F85">
        <w:rPr>
          <w:rFonts w:cs="Arial"/>
          <w:bCs/>
        </w:rPr>
        <w:t xml:space="preserve"> optimizing flexible C&amp;I load</w:t>
      </w:r>
      <w:r w:rsidR="000631AE">
        <w:rPr>
          <w:rFonts w:cs="Arial"/>
          <w:bCs/>
        </w:rPr>
        <w:t xml:space="preserve">, </w:t>
      </w:r>
      <w:r w:rsidRPr="006A7F85">
        <w:rPr>
          <w:rFonts w:cs="Arial"/>
          <w:bCs/>
        </w:rPr>
        <w:t xml:space="preserve">including </w:t>
      </w:r>
      <w:proofErr w:type="gramStart"/>
      <w:r w:rsidRPr="006A7F85">
        <w:rPr>
          <w:rFonts w:cs="Arial"/>
          <w:bCs/>
        </w:rPr>
        <w:t>data-center</w:t>
      </w:r>
      <w:proofErr w:type="gramEnd"/>
      <w:r w:rsidRPr="006A7F85">
        <w:rPr>
          <w:rFonts w:cs="Arial"/>
          <w:bCs/>
        </w:rPr>
        <w:t xml:space="preserve"> and compute customers</w:t>
      </w:r>
      <w:r w:rsidR="000631AE">
        <w:rPr>
          <w:rFonts w:cs="Arial"/>
          <w:bCs/>
        </w:rPr>
        <w:t xml:space="preserve">, </w:t>
      </w:r>
      <w:r w:rsidRPr="006A7F85">
        <w:rPr>
          <w:rFonts w:cs="Arial"/>
          <w:bCs/>
        </w:rPr>
        <w:t xml:space="preserve">against nodal prices and grid conditions in real time. In other words, we already sit on both sides of the pairing NPRR1348 </w:t>
      </w:r>
      <w:proofErr w:type="gramStart"/>
      <w:r w:rsidRPr="006A7F85">
        <w:rPr>
          <w:rFonts w:cs="Arial"/>
          <w:bCs/>
        </w:rPr>
        <w:t>contemplates:</w:t>
      </w:r>
      <w:proofErr w:type="gramEnd"/>
      <w:r w:rsidRPr="006A7F85">
        <w:rPr>
          <w:rFonts w:cs="Arial"/>
          <w:bCs/>
        </w:rPr>
        <w:t xml:space="preserve"> we dispatch the battery and we manage the load.</w:t>
      </w:r>
    </w:p>
    <w:p w14:paraId="1202C570" w14:textId="77777777" w:rsidR="00790B36" w:rsidRPr="00790B36" w:rsidRDefault="00790B36" w:rsidP="00EB3682">
      <w:pPr>
        <w:pStyle w:val="NormalArial"/>
        <w:rPr>
          <w:rFonts w:cs="Arial"/>
          <w:b/>
          <w:bCs/>
        </w:rPr>
      </w:pPr>
    </w:p>
    <w:p w14:paraId="5F8C1561" w14:textId="387B9155" w:rsidR="00EB3682" w:rsidRPr="00790B36" w:rsidRDefault="00790B36" w:rsidP="00EB3682">
      <w:pPr>
        <w:pStyle w:val="NormalArial"/>
        <w:rPr>
          <w:rFonts w:cs="Arial"/>
        </w:rPr>
      </w:pPr>
      <w:r w:rsidRPr="006A7F85">
        <w:rPr>
          <w:rFonts w:cs="Arial"/>
          <w:bCs/>
        </w:rPr>
        <w:t xml:space="preserve">NPRR1348 places </w:t>
      </w:r>
      <w:r w:rsidR="000631AE">
        <w:rPr>
          <w:rFonts w:cs="Arial"/>
          <w:bCs/>
        </w:rPr>
        <w:t xml:space="preserve">obligations </w:t>
      </w:r>
      <w:r w:rsidRPr="006A7F85">
        <w:rPr>
          <w:rFonts w:cs="Arial"/>
          <w:bCs/>
        </w:rPr>
        <w:t>on the QSE</w:t>
      </w:r>
      <w:r w:rsidR="000631AE">
        <w:rPr>
          <w:rFonts w:cs="Arial"/>
          <w:bCs/>
        </w:rPr>
        <w:t xml:space="preserve">, including </w:t>
      </w:r>
      <w:r w:rsidRPr="006A7F85">
        <w:rPr>
          <w:rFonts w:cs="Arial"/>
          <w:bCs/>
        </w:rPr>
        <w:t xml:space="preserve">continuously tracking the paired Resource's real-time availability, updating the PCLR's telemetered Low Power Consumption (LPC) limit, </w:t>
      </w:r>
      <w:r w:rsidR="00DB08D9">
        <w:rPr>
          <w:rFonts w:cs="Arial"/>
          <w:bCs/>
        </w:rPr>
        <w:t>providing real-time updates</w:t>
      </w:r>
      <w:r w:rsidRPr="006A7F85">
        <w:rPr>
          <w:rFonts w:cs="Arial"/>
          <w:bCs/>
        </w:rPr>
        <w:t xml:space="preserve"> when the Resource derates or goes offline, and producing </w:t>
      </w:r>
      <w:r w:rsidR="007B2EE9" w:rsidRPr="007B2EE9">
        <w:rPr>
          <w:rFonts w:cs="Arial"/>
          <w:bCs/>
        </w:rPr>
        <w:t>after-the-fact evidence for each Operating Day that every MW of offset load was matched by actual output from the paired Resource</w:t>
      </w:r>
      <w:r w:rsidR="00DB08D9">
        <w:rPr>
          <w:rFonts w:cs="Arial"/>
          <w:bCs/>
        </w:rPr>
        <w:t xml:space="preserve">. These are </w:t>
      </w:r>
      <w:r w:rsidRPr="006A7F85">
        <w:rPr>
          <w:rFonts w:cs="Arial"/>
          <w:bCs/>
        </w:rPr>
        <w:t>the same kind</w:t>
      </w:r>
      <w:r w:rsidR="007B2EE9">
        <w:rPr>
          <w:rFonts w:cs="Arial"/>
          <w:bCs/>
        </w:rPr>
        <w:t>s</w:t>
      </w:r>
      <w:r w:rsidRPr="006A7F85">
        <w:rPr>
          <w:rFonts w:cs="Arial"/>
          <w:bCs/>
        </w:rPr>
        <w:t xml:space="preserve"> of dynamic</w:t>
      </w:r>
      <w:r w:rsidR="00DB08D9">
        <w:rPr>
          <w:rFonts w:cs="Arial"/>
          <w:bCs/>
        </w:rPr>
        <w:t xml:space="preserve"> values</w:t>
      </w:r>
      <w:r w:rsidRPr="006A7F85">
        <w:rPr>
          <w:rFonts w:cs="Arial"/>
          <w:bCs/>
        </w:rPr>
        <w:t xml:space="preserve"> our systems </w:t>
      </w:r>
      <w:r w:rsidR="00DB08D9">
        <w:rPr>
          <w:rFonts w:cs="Arial"/>
          <w:bCs/>
        </w:rPr>
        <w:t>provide</w:t>
      </w:r>
      <w:r w:rsidRPr="006A7F85">
        <w:rPr>
          <w:rFonts w:cs="Arial"/>
          <w:bCs/>
        </w:rPr>
        <w:t xml:space="preserve"> today for storage state-of-charge management, ancillary service obligations, and </w:t>
      </w:r>
      <w:r w:rsidR="00DB08D9">
        <w:rPr>
          <w:rFonts w:cs="Arial"/>
          <w:bCs/>
        </w:rPr>
        <w:t>Set</w:t>
      </w:r>
      <w:r w:rsidRPr="006A7F85">
        <w:rPr>
          <w:rFonts w:cs="Arial"/>
          <w:bCs/>
        </w:rPr>
        <w:t xml:space="preserve"> Point compliance. ERCOT's existing telemetry validation and settlement processes </w:t>
      </w:r>
      <w:proofErr w:type="gramStart"/>
      <w:r w:rsidRPr="006A7F85">
        <w:rPr>
          <w:rFonts w:cs="Arial"/>
          <w:bCs/>
        </w:rPr>
        <w:t xml:space="preserve">are </w:t>
      </w:r>
      <w:r w:rsidR="00DB08D9">
        <w:rPr>
          <w:rFonts w:cs="Arial"/>
          <w:bCs/>
        </w:rPr>
        <w:t>capable of</w:t>
      </w:r>
      <w:r w:rsidRPr="006A7F85">
        <w:rPr>
          <w:rFonts w:cs="Arial"/>
          <w:bCs/>
        </w:rPr>
        <w:t xml:space="preserve"> audit</w:t>
      </w:r>
      <w:r w:rsidR="00DB08D9">
        <w:rPr>
          <w:rFonts w:cs="Arial"/>
          <w:bCs/>
        </w:rPr>
        <w:t>ing</w:t>
      </w:r>
      <w:proofErr w:type="gramEnd"/>
      <w:r w:rsidRPr="006A7F85">
        <w:rPr>
          <w:rFonts w:cs="Arial"/>
          <w:bCs/>
        </w:rPr>
        <w:t xml:space="preserve"> </w:t>
      </w:r>
      <w:r w:rsidR="007B2EE9">
        <w:rPr>
          <w:rFonts w:cs="Arial"/>
          <w:bCs/>
        </w:rPr>
        <w:t>them</w:t>
      </w:r>
      <w:r w:rsidRPr="006A7F85">
        <w:rPr>
          <w:rFonts w:cs="Arial"/>
          <w:bCs/>
        </w:rPr>
        <w:t>.</w:t>
      </w:r>
    </w:p>
    <w:p w14:paraId="4186DAA6" w14:textId="77777777" w:rsidR="00EB3682" w:rsidRPr="00EB3682" w:rsidRDefault="00EB3682" w:rsidP="00EB3682">
      <w:pPr>
        <w:pStyle w:val="NormalArial"/>
      </w:pPr>
    </w:p>
    <w:p w14:paraId="54EDAEC2" w14:textId="2EB55DFD" w:rsidR="00790B36" w:rsidRPr="00790B36" w:rsidRDefault="00790B36" w:rsidP="00EB3682">
      <w:pPr>
        <w:pStyle w:val="NormalArial"/>
        <w:rPr>
          <w:rFonts w:cs="Arial"/>
          <w:b/>
          <w:bCs/>
        </w:rPr>
      </w:pPr>
      <w:r w:rsidRPr="00790B36">
        <w:rPr>
          <w:rFonts w:cs="Arial"/>
          <w:b/>
          <w:bCs/>
        </w:rPr>
        <w:t xml:space="preserve">3. </w:t>
      </w:r>
      <w:r w:rsidR="003770E0">
        <w:rPr>
          <w:rFonts w:cs="Arial"/>
          <w:b/>
          <w:bCs/>
        </w:rPr>
        <w:t xml:space="preserve">Telemetry </w:t>
      </w:r>
      <w:r w:rsidR="007B2EE9">
        <w:rPr>
          <w:rFonts w:cs="Arial"/>
          <w:b/>
          <w:bCs/>
        </w:rPr>
        <w:t>O</w:t>
      </w:r>
      <w:r w:rsidR="003770E0">
        <w:rPr>
          <w:rFonts w:cs="Arial"/>
          <w:b/>
          <w:bCs/>
        </w:rPr>
        <w:t>ffsetting is commercially attractive</w:t>
      </w:r>
    </w:p>
    <w:p w14:paraId="214ED823" w14:textId="18DEEE85" w:rsidR="00EB3682" w:rsidRPr="00790B36" w:rsidRDefault="00790B36" w:rsidP="00EB3682">
      <w:pPr>
        <w:pStyle w:val="NormalArial"/>
        <w:rPr>
          <w:rFonts w:cs="Arial"/>
        </w:rPr>
      </w:pPr>
      <w:r w:rsidRPr="006A7F85">
        <w:rPr>
          <w:rFonts w:cs="Arial"/>
          <w:bCs/>
        </w:rPr>
        <w:t xml:space="preserve">From </w:t>
      </w:r>
      <w:proofErr w:type="gramStart"/>
      <w:r w:rsidRPr="006A7F85">
        <w:rPr>
          <w:rFonts w:cs="Arial"/>
          <w:bCs/>
        </w:rPr>
        <w:t xml:space="preserve">a </w:t>
      </w:r>
      <w:r w:rsidR="00DB08D9">
        <w:rPr>
          <w:rFonts w:cs="Arial"/>
          <w:bCs/>
        </w:rPr>
        <w:t>REP</w:t>
      </w:r>
      <w:r w:rsidRPr="006A7F85">
        <w:rPr>
          <w:rFonts w:cs="Arial"/>
          <w:bCs/>
        </w:rPr>
        <w:t>'s</w:t>
      </w:r>
      <w:proofErr w:type="gramEnd"/>
      <w:r w:rsidRPr="006A7F85">
        <w:rPr>
          <w:rFonts w:cs="Arial"/>
          <w:bCs/>
        </w:rPr>
        <w:t xml:space="preserve"> perspective, NPRR1348</w:t>
      </w:r>
      <w:r w:rsidR="00DB08D9">
        <w:rPr>
          <w:rFonts w:cs="Arial"/>
          <w:bCs/>
        </w:rPr>
        <w:t xml:space="preserve"> allows us to offer large loads </w:t>
      </w:r>
      <w:r w:rsidR="00F22CD1" w:rsidRPr="00F22CD1">
        <w:rPr>
          <w:rFonts w:cs="Arial"/>
          <w:bCs/>
        </w:rPr>
        <w:t>a new kind of retail product that pairs their</w:t>
      </w:r>
      <w:r w:rsidR="00DB08D9">
        <w:rPr>
          <w:rFonts w:cs="Arial"/>
          <w:bCs/>
        </w:rPr>
        <w:t xml:space="preserve"> load with a BYOG ESR. T</w:t>
      </w:r>
      <w:r w:rsidR="00DB08D9" w:rsidRPr="005514D9">
        <w:rPr>
          <w:rFonts w:cs="Arial"/>
          <w:bCs/>
        </w:rPr>
        <w:t>he customer receives the budget certainty and operational predictability that its lenders require</w:t>
      </w:r>
      <w:r w:rsidR="00DB08D9">
        <w:rPr>
          <w:rFonts w:cs="Arial"/>
          <w:bCs/>
        </w:rPr>
        <w:t>, and</w:t>
      </w:r>
      <w:r w:rsidR="00DB08D9" w:rsidRPr="005514D9">
        <w:rPr>
          <w:rFonts w:cs="Arial"/>
          <w:bCs/>
        </w:rPr>
        <w:t xml:space="preserve"> ERCOT retains full visibility and </w:t>
      </w:r>
      <w:r w:rsidR="00DB08D9">
        <w:rPr>
          <w:rFonts w:cs="Arial"/>
          <w:bCs/>
        </w:rPr>
        <w:t>contribution from new resources during scarcity hours. This is a model Gridmatic is prepared to offer when the Protocols permit it.</w:t>
      </w:r>
      <w:r w:rsidRPr="006A7F85">
        <w:rPr>
          <w:rFonts w:cs="Arial"/>
          <w:bCs/>
        </w:rPr>
        <w:t xml:space="preserve"> </w:t>
      </w:r>
    </w:p>
    <w:p w14:paraId="5DF86B0B" w14:textId="77777777" w:rsidR="00EB3682" w:rsidRPr="00EB3682" w:rsidRDefault="00EB3682" w:rsidP="00EB3682">
      <w:pPr>
        <w:pStyle w:val="NormalArial"/>
      </w:pPr>
    </w:p>
    <w:p w14:paraId="277F993B" w14:textId="29C468A2" w:rsidR="00790B36" w:rsidRPr="00790B36" w:rsidRDefault="00790B36" w:rsidP="00EB3682">
      <w:pPr>
        <w:pStyle w:val="NormalArial"/>
        <w:rPr>
          <w:rFonts w:cs="Arial"/>
          <w:b/>
          <w:bCs/>
        </w:rPr>
      </w:pPr>
      <w:r w:rsidRPr="00790B36">
        <w:rPr>
          <w:rFonts w:cs="Arial"/>
          <w:b/>
          <w:bCs/>
        </w:rPr>
        <w:t xml:space="preserve">4. A </w:t>
      </w:r>
      <w:r w:rsidR="003770E0">
        <w:rPr>
          <w:rFonts w:cs="Arial"/>
          <w:b/>
          <w:bCs/>
        </w:rPr>
        <w:t>q</w:t>
      </w:r>
      <w:r w:rsidRPr="00790B36">
        <w:rPr>
          <w:rFonts w:cs="Arial"/>
          <w:b/>
          <w:bCs/>
        </w:rPr>
        <w:t xml:space="preserve">uestion for </w:t>
      </w:r>
      <w:r w:rsidR="003770E0">
        <w:rPr>
          <w:rFonts w:cs="Arial"/>
          <w:b/>
          <w:bCs/>
        </w:rPr>
        <w:t>s</w:t>
      </w:r>
      <w:r w:rsidRPr="00790B36">
        <w:rPr>
          <w:rFonts w:cs="Arial"/>
          <w:b/>
          <w:bCs/>
        </w:rPr>
        <w:t xml:space="preserve">takeholders: </w:t>
      </w:r>
      <w:r w:rsidR="003770E0">
        <w:rPr>
          <w:rFonts w:cs="Arial"/>
          <w:b/>
          <w:bCs/>
        </w:rPr>
        <w:t>s</w:t>
      </w:r>
      <w:r w:rsidRPr="00790B36">
        <w:rPr>
          <w:rFonts w:cs="Arial"/>
          <w:b/>
          <w:bCs/>
        </w:rPr>
        <w:t xml:space="preserve">hould BYOG </w:t>
      </w:r>
      <w:r w:rsidR="003770E0">
        <w:rPr>
          <w:rFonts w:cs="Arial"/>
          <w:b/>
          <w:bCs/>
        </w:rPr>
        <w:t>t</w:t>
      </w:r>
      <w:r w:rsidRPr="00790B36">
        <w:rPr>
          <w:rFonts w:cs="Arial"/>
          <w:b/>
          <w:bCs/>
        </w:rPr>
        <w:t xml:space="preserve">hat </w:t>
      </w:r>
      <w:r w:rsidR="003770E0">
        <w:rPr>
          <w:rFonts w:cs="Arial"/>
          <w:b/>
          <w:bCs/>
        </w:rPr>
        <w:t>n</w:t>
      </w:r>
      <w:r w:rsidRPr="00790B36">
        <w:rPr>
          <w:rFonts w:cs="Arial"/>
          <w:b/>
          <w:bCs/>
        </w:rPr>
        <w:t xml:space="preserve">eeds </w:t>
      </w:r>
      <w:r w:rsidR="003770E0">
        <w:rPr>
          <w:rFonts w:cs="Arial"/>
          <w:b/>
          <w:bCs/>
        </w:rPr>
        <w:t>n</w:t>
      </w:r>
      <w:r w:rsidRPr="00790B36">
        <w:rPr>
          <w:rFonts w:cs="Arial"/>
          <w:b/>
          <w:bCs/>
        </w:rPr>
        <w:t xml:space="preserve">o </w:t>
      </w:r>
      <w:r w:rsidR="003770E0">
        <w:rPr>
          <w:rFonts w:cs="Arial"/>
          <w:b/>
          <w:bCs/>
        </w:rPr>
        <w:t>t</w:t>
      </w:r>
      <w:r w:rsidRPr="00790B36">
        <w:rPr>
          <w:rFonts w:cs="Arial"/>
          <w:b/>
          <w:bCs/>
        </w:rPr>
        <w:t xml:space="preserve">ransmission </w:t>
      </w:r>
      <w:proofErr w:type="gramStart"/>
      <w:r w:rsidR="003770E0">
        <w:rPr>
          <w:rFonts w:cs="Arial"/>
          <w:b/>
          <w:bCs/>
        </w:rPr>
        <w:t>u</w:t>
      </w:r>
      <w:r w:rsidRPr="00790B36">
        <w:rPr>
          <w:rFonts w:cs="Arial"/>
          <w:b/>
          <w:bCs/>
        </w:rPr>
        <w:t>pgrade</w:t>
      </w:r>
      <w:proofErr w:type="gramEnd"/>
      <w:r w:rsidRPr="00790B36">
        <w:rPr>
          <w:rFonts w:cs="Arial"/>
          <w:b/>
          <w:bCs/>
        </w:rPr>
        <w:t xml:space="preserve"> </w:t>
      </w:r>
      <w:r w:rsidR="003770E0">
        <w:rPr>
          <w:rFonts w:cs="Arial"/>
          <w:b/>
          <w:bCs/>
        </w:rPr>
        <w:t>w</w:t>
      </w:r>
      <w:r w:rsidRPr="00790B36">
        <w:rPr>
          <w:rFonts w:cs="Arial"/>
          <w:b/>
          <w:bCs/>
        </w:rPr>
        <w:t xml:space="preserve">ait on </w:t>
      </w:r>
      <w:r w:rsidR="003770E0">
        <w:rPr>
          <w:rFonts w:cs="Arial"/>
          <w:b/>
          <w:bCs/>
        </w:rPr>
        <w:t>a</w:t>
      </w:r>
      <w:r w:rsidRPr="00790B36">
        <w:rPr>
          <w:rFonts w:cs="Arial"/>
          <w:b/>
          <w:bCs/>
        </w:rPr>
        <w:t xml:space="preserve"> </w:t>
      </w:r>
      <w:r w:rsidR="003770E0">
        <w:rPr>
          <w:rFonts w:cs="Arial"/>
          <w:b/>
          <w:bCs/>
        </w:rPr>
        <w:t>b</w:t>
      </w:r>
      <w:r w:rsidRPr="00790B36">
        <w:rPr>
          <w:rFonts w:cs="Arial"/>
          <w:b/>
          <w:bCs/>
        </w:rPr>
        <w:t xml:space="preserve">atch </w:t>
      </w:r>
      <w:r w:rsidR="003770E0">
        <w:rPr>
          <w:rFonts w:cs="Arial"/>
          <w:b/>
          <w:bCs/>
        </w:rPr>
        <w:t>s</w:t>
      </w:r>
      <w:r w:rsidRPr="00790B36">
        <w:rPr>
          <w:rFonts w:cs="Arial"/>
          <w:b/>
          <w:bCs/>
        </w:rPr>
        <w:t>tudy?</w:t>
      </w:r>
    </w:p>
    <w:p w14:paraId="08341CCC" w14:textId="23F22C57" w:rsidR="00790B36" w:rsidRPr="006A7F85" w:rsidRDefault="00790B36" w:rsidP="00EB3682">
      <w:pPr>
        <w:pStyle w:val="NormalArial"/>
        <w:rPr>
          <w:rFonts w:cs="Arial"/>
          <w:bCs/>
        </w:rPr>
      </w:pPr>
      <w:r w:rsidRPr="006A7F85">
        <w:rPr>
          <w:rFonts w:cs="Arial"/>
          <w:bCs/>
        </w:rPr>
        <w:t>Gridmatic also encourages stakeholders to consider a related question that NPRR1348 brings into focus. The batch study process established under PGRR145 is</w:t>
      </w:r>
      <w:r w:rsidR="006A7F85">
        <w:rPr>
          <w:rFonts w:cs="Arial"/>
          <w:bCs/>
        </w:rPr>
        <w:t xml:space="preserve"> fundamentally</w:t>
      </w:r>
      <w:r w:rsidRPr="006A7F85">
        <w:rPr>
          <w:rFonts w:cs="Arial"/>
          <w:bCs/>
        </w:rPr>
        <w:t xml:space="preserve"> a transmission planning process. Its purpose is to study a set of firm load requests together, identify the transmission upgrades needed to serve them reliably, and allocate the resulting capacity. That is the right process for load that needs the grid to build something on its behalf.</w:t>
      </w:r>
    </w:p>
    <w:p w14:paraId="3292C5F8" w14:textId="77777777" w:rsidR="00790B36" w:rsidRPr="00790B36" w:rsidRDefault="00790B36" w:rsidP="00EB3682">
      <w:pPr>
        <w:pStyle w:val="NormalArial"/>
        <w:rPr>
          <w:rFonts w:cs="Arial"/>
          <w:b/>
          <w:bCs/>
        </w:rPr>
      </w:pPr>
    </w:p>
    <w:p w14:paraId="5DC46522" w14:textId="0169321A" w:rsidR="00790B36" w:rsidRPr="006A7F85" w:rsidRDefault="00790B36" w:rsidP="00EB3682">
      <w:pPr>
        <w:pStyle w:val="NormalArial"/>
        <w:rPr>
          <w:rFonts w:cs="Arial"/>
          <w:bCs/>
        </w:rPr>
      </w:pPr>
      <w:r w:rsidRPr="006A7F85">
        <w:rPr>
          <w:rFonts w:cs="Arial"/>
          <w:bCs/>
        </w:rPr>
        <w:t xml:space="preserve">A BYOG configuration that qualifies under NPRR1348 </w:t>
      </w:r>
      <w:r w:rsidR="00DB08D9">
        <w:rPr>
          <w:rFonts w:cs="Arial"/>
          <w:bCs/>
        </w:rPr>
        <w:t>can be different in nature.</w:t>
      </w:r>
      <w:r w:rsidRPr="006A7F85">
        <w:rPr>
          <w:rFonts w:cs="Arial"/>
          <w:bCs/>
        </w:rPr>
        <w:t xml:space="preserve"> </w:t>
      </w:r>
      <w:r w:rsidR="007B2EE9">
        <w:rPr>
          <w:rFonts w:cs="Arial"/>
          <w:bCs/>
        </w:rPr>
        <w:t>When the paired Resource injects an equivalent amount at the same electrical location, the offset portion of the load adds no net flow on the constrained elements, and the load drops the moment the Resource cannot perform</w:t>
      </w:r>
      <w:r w:rsidRPr="006A7F85">
        <w:rPr>
          <w:rFonts w:cs="Arial"/>
          <w:bCs/>
        </w:rPr>
        <w:t xml:space="preserve">. Such a configuration </w:t>
      </w:r>
      <w:r w:rsidR="00DB08D9">
        <w:rPr>
          <w:rFonts w:cs="Arial"/>
          <w:bCs/>
        </w:rPr>
        <w:t>may</w:t>
      </w:r>
      <w:r w:rsidRPr="006A7F85">
        <w:rPr>
          <w:rFonts w:cs="Arial"/>
          <w:bCs/>
        </w:rPr>
        <w:t xml:space="preserve"> not require a transmission upgrade,</w:t>
      </w:r>
      <w:r w:rsidR="006A7F85">
        <w:rPr>
          <w:rFonts w:cs="Arial"/>
          <w:bCs/>
        </w:rPr>
        <w:t xml:space="preserve"> in which case</w:t>
      </w:r>
      <w:r w:rsidRPr="006A7F85">
        <w:rPr>
          <w:rFonts w:cs="Arial"/>
          <w:bCs/>
        </w:rPr>
        <w:t xml:space="preserve"> the principal output of a batch study</w:t>
      </w:r>
      <w:r w:rsidR="007B2EE9">
        <w:rPr>
          <w:rFonts w:cs="Arial"/>
          <w:bCs/>
        </w:rPr>
        <w:t>, a transmission upgrade plan,</w:t>
      </w:r>
      <w:r w:rsidRPr="006A7F85">
        <w:rPr>
          <w:rFonts w:cs="Arial"/>
          <w:bCs/>
        </w:rPr>
        <w:t xml:space="preserve"> </w:t>
      </w:r>
      <w:r w:rsidR="00DB08D9">
        <w:rPr>
          <w:rFonts w:cs="Arial"/>
          <w:bCs/>
        </w:rPr>
        <w:t>is not applicable</w:t>
      </w:r>
      <w:r w:rsidRPr="006A7F85">
        <w:rPr>
          <w:rFonts w:cs="Arial"/>
          <w:bCs/>
        </w:rPr>
        <w:t>. Requiring that load to wait in a planning queue sized by transmission scarcity delays energization without producing any planning information ERCOT needs to operate the pairing safely.</w:t>
      </w:r>
    </w:p>
    <w:p w14:paraId="154BE954" w14:textId="77777777" w:rsidR="00790B36" w:rsidRPr="00790B36" w:rsidRDefault="00790B36" w:rsidP="00EB3682">
      <w:pPr>
        <w:pStyle w:val="NormalArial"/>
        <w:rPr>
          <w:rFonts w:cs="Arial"/>
          <w:b/>
          <w:bCs/>
        </w:rPr>
      </w:pPr>
    </w:p>
    <w:p w14:paraId="545798A9" w14:textId="6202F19F" w:rsidR="00790B36" w:rsidRPr="006A7F85" w:rsidRDefault="00790B36" w:rsidP="00EB3682">
      <w:pPr>
        <w:pStyle w:val="NormalArial"/>
        <w:rPr>
          <w:rFonts w:cs="Arial"/>
          <w:bCs/>
        </w:rPr>
      </w:pPr>
      <w:r w:rsidRPr="006A7F85">
        <w:rPr>
          <w:rFonts w:cs="Arial"/>
          <w:bCs/>
        </w:rPr>
        <w:t xml:space="preserve">We do not propose </w:t>
      </w:r>
      <w:r w:rsidR="007B2EE9" w:rsidRPr="007B2EE9">
        <w:rPr>
          <w:rFonts w:cs="Arial"/>
          <w:bCs/>
        </w:rPr>
        <w:t>Protocol</w:t>
      </w:r>
      <w:r w:rsidRPr="006A7F85">
        <w:rPr>
          <w:rFonts w:cs="Arial"/>
          <w:bCs/>
        </w:rPr>
        <w:t xml:space="preserve"> language on this point today</w:t>
      </w:r>
      <w:r w:rsidR="00BE1D45">
        <w:rPr>
          <w:rFonts w:cs="Arial"/>
          <w:bCs/>
        </w:rPr>
        <w:t>.</w:t>
      </w:r>
      <w:r w:rsidRPr="006A7F85">
        <w:rPr>
          <w:rFonts w:cs="Arial"/>
          <w:bCs/>
        </w:rPr>
        <w:t xml:space="preserve"> </w:t>
      </w:r>
      <w:r w:rsidR="00BE1D45">
        <w:rPr>
          <w:rFonts w:cs="Arial"/>
          <w:bCs/>
        </w:rPr>
        <w:t>W</w:t>
      </w:r>
      <w:r w:rsidRPr="006A7F85">
        <w:rPr>
          <w:rFonts w:cs="Arial"/>
          <w:bCs/>
        </w:rPr>
        <w:t>e raise it because NPRR1348 provides the operational framework that would make a</w:t>
      </w:r>
      <w:r w:rsidR="006A7F85">
        <w:rPr>
          <w:rFonts w:cs="Arial"/>
          <w:bCs/>
        </w:rPr>
        <w:t>n alternative study</w:t>
      </w:r>
      <w:r w:rsidRPr="006A7F85">
        <w:rPr>
          <w:rFonts w:cs="Arial"/>
          <w:bCs/>
        </w:rPr>
        <w:t xml:space="preserve"> path credible, and because the question belongs in the </w:t>
      </w:r>
      <w:r w:rsidR="007B2EE9">
        <w:rPr>
          <w:rFonts w:cs="Arial"/>
          <w:bCs/>
        </w:rPr>
        <w:t>Large Load Working Group (</w:t>
      </w:r>
      <w:r w:rsidRPr="006A7F85">
        <w:rPr>
          <w:rFonts w:cs="Arial"/>
          <w:bCs/>
        </w:rPr>
        <w:t>LLWG</w:t>
      </w:r>
      <w:r w:rsidR="007B2EE9">
        <w:rPr>
          <w:rFonts w:cs="Arial"/>
          <w:bCs/>
        </w:rPr>
        <w:t>)</w:t>
      </w:r>
      <w:r w:rsidRPr="006A7F85">
        <w:rPr>
          <w:rFonts w:cs="Arial"/>
          <w:bCs/>
        </w:rPr>
        <w:t xml:space="preserve"> and </w:t>
      </w:r>
      <w:r w:rsidR="007B2EE9">
        <w:rPr>
          <w:rFonts w:cs="Arial"/>
          <w:bCs/>
        </w:rPr>
        <w:t>Comprehensive Transmission Planning (</w:t>
      </w:r>
      <w:r w:rsidRPr="006A7F85">
        <w:rPr>
          <w:rFonts w:cs="Arial"/>
          <w:bCs/>
        </w:rPr>
        <w:t>CTP</w:t>
      </w:r>
      <w:r w:rsidR="007B2EE9">
        <w:rPr>
          <w:rFonts w:cs="Arial"/>
          <w:bCs/>
        </w:rPr>
        <w:t>)</w:t>
      </w:r>
      <w:r w:rsidRPr="006A7F85">
        <w:rPr>
          <w:rFonts w:cs="Arial"/>
          <w:bCs/>
        </w:rPr>
        <w:t xml:space="preserve"> discussions ERCOT has asked stakeholders to prioritize.</w:t>
      </w:r>
    </w:p>
    <w:p w14:paraId="6FA614B3" w14:textId="77777777" w:rsidR="00790B36" w:rsidRPr="00790B36" w:rsidRDefault="00790B36" w:rsidP="00EB3682">
      <w:pPr>
        <w:pStyle w:val="NormalArial"/>
        <w:rPr>
          <w:rFonts w:cs="Arial"/>
          <w:b/>
          <w:bCs/>
        </w:rPr>
      </w:pPr>
    </w:p>
    <w:p w14:paraId="0F82983A" w14:textId="1E5C7ADA" w:rsidR="00790B36" w:rsidRPr="00790B36" w:rsidRDefault="00790B36" w:rsidP="00EB3682">
      <w:pPr>
        <w:pStyle w:val="NormalArial"/>
        <w:rPr>
          <w:rFonts w:cs="Arial"/>
          <w:b/>
          <w:bCs/>
        </w:rPr>
      </w:pPr>
      <w:r w:rsidRPr="00790B36">
        <w:rPr>
          <w:rFonts w:cs="Arial"/>
          <w:b/>
          <w:bCs/>
        </w:rPr>
        <w:t xml:space="preserve">Recommendation and </w:t>
      </w:r>
      <w:r w:rsidR="003770E0">
        <w:rPr>
          <w:rFonts w:cs="Arial"/>
          <w:b/>
          <w:bCs/>
        </w:rPr>
        <w:t>p</w:t>
      </w:r>
      <w:r w:rsidRPr="00790B36">
        <w:rPr>
          <w:rFonts w:cs="Arial"/>
          <w:b/>
          <w:bCs/>
        </w:rPr>
        <w:t xml:space="preserve">ath </w:t>
      </w:r>
      <w:r w:rsidR="003770E0">
        <w:rPr>
          <w:rFonts w:cs="Arial"/>
          <w:b/>
          <w:bCs/>
        </w:rPr>
        <w:t>f</w:t>
      </w:r>
      <w:r w:rsidRPr="00790B36">
        <w:rPr>
          <w:rFonts w:cs="Arial"/>
          <w:b/>
          <w:bCs/>
        </w:rPr>
        <w:t xml:space="preserve">orward </w:t>
      </w:r>
    </w:p>
    <w:p w14:paraId="68C677C0" w14:textId="5610AF74" w:rsidR="00EB3682" w:rsidRPr="00790B36" w:rsidRDefault="00790B36" w:rsidP="00EB3682">
      <w:pPr>
        <w:pStyle w:val="NormalArial"/>
        <w:rPr>
          <w:rFonts w:cs="Arial"/>
        </w:rPr>
      </w:pPr>
      <w:r w:rsidRPr="006A7F85">
        <w:rPr>
          <w:rFonts w:cs="Arial"/>
          <w:bCs/>
        </w:rPr>
        <w:t>Gridmatic urges PRS to recommend approval of NPRR1348. If PRS determines that further working-group review is necessary, Gridmatic joins the Global Capacity Alliance and Habitat Energy in asking that any tabling be limited to one month with a specific LLWG directive and a defined return date, and asks that the out-of-batch question raised above be added to the LLWG and CTP agendas in parallel.</w:t>
      </w:r>
    </w:p>
    <w:p w14:paraId="27F00B4C" w14:textId="77777777" w:rsidR="00BD7258" w:rsidRDefault="00BD7258" w:rsidP="00BD7258">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52AC0F4E" w14:textId="77777777" w:rsidTr="00B5080A">
        <w:trPr>
          <w:trHeight w:val="350"/>
        </w:trPr>
        <w:tc>
          <w:tcPr>
            <w:tcW w:w="10440" w:type="dxa"/>
            <w:tcBorders>
              <w:bottom w:val="single" w:sz="4" w:space="0" w:color="auto"/>
            </w:tcBorders>
            <w:shd w:val="clear" w:color="auto" w:fill="FFFFFF"/>
            <w:vAlign w:val="center"/>
          </w:tcPr>
          <w:p w14:paraId="3EEE2FC9" w14:textId="77777777" w:rsidR="00BD7258" w:rsidRDefault="00BD7258" w:rsidP="00B5080A">
            <w:pPr>
              <w:pStyle w:val="Header"/>
              <w:jc w:val="center"/>
            </w:pPr>
            <w:r>
              <w:t>Revised Cover Page Language</w:t>
            </w:r>
          </w:p>
        </w:tc>
      </w:tr>
    </w:tbl>
    <w:p w14:paraId="2D408560" w14:textId="37AF2F01" w:rsidR="00BD7258" w:rsidRDefault="00227176" w:rsidP="00227176">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60871CEA" w14:textId="77777777">
        <w:trPr>
          <w:trHeight w:val="350"/>
        </w:trPr>
        <w:tc>
          <w:tcPr>
            <w:tcW w:w="10440" w:type="dxa"/>
            <w:tcBorders>
              <w:bottom w:val="single" w:sz="4" w:space="0" w:color="auto"/>
            </w:tcBorders>
            <w:shd w:val="clear" w:color="auto" w:fill="FFFFFF"/>
            <w:vAlign w:val="center"/>
          </w:tcPr>
          <w:p w14:paraId="1F4977D6" w14:textId="77777777" w:rsidR="00152993" w:rsidRDefault="00152993">
            <w:pPr>
              <w:pStyle w:val="Header"/>
              <w:jc w:val="center"/>
            </w:pPr>
            <w:r>
              <w:t>Revised Proposed Protocol Language</w:t>
            </w:r>
          </w:p>
        </w:tc>
      </w:tr>
    </w:tbl>
    <w:p w14:paraId="081D7CF8" w14:textId="132F9D9E" w:rsidR="00152993" w:rsidRPr="0061486F" w:rsidRDefault="00227176" w:rsidP="00227176">
      <w:pPr>
        <w:pStyle w:val="NormalArial"/>
        <w:spacing w:before="120" w:after="120"/>
      </w:pPr>
      <w:r>
        <w:t>None</w:t>
      </w:r>
    </w:p>
    <w:sectPr w:rsidR="00152993" w:rsidRPr="0061486F" w:rsidSect="0074209E">
      <w:headerReference w:type="default" r:id="rId10"/>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8113" w14:textId="77777777" w:rsidR="009B2A14" w:rsidRDefault="009B2A14">
      <w:r>
        <w:separator/>
      </w:r>
    </w:p>
  </w:endnote>
  <w:endnote w:type="continuationSeparator" w:id="0">
    <w:p w14:paraId="57A4A341" w14:textId="77777777" w:rsidR="009B2A14" w:rsidRDefault="009B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3C76" w14:textId="38817D36"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214AB7">
      <w:rPr>
        <w:rFonts w:ascii="Arial" w:hAnsi="Arial"/>
        <w:noProof/>
        <w:sz w:val="18"/>
      </w:rPr>
      <w:t>NPRR1348-09 Gridmatic Comments 101326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476071C7"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70E06" w14:textId="77777777" w:rsidR="009B2A14" w:rsidRDefault="009B2A14">
      <w:r>
        <w:separator/>
      </w:r>
    </w:p>
  </w:footnote>
  <w:footnote w:type="continuationSeparator" w:id="0">
    <w:p w14:paraId="45C653D5" w14:textId="77777777" w:rsidR="009B2A14" w:rsidRDefault="009B2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A3A91" w14:textId="3812AED7" w:rsidR="00EE6681" w:rsidRPr="00214AB7" w:rsidRDefault="00EE6681" w:rsidP="00214AB7">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CF52CBC"/>
    <w:multiLevelType w:val="multilevel"/>
    <w:tmpl w:val="A25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22F58"/>
    <w:multiLevelType w:val="multilevel"/>
    <w:tmpl w:val="ECB4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B500A7"/>
    <w:multiLevelType w:val="multilevel"/>
    <w:tmpl w:val="5406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0B7311"/>
    <w:multiLevelType w:val="multilevel"/>
    <w:tmpl w:val="5760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D365AE"/>
    <w:multiLevelType w:val="multilevel"/>
    <w:tmpl w:val="0AD27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5409AF"/>
    <w:multiLevelType w:val="hybridMultilevel"/>
    <w:tmpl w:val="54221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5D4AEC"/>
    <w:multiLevelType w:val="multilevel"/>
    <w:tmpl w:val="0B60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021D8"/>
    <w:multiLevelType w:val="multilevel"/>
    <w:tmpl w:val="3BEA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10937763">
    <w:abstractNumId w:val="0"/>
  </w:num>
  <w:num w:numId="2" w16cid:durableId="1188055711">
    <w:abstractNumId w:val="9"/>
  </w:num>
  <w:num w:numId="3" w16cid:durableId="1600337363">
    <w:abstractNumId w:val="5"/>
  </w:num>
  <w:num w:numId="4" w16cid:durableId="994921457">
    <w:abstractNumId w:val="1"/>
  </w:num>
  <w:num w:numId="5" w16cid:durableId="2003580621">
    <w:abstractNumId w:val="8"/>
  </w:num>
  <w:num w:numId="6" w16cid:durableId="1769811490">
    <w:abstractNumId w:val="4"/>
  </w:num>
  <w:num w:numId="7" w16cid:durableId="743644346">
    <w:abstractNumId w:val="3"/>
  </w:num>
  <w:num w:numId="8" w16cid:durableId="985667567">
    <w:abstractNumId w:val="2"/>
  </w:num>
  <w:num w:numId="9" w16cid:durableId="146484537">
    <w:abstractNumId w:val="7"/>
  </w:num>
  <w:num w:numId="10" w16cid:durableId="532696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631AE"/>
    <w:rsid w:val="00075A94"/>
    <w:rsid w:val="00085214"/>
    <w:rsid w:val="000A081C"/>
    <w:rsid w:val="000B0D64"/>
    <w:rsid w:val="000B430D"/>
    <w:rsid w:val="000B7236"/>
    <w:rsid w:val="000D70B4"/>
    <w:rsid w:val="000E2793"/>
    <w:rsid w:val="00105015"/>
    <w:rsid w:val="00106F0E"/>
    <w:rsid w:val="00120A9D"/>
    <w:rsid w:val="00132855"/>
    <w:rsid w:val="00152993"/>
    <w:rsid w:val="001654C3"/>
    <w:rsid w:val="00170297"/>
    <w:rsid w:val="0017335D"/>
    <w:rsid w:val="00177853"/>
    <w:rsid w:val="0018388F"/>
    <w:rsid w:val="001A1DB3"/>
    <w:rsid w:val="001A227D"/>
    <w:rsid w:val="001E2032"/>
    <w:rsid w:val="00214AB7"/>
    <w:rsid w:val="00227176"/>
    <w:rsid w:val="00231C02"/>
    <w:rsid w:val="002A0330"/>
    <w:rsid w:val="002A147E"/>
    <w:rsid w:val="002D37CF"/>
    <w:rsid w:val="002E113D"/>
    <w:rsid w:val="002E2919"/>
    <w:rsid w:val="002F61D8"/>
    <w:rsid w:val="003010C0"/>
    <w:rsid w:val="0030268F"/>
    <w:rsid w:val="0030721E"/>
    <w:rsid w:val="00332A97"/>
    <w:rsid w:val="00350C00"/>
    <w:rsid w:val="00366113"/>
    <w:rsid w:val="003770E0"/>
    <w:rsid w:val="00381A93"/>
    <w:rsid w:val="003C270C"/>
    <w:rsid w:val="003D0994"/>
    <w:rsid w:val="00401D5F"/>
    <w:rsid w:val="00421E12"/>
    <w:rsid w:val="00423824"/>
    <w:rsid w:val="00433A03"/>
    <w:rsid w:val="0043567D"/>
    <w:rsid w:val="00435EEE"/>
    <w:rsid w:val="0044280E"/>
    <w:rsid w:val="00487553"/>
    <w:rsid w:val="004A7853"/>
    <w:rsid w:val="004B35F3"/>
    <w:rsid w:val="004B4AE8"/>
    <w:rsid w:val="004B7B90"/>
    <w:rsid w:val="004C1009"/>
    <w:rsid w:val="004C7A07"/>
    <w:rsid w:val="004D0D02"/>
    <w:rsid w:val="004E2C19"/>
    <w:rsid w:val="004E31F5"/>
    <w:rsid w:val="004F2192"/>
    <w:rsid w:val="00507CC8"/>
    <w:rsid w:val="00546803"/>
    <w:rsid w:val="00567463"/>
    <w:rsid w:val="0057589C"/>
    <w:rsid w:val="00585CFC"/>
    <w:rsid w:val="005D016A"/>
    <w:rsid w:val="005D284C"/>
    <w:rsid w:val="00603B02"/>
    <w:rsid w:val="00604512"/>
    <w:rsid w:val="0061486F"/>
    <w:rsid w:val="00625EDB"/>
    <w:rsid w:val="00633E23"/>
    <w:rsid w:val="006555CA"/>
    <w:rsid w:val="0065770C"/>
    <w:rsid w:val="00673B94"/>
    <w:rsid w:val="00676E0B"/>
    <w:rsid w:val="00680AC6"/>
    <w:rsid w:val="006835D8"/>
    <w:rsid w:val="006A7F85"/>
    <w:rsid w:val="006B17EA"/>
    <w:rsid w:val="006B5672"/>
    <w:rsid w:val="006C316E"/>
    <w:rsid w:val="006D0F7C"/>
    <w:rsid w:val="0071166C"/>
    <w:rsid w:val="0072571D"/>
    <w:rsid w:val="007269C4"/>
    <w:rsid w:val="0074209E"/>
    <w:rsid w:val="0075302E"/>
    <w:rsid w:val="00757982"/>
    <w:rsid w:val="007701E0"/>
    <w:rsid w:val="007740E2"/>
    <w:rsid w:val="007869CB"/>
    <w:rsid w:val="00790B36"/>
    <w:rsid w:val="007B2EE9"/>
    <w:rsid w:val="007C38AB"/>
    <w:rsid w:val="007E0FC0"/>
    <w:rsid w:val="007E337F"/>
    <w:rsid w:val="007E44F9"/>
    <w:rsid w:val="007F2CA8"/>
    <w:rsid w:val="007F7161"/>
    <w:rsid w:val="0080218C"/>
    <w:rsid w:val="0085559E"/>
    <w:rsid w:val="00856039"/>
    <w:rsid w:val="0086075E"/>
    <w:rsid w:val="00877AEB"/>
    <w:rsid w:val="008864A8"/>
    <w:rsid w:val="00896B1B"/>
    <w:rsid w:val="008C1C2E"/>
    <w:rsid w:val="008E559E"/>
    <w:rsid w:val="009035C4"/>
    <w:rsid w:val="00916080"/>
    <w:rsid w:val="00921A68"/>
    <w:rsid w:val="00937167"/>
    <w:rsid w:val="00960280"/>
    <w:rsid w:val="009610A8"/>
    <w:rsid w:val="0096112C"/>
    <w:rsid w:val="009A6E42"/>
    <w:rsid w:val="009B2A14"/>
    <w:rsid w:val="009D1EA2"/>
    <w:rsid w:val="009E3B9E"/>
    <w:rsid w:val="009E5727"/>
    <w:rsid w:val="00A015C4"/>
    <w:rsid w:val="00A15172"/>
    <w:rsid w:val="00A33EED"/>
    <w:rsid w:val="00A460A7"/>
    <w:rsid w:val="00A53497"/>
    <w:rsid w:val="00A67053"/>
    <w:rsid w:val="00A74D39"/>
    <w:rsid w:val="00A8345D"/>
    <w:rsid w:val="00A8636D"/>
    <w:rsid w:val="00A86702"/>
    <w:rsid w:val="00A8747D"/>
    <w:rsid w:val="00A9106E"/>
    <w:rsid w:val="00AA1584"/>
    <w:rsid w:val="00AB16F1"/>
    <w:rsid w:val="00AC098B"/>
    <w:rsid w:val="00AF3AB6"/>
    <w:rsid w:val="00B04DE6"/>
    <w:rsid w:val="00B22474"/>
    <w:rsid w:val="00B22E6B"/>
    <w:rsid w:val="00B404C7"/>
    <w:rsid w:val="00B5080A"/>
    <w:rsid w:val="00B63D8E"/>
    <w:rsid w:val="00B943AE"/>
    <w:rsid w:val="00B96B49"/>
    <w:rsid w:val="00BB2531"/>
    <w:rsid w:val="00BD7258"/>
    <w:rsid w:val="00BE1D45"/>
    <w:rsid w:val="00BF0885"/>
    <w:rsid w:val="00C0598D"/>
    <w:rsid w:val="00C11522"/>
    <w:rsid w:val="00C11956"/>
    <w:rsid w:val="00C35F1E"/>
    <w:rsid w:val="00C36303"/>
    <w:rsid w:val="00C51133"/>
    <w:rsid w:val="00C602E5"/>
    <w:rsid w:val="00C748FD"/>
    <w:rsid w:val="00C810FB"/>
    <w:rsid w:val="00CA18EA"/>
    <w:rsid w:val="00CD7D72"/>
    <w:rsid w:val="00D00151"/>
    <w:rsid w:val="00D04132"/>
    <w:rsid w:val="00D4046E"/>
    <w:rsid w:val="00D40C13"/>
    <w:rsid w:val="00D414F6"/>
    <w:rsid w:val="00D4362F"/>
    <w:rsid w:val="00D61666"/>
    <w:rsid w:val="00D7797B"/>
    <w:rsid w:val="00DA444F"/>
    <w:rsid w:val="00DB08D9"/>
    <w:rsid w:val="00DD4739"/>
    <w:rsid w:val="00DE5F33"/>
    <w:rsid w:val="00E02DB2"/>
    <w:rsid w:val="00E07B54"/>
    <w:rsid w:val="00E11F78"/>
    <w:rsid w:val="00E621E1"/>
    <w:rsid w:val="00E81006"/>
    <w:rsid w:val="00EB3682"/>
    <w:rsid w:val="00EC55B3"/>
    <w:rsid w:val="00EE6681"/>
    <w:rsid w:val="00F07D4A"/>
    <w:rsid w:val="00F22CD1"/>
    <w:rsid w:val="00F35573"/>
    <w:rsid w:val="00F42546"/>
    <w:rsid w:val="00F872A6"/>
    <w:rsid w:val="00F92828"/>
    <w:rsid w:val="00F96FB2"/>
    <w:rsid w:val="00FB51D8"/>
    <w:rsid w:val="00FC2A60"/>
    <w:rsid w:val="00FD08E8"/>
    <w:rsid w:val="00FD498E"/>
    <w:rsid w:val="00FF3E60"/>
    <w:rsid w:val="00FF4FD9"/>
    <w:rsid w:val="3E1B86FD"/>
    <w:rsid w:val="46BCDDF1"/>
    <w:rsid w:val="49639525"/>
    <w:rsid w:val="57A00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0DCC1"/>
  <w15:chartTrackingRefBased/>
  <w15:docId w15:val="{A8134E28-B0C3-4C85-BAC3-C827B41F5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085214"/>
    <w:rPr>
      <w:color w:val="605E5C"/>
      <w:shd w:val="clear" w:color="auto" w:fill="E1DFDD"/>
    </w:rPr>
  </w:style>
  <w:style w:type="paragraph" w:styleId="NormalWeb">
    <w:name w:val="Normal (Web)"/>
    <w:basedOn w:val="Normal"/>
    <w:rsid w:val="00A460A7"/>
  </w:style>
  <w:style w:type="paragraph" w:styleId="FootnoteText">
    <w:name w:val="footnote text"/>
    <w:basedOn w:val="Normal"/>
    <w:link w:val="FootnoteTextChar"/>
    <w:rsid w:val="00A8636D"/>
    <w:rPr>
      <w:sz w:val="20"/>
      <w:szCs w:val="20"/>
    </w:rPr>
  </w:style>
  <w:style w:type="character" w:customStyle="1" w:styleId="FootnoteTextChar">
    <w:name w:val="Footnote Text Char"/>
    <w:basedOn w:val="DefaultParagraphFont"/>
    <w:link w:val="FootnoteText"/>
    <w:rsid w:val="00A8636D"/>
  </w:style>
  <w:style w:type="character" w:styleId="FootnoteReference">
    <w:name w:val="footnote reference"/>
    <w:rsid w:val="00A8636D"/>
    <w:rPr>
      <w:vertAlign w:val="superscript"/>
    </w:rPr>
  </w:style>
  <w:style w:type="paragraph" w:styleId="Revision">
    <w:name w:val="Revision"/>
    <w:hidden/>
    <w:uiPriority w:val="99"/>
    <w:semiHidden/>
    <w:rsid w:val="00790B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vid@gridmat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0032-7039-46CC-B9B3-E46028A5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1068</Words>
  <Characters>6201</Characters>
  <Application>Microsoft Office Word</Application>
  <DocSecurity>0</DocSecurity>
  <Lines>147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HGP Storage 101226</dc:creator>
  <cp:keywords/>
  <dc:description/>
  <cp:lastModifiedBy>HGP Storage 101226</cp:lastModifiedBy>
  <cp:revision>3</cp:revision>
  <dcterms:created xsi:type="dcterms:W3CDTF">2026-10-13T12:52:00Z</dcterms:created>
  <dcterms:modified xsi:type="dcterms:W3CDTF">2026-10-13T12:56:00Z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2026-10-13T12:52:51Z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2ef882e9-e5b2-47d6-8e4e-74376579ea90</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