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044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0"/>
        <w:gridCol w:w="1260"/>
        <w:gridCol w:w="1172"/>
        <w:gridCol w:w="6388"/>
      </w:tblGrid>
      <w:tr w:rsidR="00FB75D5" w14:paraId="2DD2231D" w14:textId="77777777" w:rsidTr="009213E8">
        <w:tc>
          <w:tcPr>
            <w:tcW w:w="1620" w:type="dxa"/>
            <w:tcBorders>
              <w:bottom w:val="single" w:sz="4" w:space="0" w:color="000000"/>
            </w:tcBorders>
            <w:shd w:val="clear" w:color="auto" w:fill="FFFFFF"/>
            <w:vAlign w:val="center"/>
          </w:tcPr>
          <w:p w14:paraId="221AEC57" w14:textId="77777777" w:rsidR="00FB75D5" w:rsidRDefault="001670DE">
            <w:pPr>
              <w:pBdr>
                <w:top w:val="nil"/>
                <w:left w:val="nil"/>
                <w:bottom w:val="nil"/>
                <w:right w:val="nil"/>
                <w:between w:val="nil"/>
              </w:pBdr>
              <w:tabs>
                <w:tab w:val="center" w:pos="4320"/>
                <w:tab w:val="right" w:pos="8640"/>
              </w:tabs>
              <w:rPr>
                <w:rFonts w:ascii="Verdana" w:eastAsia="Verdana" w:hAnsi="Verdana" w:cs="Verdana"/>
                <w:b/>
                <w:bCs/>
                <w:color w:val="000000"/>
                <w:sz w:val="22"/>
                <w:szCs w:val="22"/>
              </w:rPr>
            </w:pPr>
            <w:r>
              <w:rPr>
                <w:rFonts w:ascii="Arial" w:eastAsia="Arial" w:hAnsi="Arial" w:cs="Arial"/>
                <w:b/>
                <w:bCs/>
                <w:color w:val="000000"/>
              </w:rPr>
              <w:t>NPRR Number</w:t>
            </w:r>
          </w:p>
        </w:tc>
        <w:tc>
          <w:tcPr>
            <w:tcW w:w="1260" w:type="dxa"/>
            <w:tcBorders>
              <w:bottom w:val="single" w:sz="4" w:space="0" w:color="000000"/>
            </w:tcBorders>
            <w:vAlign w:val="center"/>
          </w:tcPr>
          <w:p w14:paraId="7DE99181" w14:textId="35285C5D" w:rsidR="00FB75D5" w:rsidRDefault="002E2927">
            <w:pPr>
              <w:pBdr>
                <w:top w:val="nil"/>
                <w:left w:val="nil"/>
                <w:bottom w:val="nil"/>
                <w:right w:val="nil"/>
                <w:between w:val="nil"/>
              </w:pBdr>
              <w:tabs>
                <w:tab w:val="center" w:pos="4320"/>
                <w:tab w:val="right" w:pos="8640"/>
              </w:tabs>
              <w:rPr>
                <w:rFonts w:ascii="Arial" w:eastAsia="Arial" w:hAnsi="Arial" w:cs="Arial"/>
                <w:b/>
                <w:bCs/>
                <w:color w:val="000000"/>
              </w:rPr>
            </w:pPr>
            <w:hyperlink r:id="rId8" w:history="1">
              <w:r w:rsidR="001670DE" w:rsidRPr="002E2927">
                <w:rPr>
                  <w:rStyle w:val="Hyperlink"/>
                  <w:rFonts w:ascii="Arial" w:eastAsia="Arial" w:hAnsi="Arial" w:cs="Arial"/>
                  <w:b/>
                  <w:bCs/>
                </w:rPr>
                <w:t>1348</w:t>
              </w:r>
            </w:hyperlink>
          </w:p>
        </w:tc>
        <w:tc>
          <w:tcPr>
            <w:tcW w:w="1172" w:type="dxa"/>
            <w:tcBorders>
              <w:bottom w:val="single" w:sz="4" w:space="0" w:color="000000"/>
            </w:tcBorders>
            <w:shd w:val="clear" w:color="auto" w:fill="FFFFFF"/>
            <w:vAlign w:val="center"/>
          </w:tcPr>
          <w:p w14:paraId="04800225" w14:textId="77777777" w:rsidR="00FB75D5" w:rsidRDefault="001670DE">
            <w:pPr>
              <w:pBdr>
                <w:top w:val="nil"/>
                <w:left w:val="nil"/>
                <w:bottom w:val="nil"/>
                <w:right w:val="nil"/>
                <w:between w:val="nil"/>
              </w:pBdr>
              <w:tabs>
                <w:tab w:val="center" w:pos="4320"/>
                <w:tab w:val="right" w:pos="8640"/>
              </w:tabs>
              <w:rPr>
                <w:rFonts w:ascii="Arial" w:eastAsia="Arial" w:hAnsi="Arial" w:cs="Arial"/>
                <w:b/>
                <w:bCs/>
                <w:color w:val="000000"/>
              </w:rPr>
            </w:pPr>
            <w:r>
              <w:rPr>
                <w:rFonts w:ascii="Arial" w:eastAsia="Arial" w:hAnsi="Arial" w:cs="Arial"/>
                <w:b/>
                <w:bCs/>
                <w:color w:val="000000"/>
              </w:rPr>
              <w:t>NPRR Title</w:t>
            </w:r>
          </w:p>
        </w:tc>
        <w:tc>
          <w:tcPr>
            <w:tcW w:w="6388" w:type="dxa"/>
            <w:tcBorders>
              <w:bottom w:val="single" w:sz="4" w:space="0" w:color="000000"/>
            </w:tcBorders>
            <w:vAlign w:val="center"/>
          </w:tcPr>
          <w:p w14:paraId="3DDEF7B8" w14:textId="77777777" w:rsidR="00FB75D5" w:rsidRPr="00980511" w:rsidRDefault="001670DE">
            <w:pPr>
              <w:rPr>
                <w:rFonts w:ascii="Arial" w:hAnsi="Arial" w:cs="Arial"/>
              </w:rPr>
            </w:pPr>
            <w:r w:rsidRPr="00980511">
              <w:rPr>
                <w:rFonts w:ascii="Arial" w:hAnsi="Arial" w:cs="Arial"/>
                <w:b/>
                <w:bCs/>
              </w:rPr>
              <w:t>Telemetry Offsetting for Provisional Controllable Load Resources</w:t>
            </w:r>
          </w:p>
        </w:tc>
      </w:tr>
      <w:tr w:rsidR="00FB75D5" w14:paraId="0A569DA7" w14:textId="77777777">
        <w:trPr>
          <w:trHeight w:val="413"/>
        </w:trPr>
        <w:tc>
          <w:tcPr>
            <w:tcW w:w="2880" w:type="dxa"/>
            <w:gridSpan w:val="2"/>
            <w:tcBorders>
              <w:top w:val="nil"/>
              <w:left w:val="nil"/>
              <w:bottom w:val="single" w:sz="4" w:space="0" w:color="000000"/>
              <w:right w:val="nil"/>
            </w:tcBorders>
            <w:vAlign w:val="center"/>
          </w:tcPr>
          <w:p w14:paraId="7199DE22" w14:textId="77777777" w:rsidR="00FB75D5" w:rsidRDefault="00FB75D5">
            <w:pPr>
              <w:pBdr>
                <w:top w:val="nil"/>
                <w:left w:val="nil"/>
                <w:bottom w:val="nil"/>
                <w:right w:val="nil"/>
                <w:between w:val="nil"/>
              </w:pBdr>
              <w:rPr>
                <w:rFonts w:ascii="Arial" w:eastAsia="Arial" w:hAnsi="Arial" w:cs="Arial"/>
                <w:color w:val="000000"/>
              </w:rPr>
            </w:pPr>
          </w:p>
        </w:tc>
        <w:tc>
          <w:tcPr>
            <w:tcW w:w="7560" w:type="dxa"/>
            <w:gridSpan w:val="2"/>
            <w:tcBorders>
              <w:top w:val="single" w:sz="4" w:space="0" w:color="000000"/>
              <w:left w:val="nil"/>
              <w:bottom w:val="nil"/>
              <w:right w:val="nil"/>
            </w:tcBorders>
            <w:vAlign w:val="center"/>
          </w:tcPr>
          <w:p w14:paraId="36EBACF2" w14:textId="77777777" w:rsidR="00FB75D5" w:rsidRDefault="00FB75D5">
            <w:pPr>
              <w:pBdr>
                <w:top w:val="nil"/>
                <w:left w:val="nil"/>
                <w:bottom w:val="nil"/>
                <w:right w:val="nil"/>
                <w:between w:val="nil"/>
              </w:pBdr>
              <w:rPr>
                <w:rFonts w:ascii="Arial" w:eastAsia="Arial" w:hAnsi="Arial" w:cs="Arial"/>
                <w:color w:val="000000"/>
              </w:rPr>
            </w:pPr>
          </w:p>
        </w:tc>
      </w:tr>
      <w:tr w:rsidR="00FB75D5" w14:paraId="23904EEA" w14:textId="77777777">
        <w:trPr>
          <w:trHeight w:val="440"/>
        </w:trPr>
        <w:tc>
          <w:tcPr>
            <w:tcW w:w="2880" w:type="dxa"/>
            <w:gridSpan w:val="2"/>
            <w:tcBorders>
              <w:top w:val="single" w:sz="4" w:space="0" w:color="000000"/>
              <w:left w:val="single" w:sz="4" w:space="0" w:color="000000"/>
              <w:bottom w:val="single" w:sz="4" w:space="0" w:color="000000"/>
              <w:right w:val="single" w:sz="4" w:space="0" w:color="000000"/>
            </w:tcBorders>
            <w:vAlign w:val="center"/>
          </w:tcPr>
          <w:p w14:paraId="37EACC10" w14:textId="77777777" w:rsidR="00FB75D5" w:rsidRDefault="001670DE">
            <w:pPr>
              <w:pBdr>
                <w:top w:val="nil"/>
                <w:left w:val="nil"/>
                <w:bottom w:val="nil"/>
                <w:right w:val="nil"/>
                <w:between w:val="nil"/>
              </w:pBdr>
              <w:tabs>
                <w:tab w:val="center" w:pos="4320"/>
                <w:tab w:val="right" w:pos="8640"/>
              </w:tabs>
              <w:rPr>
                <w:rFonts w:ascii="Arial" w:eastAsia="Arial" w:hAnsi="Arial" w:cs="Arial"/>
                <w:b/>
                <w:bCs/>
                <w:color w:val="000000"/>
              </w:rPr>
            </w:pPr>
            <w:r>
              <w:rPr>
                <w:rFonts w:ascii="Arial" w:eastAsia="Arial" w:hAnsi="Arial" w:cs="Arial"/>
                <w:b/>
                <w:bCs/>
                <w:color w:val="000000"/>
              </w:rPr>
              <w:t>Date</w:t>
            </w:r>
          </w:p>
        </w:tc>
        <w:tc>
          <w:tcPr>
            <w:tcW w:w="7560" w:type="dxa"/>
            <w:gridSpan w:val="2"/>
            <w:tcBorders>
              <w:top w:val="single" w:sz="4" w:space="0" w:color="000000"/>
              <w:left w:val="single" w:sz="4" w:space="0" w:color="000000"/>
              <w:bottom w:val="single" w:sz="4" w:space="0" w:color="000000"/>
              <w:right w:val="single" w:sz="4" w:space="0" w:color="000000"/>
            </w:tcBorders>
            <w:vAlign w:val="center"/>
          </w:tcPr>
          <w:p w14:paraId="45A344B9" w14:textId="77777777" w:rsidR="00FB75D5" w:rsidRDefault="001670DE">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October </w:t>
            </w:r>
            <w:r>
              <w:rPr>
                <w:rFonts w:ascii="Arial" w:eastAsia="Arial" w:hAnsi="Arial" w:cs="Arial"/>
              </w:rPr>
              <w:t>9</w:t>
            </w:r>
            <w:r>
              <w:rPr>
                <w:rFonts w:ascii="Arial" w:eastAsia="Arial" w:hAnsi="Arial" w:cs="Arial"/>
                <w:color w:val="000000"/>
              </w:rPr>
              <w:t>, 2026</w:t>
            </w:r>
          </w:p>
        </w:tc>
      </w:tr>
      <w:tr w:rsidR="00FB75D5" w14:paraId="38B0E447" w14:textId="77777777">
        <w:trPr>
          <w:trHeight w:val="467"/>
        </w:trPr>
        <w:tc>
          <w:tcPr>
            <w:tcW w:w="2880" w:type="dxa"/>
            <w:gridSpan w:val="2"/>
            <w:tcBorders>
              <w:top w:val="single" w:sz="4" w:space="0" w:color="000000"/>
              <w:left w:val="nil"/>
              <w:bottom w:val="nil"/>
              <w:right w:val="nil"/>
            </w:tcBorders>
            <w:shd w:val="clear" w:color="auto" w:fill="FFFFFF"/>
            <w:vAlign w:val="center"/>
          </w:tcPr>
          <w:p w14:paraId="72303B73" w14:textId="77777777" w:rsidR="00FB75D5" w:rsidRDefault="00FB75D5">
            <w:pPr>
              <w:pBdr>
                <w:top w:val="nil"/>
                <w:left w:val="nil"/>
                <w:bottom w:val="nil"/>
                <w:right w:val="nil"/>
                <w:between w:val="nil"/>
              </w:pBdr>
              <w:rPr>
                <w:rFonts w:ascii="Arial" w:eastAsia="Arial" w:hAnsi="Arial" w:cs="Arial"/>
                <w:color w:val="000000"/>
              </w:rPr>
            </w:pPr>
          </w:p>
        </w:tc>
        <w:tc>
          <w:tcPr>
            <w:tcW w:w="7560" w:type="dxa"/>
            <w:gridSpan w:val="2"/>
            <w:tcBorders>
              <w:top w:val="nil"/>
              <w:left w:val="nil"/>
              <w:bottom w:val="nil"/>
              <w:right w:val="nil"/>
            </w:tcBorders>
            <w:vAlign w:val="center"/>
          </w:tcPr>
          <w:p w14:paraId="3F659FD1" w14:textId="77777777" w:rsidR="00FB75D5" w:rsidRDefault="00FB75D5">
            <w:pPr>
              <w:pBdr>
                <w:top w:val="nil"/>
                <w:left w:val="nil"/>
                <w:bottom w:val="nil"/>
                <w:right w:val="nil"/>
                <w:between w:val="nil"/>
              </w:pBdr>
              <w:rPr>
                <w:rFonts w:ascii="Arial" w:eastAsia="Arial" w:hAnsi="Arial" w:cs="Arial"/>
                <w:color w:val="000000"/>
              </w:rPr>
            </w:pPr>
          </w:p>
        </w:tc>
      </w:tr>
      <w:tr w:rsidR="00FB75D5" w14:paraId="22C0D013" w14:textId="77777777">
        <w:trPr>
          <w:trHeight w:val="440"/>
        </w:trPr>
        <w:tc>
          <w:tcPr>
            <w:tcW w:w="10440" w:type="dxa"/>
            <w:gridSpan w:val="4"/>
            <w:tcBorders>
              <w:top w:val="single" w:sz="4" w:space="0" w:color="000000"/>
            </w:tcBorders>
            <w:shd w:val="clear" w:color="auto" w:fill="FFFFFF"/>
            <w:vAlign w:val="center"/>
          </w:tcPr>
          <w:p w14:paraId="753238FA" w14:textId="77777777" w:rsidR="00FB75D5" w:rsidRDefault="001670DE">
            <w:pPr>
              <w:pBdr>
                <w:top w:val="nil"/>
                <w:left w:val="nil"/>
                <w:bottom w:val="nil"/>
                <w:right w:val="nil"/>
                <w:between w:val="nil"/>
              </w:pBdr>
              <w:tabs>
                <w:tab w:val="center" w:pos="4320"/>
                <w:tab w:val="right" w:pos="8640"/>
              </w:tabs>
              <w:jc w:val="center"/>
              <w:rPr>
                <w:rFonts w:ascii="Arial" w:eastAsia="Arial" w:hAnsi="Arial" w:cs="Arial"/>
                <w:b/>
                <w:bCs/>
                <w:color w:val="000000"/>
              </w:rPr>
            </w:pPr>
            <w:r>
              <w:rPr>
                <w:rFonts w:ascii="Arial" w:eastAsia="Arial" w:hAnsi="Arial" w:cs="Arial"/>
                <w:b/>
                <w:bCs/>
                <w:color w:val="000000"/>
              </w:rPr>
              <w:t>Submitter’s Information</w:t>
            </w:r>
          </w:p>
        </w:tc>
      </w:tr>
      <w:tr w:rsidR="00FB75D5" w14:paraId="2C12C373" w14:textId="77777777">
        <w:trPr>
          <w:trHeight w:val="350"/>
        </w:trPr>
        <w:tc>
          <w:tcPr>
            <w:tcW w:w="2880" w:type="dxa"/>
            <w:gridSpan w:val="2"/>
            <w:shd w:val="clear" w:color="auto" w:fill="FFFFFF"/>
            <w:vAlign w:val="center"/>
          </w:tcPr>
          <w:p w14:paraId="59FB291D" w14:textId="77777777" w:rsidR="00FB75D5" w:rsidRDefault="001670DE">
            <w:pPr>
              <w:pBdr>
                <w:top w:val="nil"/>
                <w:left w:val="nil"/>
                <w:bottom w:val="nil"/>
                <w:right w:val="nil"/>
                <w:between w:val="nil"/>
              </w:pBdr>
              <w:tabs>
                <w:tab w:val="center" w:pos="4320"/>
                <w:tab w:val="right" w:pos="8640"/>
              </w:tabs>
              <w:rPr>
                <w:rFonts w:ascii="Arial" w:eastAsia="Arial" w:hAnsi="Arial" w:cs="Arial"/>
                <w:b/>
                <w:bCs/>
                <w:color w:val="000000"/>
              </w:rPr>
            </w:pPr>
            <w:r>
              <w:rPr>
                <w:rFonts w:ascii="Arial" w:eastAsia="Arial" w:hAnsi="Arial" w:cs="Arial"/>
                <w:b/>
                <w:bCs/>
                <w:color w:val="000000"/>
              </w:rPr>
              <w:t>Name</w:t>
            </w:r>
          </w:p>
        </w:tc>
        <w:tc>
          <w:tcPr>
            <w:tcW w:w="7560" w:type="dxa"/>
            <w:gridSpan w:val="2"/>
            <w:vAlign w:val="center"/>
          </w:tcPr>
          <w:p w14:paraId="136530EE" w14:textId="77777777" w:rsidR="00FB75D5" w:rsidRDefault="001670DE">
            <w:pPr>
              <w:pBdr>
                <w:top w:val="nil"/>
                <w:left w:val="nil"/>
                <w:bottom w:val="nil"/>
                <w:right w:val="nil"/>
                <w:between w:val="nil"/>
              </w:pBdr>
              <w:rPr>
                <w:rFonts w:ascii="Arial" w:eastAsia="Arial" w:hAnsi="Arial" w:cs="Arial"/>
                <w:color w:val="000000"/>
              </w:rPr>
            </w:pPr>
            <w:r>
              <w:rPr>
                <w:rFonts w:ascii="Arial" w:eastAsia="Arial" w:hAnsi="Arial" w:cs="Arial"/>
                <w:color w:val="000000"/>
              </w:rPr>
              <w:t>Rebecca Miller</w:t>
            </w:r>
          </w:p>
        </w:tc>
      </w:tr>
      <w:tr w:rsidR="00FB75D5" w14:paraId="1282E4E7" w14:textId="77777777">
        <w:trPr>
          <w:trHeight w:val="350"/>
        </w:trPr>
        <w:tc>
          <w:tcPr>
            <w:tcW w:w="2880" w:type="dxa"/>
            <w:gridSpan w:val="2"/>
            <w:shd w:val="clear" w:color="auto" w:fill="FFFFFF"/>
            <w:vAlign w:val="center"/>
          </w:tcPr>
          <w:p w14:paraId="66E0D3F7" w14:textId="77777777" w:rsidR="00FB75D5" w:rsidRDefault="001670DE">
            <w:pPr>
              <w:pBdr>
                <w:top w:val="nil"/>
                <w:left w:val="nil"/>
                <w:bottom w:val="nil"/>
                <w:right w:val="nil"/>
                <w:between w:val="nil"/>
              </w:pBdr>
              <w:tabs>
                <w:tab w:val="center" w:pos="4320"/>
                <w:tab w:val="right" w:pos="8640"/>
              </w:tabs>
              <w:rPr>
                <w:rFonts w:ascii="Arial" w:eastAsia="Arial" w:hAnsi="Arial" w:cs="Arial"/>
                <w:b/>
                <w:bCs/>
                <w:color w:val="000000"/>
              </w:rPr>
            </w:pPr>
            <w:r>
              <w:rPr>
                <w:rFonts w:ascii="Arial" w:eastAsia="Arial" w:hAnsi="Arial" w:cs="Arial"/>
                <w:b/>
                <w:bCs/>
                <w:color w:val="000000"/>
              </w:rPr>
              <w:t>E-mail Address</w:t>
            </w:r>
          </w:p>
        </w:tc>
        <w:tc>
          <w:tcPr>
            <w:tcW w:w="7560" w:type="dxa"/>
            <w:gridSpan w:val="2"/>
            <w:vAlign w:val="center"/>
          </w:tcPr>
          <w:p w14:paraId="5A30859E" w14:textId="7726C94B" w:rsidR="00FB75D5" w:rsidRDefault="00D67339">
            <w:pPr>
              <w:pBdr>
                <w:top w:val="nil"/>
                <w:left w:val="nil"/>
                <w:bottom w:val="nil"/>
                <w:right w:val="nil"/>
                <w:between w:val="nil"/>
              </w:pBdr>
              <w:rPr>
                <w:rFonts w:ascii="Arial" w:eastAsia="Arial" w:hAnsi="Arial" w:cs="Arial"/>
                <w:color w:val="000000"/>
              </w:rPr>
            </w:pPr>
            <w:hyperlink r:id="rId9" w:history="1">
              <w:r w:rsidRPr="002A2AA4">
                <w:rPr>
                  <w:rStyle w:val="Hyperlink"/>
                  <w:rFonts w:ascii="Arial" w:eastAsia="Arial" w:hAnsi="Arial" w:cs="Arial"/>
                </w:rPr>
                <w:t>rebecca.miller@habitat.energy</w:t>
              </w:r>
            </w:hyperlink>
          </w:p>
        </w:tc>
      </w:tr>
      <w:tr w:rsidR="00FB75D5" w14:paraId="2F530F0F" w14:textId="77777777">
        <w:trPr>
          <w:trHeight w:val="350"/>
        </w:trPr>
        <w:tc>
          <w:tcPr>
            <w:tcW w:w="2880" w:type="dxa"/>
            <w:gridSpan w:val="2"/>
            <w:shd w:val="clear" w:color="auto" w:fill="FFFFFF"/>
            <w:vAlign w:val="center"/>
          </w:tcPr>
          <w:p w14:paraId="429437FA" w14:textId="77777777" w:rsidR="00FB75D5" w:rsidRDefault="001670DE">
            <w:pPr>
              <w:pBdr>
                <w:top w:val="nil"/>
                <w:left w:val="nil"/>
                <w:bottom w:val="nil"/>
                <w:right w:val="nil"/>
                <w:between w:val="nil"/>
              </w:pBdr>
              <w:tabs>
                <w:tab w:val="center" w:pos="4320"/>
                <w:tab w:val="right" w:pos="8640"/>
              </w:tabs>
              <w:rPr>
                <w:rFonts w:ascii="Arial" w:eastAsia="Arial" w:hAnsi="Arial" w:cs="Arial"/>
                <w:b/>
                <w:bCs/>
                <w:color w:val="000000"/>
              </w:rPr>
            </w:pPr>
            <w:r>
              <w:rPr>
                <w:rFonts w:ascii="Arial" w:eastAsia="Arial" w:hAnsi="Arial" w:cs="Arial"/>
                <w:b/>
                <w:bCs/>
                <w:color w:val="000000"/>
              </w:rPr>
              <w:t>Company</w:t>
            </w:r>
          </w:p>
        </w:tc>
        <w:tc>
          <w:tcPr>
            <w:tcW w:w="7560" w:type="dxa"/>
            <w:gridSpan w:val="2"/>
            <w:vAlign w:val="center"/>
          </w:tcPr>
          <w:p w14:paraId="4B34454A" w14:textId="77777777" w:rsidR="00FB75D5" w:rsidRDefault="001670DE">
            <w:pPr>
              <w:pBdr>
                <w:top w:val="nil"/>
                <w:left w:val="nil"/>
                <w:bottom w:val="nil"/>
                <w:right w:val="nil"/>
                <w:between w:val="nil"/>
              </w:pBdr>
              <w:rPr>
                <w:rFonts w:ascii="Arial" w:eastAsia="Arial" w:hAnsi="Arial" w:cs="Arial"/>
                <w:color w:val="000000"/>
              </w:rPr>
            </w:pPr>
            <w:r>
              <w:rPr>
                <w:rFonts w:ascii="Arial" w:eastAsia="Arial" w:hAnsi="Arial" w:cs="Arial"/>
                <w:color w:val="000000"/>
              </w:rPr>
              <w:t>Habitat Energy Inc.</w:t>
            </w:r>
          </w:p>
        </w:tc>
      </w:tr>
      <w:tr w:rsidR="00FB75D5" w14:paraId="7EAF904D" w14:textId="77777777">
        <w:trPr>
          <w:trHeight w:val="350"/>
        </w:trPr>
        <w:tc>
          <w:tcPr>
            <w:tcW w:w="2880" w:type="dxa"/>
            <w:gridSpan w:val="2"/>
            <w:tcBorders>
              <w:bottom w:val="single" w:sz="4" w:space="0" w:color="000000"/>
            </w:tcBorders>
            <w:shd w:val="clear" w:color="auto" w:fill="FFFFFF"/>
            <w:vAlign w:val="center"/>
          </w:tcPr>
          <w:p w14:paraId="207590DC" w14:textId="77777777" w:rsidR="00FB75D5" w:rsidRDefault="001670DE">
            <w:pPr>
              <w:pBdr>
                <w:top w:val="nil"/>
                <w:left w:val="nil"/>
                <w:bottom w:val="nil"/>
                <w:right w:val="nil"/>
                <w:between w:val="nil"/>
              </w:pBdr>
              <w:tabs>
                <w:tab w:val="center" w:pos="4320"/>
                <w:tab w:val="right" w:pos="8640"/>
              </w:tabs>
              <w:rPr>
                <w:rFonts w:ascii="Arial" w:eastAsia="Arial" w:hAnsi="Arial" w:cs="Arial"/>
                <w:b/>
                <w:bCs/>
                <w:color w:val="000000"/>
              </w:rPr>
            </w:pPr>
            <w:r>
              <w:rPr>
                <w:rFonts w:ascii="Arial" w:eastAsia="Arial" w:hAnsi="Arial" w:cs="Arial"/>
                <w:b/>
                <w:bCs/>
                <w:color w:val="000000"/>
              </w:rPr>
              <w:t>Phone Number</w:t>
            </w:r>
          </w:p>
        </w:tc>
        <w:tc>
          <w:tcPr>
            <w:tcW w:w="7560" w:type="dxa"/>
            <w:gridSpan w:val="2"/>
            <w:tcBorders>
              <w:bottom w:val="single" w:sz="4" w:space="0" w:color="000000"/>
            </w:tcBorders>
            <w:vAlign w:val="center"/>
          </w:tcPr>
          <w:p w14:paraId="59431CAA" w14:textId="77777777" w:rsidR="00FB75D5" w:rsidRDefault="001670DE">
            <w:pPr>
              <w:pBdr>
                <w:top w:val="nil"/>
                <w:left w:val="nil"/>
                <w:bottom w:val="nil"/>
                <w:right w:val="nil"/>
                <w:between w:val="nil"/>
              </w:pBdr>
              <w:rPr>
                <w:rFonts w:ascii="Arial" w:eastAsia="Arial" w:hAnsi="Arial" w:cs="Arial"/>
                <w:color w:val="000000"/>
              </w:rPr>
            </w:pPr>
            <w:r>
              <w:rPr>
                <w:rFonts w:ascii="Arial" w:eastAsia="Arial" w:hAnsi="Arial" w:cs="Arial"/>
                <w:color w:val="000000"/>
              </w:rPr>
              <w:t>443-867-2878</w:t>
            </w:r>
          </w:p>
        </w:tc>
      </w:tr>
      <w:tr w:rsidR="00FB75D5" w14:paraId="21E1FEAE" w14:textId="77777777">
        <w:trPr>
          <w:trHeight w:val="350"/>
        </w:trPr>
        <w:tc>
          <w:tcPr>
            <w:tcW w:w="2880" w:type="dxa"/>
            <w:gridSpan w:val="2"/>
            <w:shd w:val="clear" w:color="auto" w:fill="FFFFFF"/>
            <w:vAlign w:val="center"/>
          </w:tcPr>
          <w:p w14:paraId="303FE56A" w14:textId="77777777" w:rsidR="00FB75D5" w:rsidRDefault="001670DE">
            <w:pPr>
              <w:pBdr>
                <w:top w:val="nil"/>
                <w:left w:val="nil"/>
                <w:bottom w:val="nil"/>
                <w:right w:val="nil"/>
                <w:between w:val="nil"/>
              </w:pBdr>
              <w:tabs>
                <w:tab w:val="center" w:pos="4320"/>
                <w:tab w:val="right" w:pos="8640"/>
              </w:tabs>
              <w:rPr>
                <w:rFonts w:ascii="Arial" w:eastAsia="Arial" w:hAnsi="Arial" w:cs="Arial"/>
                <w:b/>
                <w:bCs/>
                <w:color w:val="000000"/>
              </w:rPr>
            </w:pPr>
            <w:r>
              <w:rPr>
                <w:rFonts w:ascii="Arial" w:eastAsia="Arial" w:hAnsi="Arial" w:cs="Arial"/>
                <w:b/>
                <w:bCs/>
                <w:color w:val="000000"/>
              </w:rPr>
              <w:t>Cell Number</w:t>
            </w:r>
          </w:p>
        </w:tc>
        <w:tc>
          <w:tcPr>
            <w:tcW w:w="7560" w:type="dxa"/>
            <w:gridSpan w:val="2"/>
            <w:vAlign w:val="center"/>
          </w:tcPr>
          <w:p w14:paraId="1E50EEB3" w14:textId="77777777" w:rsidR="00FB75D5" w:rsidRDefault="001670DE">
            <w:pPr>
              <w:pBdr>
                <w:top w:val="nil"/>
                <w:left w:val="nil"/>
                <w:bottom w:val="nil"/>
                <w:right w:val="nil"/>
                <w:between w:val="nil"/>
              </w:pBdr>
              <w:rPr>
                <w:rFonts w:ascii="Arial" w:eastAsia="Arial" w:hAnsi="Arial" w:cs="Arial"/>
                <w:color w:val="000000"/>
              </w:rPr>
            </w:pPr>
            <w:r>
              <w:rPr>
                <w:rFonts w:ascii="Arial" w:eastAsia="Arial" w:hAnsi="Arial" w:cs="Arial"/>
                <w:color w:val="000000"/>
              </w:rPr>
              <w:t>443-867-2878</w:t>
            </w:r>
          </w:p>
        </w:tc>
      </w:tr>
      <w:tr w:rsidR="00FB75D5" w14:paraId="16D40827" w14:textId="77777777">
        <w:trPr>
          <w:trHeight w:val="350"/>
        </w:trPr>
        <w:tc>
          <w:tcPr>
            <w:tcW w:w="2880" w:type="dxa"/>
            <w:gridSpan w:val="2"/>
            <w:tcBorders>
              <w:bottom w:val="single" w:sz="4" w:space="0" w:color="000000"/>
            </w:tcBorders>
            <w:shd w:val="clear" w:color="auto" w:fill="FFFFFF"/>
            <w:vAlign w:val="center"/>
          </w:tcPr>
          <w:p w14:paraId="75F40EC8" w14:textId="77777777" w:rsidR="00FB75D5" w:rsidRDefault="001670DE">
            <w:pPr>
              <w:pBdr>
                <w:top w:val="nil"/>
                <w:left w:val="nil"/>
                <w:bottom w:val="nil"/>
                <w:right w:val="nil"/>
                <w:between w:val="nil"/>
              </w:pBdr>
              <w:tabs>
                <w:tab w:val="center" w:pos="4320"/>
                <w:tab w:val="right" w:pos="8640"/>
              </w:tabs>
              <w:rPr>
                <w:rFonts w:ascii="Arial" w:eastAsia="Arial" w:hAnsi="Arial" w:cs="Arial"/>
                <w:b/>
                <w:bCs/>
                <w:color w:val="000000"/>
              </w:rPr>
            </w:pPr>
            <w:r>
              <w:rPr>
                <w:rFonts w:ascii="Arial" w:eastAsia="Arial" w:hAnsi="Arial" w:cs="Arial"/>
                <w:b/>
                <w:bCs/>
                <w:color w:val="000000"/>
              </w:rPr>
              <w:t>Market Segment</w:t>
            </w:r>
          </w:p>
        </w:tc>
        <w:tc>
          <w:tcPr>
            <w:tcW w:w="7560" w:type="dxa"/>
            <w:gridSpan w:val="2"/>
            <w:tcBorders>
              <w:bottom w:val="single" w:sz="4" w:space="0" w:color="000000"/>
            </w:tcBorders>
            <w:vAlign w:val="center"/>
          </w:tcPr>
          <w:p w14:paraId="2EE809FD" w14:textId="3B74EEAC" w:rsidR="00FB75D5" w:rsidRDefault="001670DE">
            <w:pPr>
              <w:pBdr>
                <w:top w:val="nil"/>
                <w:left w:val="nil"/>
                <w:bottom w:val="nil"/>
                <w:right w:val="nil"/>
                <w:between w:val="nil"/>
              </w:pBdr>
              <w:rPr>
                <w:rFonts w:ascii="Arial" w:eastAsia="Arial" w:hAnsi="Arial" w:cs="Arial"/>
                <w:color w:val="000000"/>
              </w:rPr>
            </w:pPr>
            <w:r>
              <w:rPr>
                <w:rFonts w:ascii="Arial" w:eastAsia="Arial" w:hAnsi="Arial" w:cs="Arial"/>
                <w:color w:val="000000"/>
              </w:rPr>
              <w:t>Independent Power Marketer</w:t>
            </w:r>
            <w:r w:rsidR="00D67339">
              <w:rPr>
                <w:rFonts w:ascii="Arial" w:eastAsia="Arial" w:hAnsi="Arial" w:cs="Arial"/>
                <w:color w:val="000000"/>
              </w:rPr>
              <w:t xml:space="preserve"> (IPM)</w:t>
            </w:r>
          </w:p>
        </w:tc>
      </w:tr>
    </w:tbl>
    <w:p w14:paraId="5F498074" w14:textId="77777777" w:rsidR="00FB75D5" w:rsidRDefault="00FB75D5">
      <w:pPr>
        <w:pBdr>
          <w:top w:val="nil"/>
          <w:left w:val="nil"/>
          <w:bottom w:val="nil"/>
          <w:right w:val="nil"/>
          <w:between w:val="nil"/>
        </w:pBdr>
        <w:rPr>
          <w:rFonts w:ascii="Arial" w:eastAsia="Arial" w:hAnsi="Arial" w:cs="Arial"/>
          <w:color w:val="000000"/>
        </w:rPr>
      </w:pPr>
    </w:p>
    <w:tbl>
      <w:tblPr>
        <w:tblStyle w:val="a0"/>
        <w:tblW w:w="104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40"/>
      </w:tblGrid>
      <w:tr w:rsidR="00FB75D5" w14:paraId="0B04E5BB" w14:textId="77777777">
        <w:trPr>
          <w:trHeight w:val="422"/>
          <w:jc w:val="center"/>
        </w:trPr>
        <w:tc>
          <w:tcPr>
            <w:tcW w:w="10440" w:type="dxa"/>
            <w:vAlign w:val="center"/>
          </w:tcPr>
          <w:p w14:paraId="21D1DC80" w14:textId="77777777" w:rsidR="00FB75D5" w:rsidRDefault="001670DE">
            <w:pPr>
              <w:pBdr>
                <w:top w:val="nil"/>
                <w:left w:val="nil"/>
                <w:bottom w:val="nil"/>
                <w:right w:val="nil"/>
                <w:between w:val="nil"/>
              </w:pBdr>
              <w:tabs>
                <w:tab w:val="center" w:pos="4320"/>
                <w:tab w:val="right" w:pos="8640"/>
              </w:tabs>
              <w:jc w:val="center"/>
              <w:rPr>
                <w:rFonts w:ascii="Arial" w:eastAsia="Arial" w:hAnsi="Arial" w:cs="Arial"/>
                <w:b/>
                <w:bCs/>
                <w:color w:val="000000"/>
              </w:rPr>
            </w:pPr>
            <w:r>
              <w:rPr>
                <w:rFonts w:ascii="Arial" w:eastAsia="Arial" w:hAnsi="Arial" w:cs="Arial"/>
                <w:b/>
                <w:bCs/>
                <w:color w:val="000000"/>
              </w:rPr>
              <w:t>Comments</w:t>
            </w:r>
          </w:p>
        </w:tc>
      </w:tr>
    </w:tbl>
    <w:p w14:paraId="55EDF87F" w14:textId="08D687A9" w:rsidR="00FB75D5" w:rsidRDefault="001670DE" w:rsidP="002E2927">
      <w:pPr>
        <w:spacing w:before="120" w:after="120"/>
        <w:jc w:val="both"/>
        <w:rPr>
          <w:rFonts w:ascii="Arial" w:eastAsia="Arial" w:hAnsi="Arial" w:cs="Arial"/>
        </w:rPr>
      </w:pPr>
      <w:r>
        <w:rPr>
          <w:rFonts w:ascii="Arial" w:eastAsia="Arial" w:hAnsi="Arial" w:cs="Arial"/>
          <w:b/>
          <w:bCs/>
        </w:rPr>
        <w:t xml:space="preserve">Summary &amp; Position: </w:t>
      </w:r>
      <w:r>
        <w:rPr>
          <w:rFonts w:ascii="Arial" w:eastAsia="Arial" w:hAnsi="Arial" w:cs="Arial"/>
        </w:rPr>
        <w:t xml:space="preserve">Habitat Energy supports </w:t>
      </w:r>
      <w:r w:rsidR="002E2927">
        <w:rPr>
          <w:rFonts w:ascii="Arial" w:eastAsia="Arial" w:hAnsi="Arial" w:cs="Arial"/>
        </w:rPr>
        <w:t>Nodal Protocol Revision Request (</w:t>
      </w:r>
      <w:r>
        <w:rPr>
          <w:rFonts w:ascii="Arial" w:eastAsia="Arial" w:hAnsi="Arial" w:cs="Arial"/>
        </w:rPr>
        <w:t>NPRR</w:t>
      </w:r>
      <w:r w:rsidR="002E2927">
        <w:rPr>
          <w:rFonts w:ascii="Arial" w:eastAsia="Arial" w:hAnsi="Arial" w:cs="Arial"/>
        </w:rPr>
        <w:t xml:space="preserve">) </w:t>
      </w:r>
      <w:r>
        <w:rPr>
          <w:rFonts w:ascii="Arial" w:eastAsia="Arial" w:hAnsi="Arial" w:cs="Arial"/>
        </w:rPr>
        <w:t xml:space="preserve">1348. Accelerating </w:t>
      </w:r>
      <w:r w:rsidR="002E2927">
        <w:rPr>
          <w:rFonts w:ascii="Arial" w:eastAsia="Arial" w:hAnsi="Arial" w:cs="Arial"/>
        </w:rPr>
        <w:t>L</w:t>
      </w:r>
      <w:r>
        <w:rPr>
          <w:rFonts w:ascii="Arial" w:eastAsia="Arial" w:hAnsi="Arial" w:cs="Arial"/>
        </w:rPr>
        <w:t xml:space="preserve">arge </w:t>
      </w:r>
      <w:r w:rsidR="002E2927">
        <w:rPr>
          <w:rFonts w:ascii="Arial" w:eastAsia="Arial" w:hAnsi="Arial" w:cs="Arial"/>
        </w:rPr>
        <w:t>L</w:t>
      </w:r>
      <w:r>
        <w:rPr>
          <w:rFonts w:ascii="Arial" w:eastAsia="Arial" w:hAnsi="Arial" w:cs="Arial"/>
        </w:rPr>
        <w:t>oad interconnections while ensuring grid reliability requires market-native tools that bring net-new, privately funded generation online alongside flexible demand. Habitat further endorses requests, such as those submitted by the Global Capacity Alliance (GCA) on October 7, 2026, that NPRR1348 not be subjected to open-ended delays.</w:t>
      </w:r>
    </w:p>
    <w:p w14:paraId="2562F781" w14:textId="77777777" w:rsidR="00FB75D5" w:rsidRDefault="001670DE" w:rsidP="002E2927">
      <w:pPr>
        <w:spacing w:before="120" w:after="120"/>
        <w:jc w:val="both"/>
        <w:rPr>
          <w:rFonts w:ascii="Arial" w:eastAsia="Arial" w:hAnsi="Arial" w:cs="Arial"/>
        </w:rPr>
      </w:pPr>
      <w:r>
        <w:rPr>
          <w:rFonts w:ascii="Arial" w:eastAsia="Arial" w:hAnsi="Arial" w:cs="Arial"/>
        </w:rPr>
        <w:t>NPRR1348 establishes a clear, software-defined protocol for Telemetry Offsetting. By permitting a Qualified Scheduling Entity (QSE) to dynamically adjust a Provisional Controllable Load Resource’s (PCLR) Low Power Consumption (LPC) limit to match the real-time availability of an equivalently offsetting dispatchable Resource, NPRR1348 advances the speed-to-power sought by stakeholders through the firming of flexible load with Bring Your Own Generation (BYOG) Resources, while preserving the reliability of the</w:t>
      </w:r>
      <w:r>
        <w:rPr>
          <w:rFonts w:ascii="Arial" w:eastAsia="Arial" w:hAnsi="Arial" w:cs="Arial"/>
        </w:rPr>
        <w:t xml:space="preserve"> grid and the integrity of ERCOT’s existing Security-Constrained Economic Dispatch (SCED) engine. In doing so, NPRR1348 addresses the “attributability gap” without compromising grid operations and without requiring new, pair-specific optimization logic within SCED - derisking execution by leveraging processes already in use by ERCOT</w:t>
      </w:r>
    </w:p>
    <w:p w14:paraId="60BDE1C2" w14:textId="77777777" w:rsidR="00FB75D5" w:rsidRDefault="001670DE" w:rsidP="002E2927">
      <w:pPr>
        <w:spacing w:before="120" w:after="120"/>
        <w:jc w:val="both"/>
        <w:rPr>
          <w:rFonts w:ascii="Arial" w:eastAsia="Arial" w:hAnsi="Arial" w:cs="Arial"/>
        </w:rPr>
      </w:pPr>
      <w:r>
        <w:rPr>
          <w:rFonts w:ascii="Arial" w:eastAsia="Arial" w:hAnsi="Arial" w:cs="Arial"/>
        </w:rPr>
        <w:t>Habitat Energy’s support for NPRR1348 is informed by a desire to identify a solution to the issues raised in the stakeholder surveys for both the Large Load Working Group (LLWG) and the comprehensive transmission planning (“CTP”) / Batch1+. The NPRR addresses many of these issues by providing solutions for several site configurations that are key to unlocking speed-to-power for large loads: a PCLR paired with BYOG or an Energy Storage Resource (ESR); a Netted Network with a PCLR; and a dynamic WLPUN that ob</w:t>
      </w:r>
      <w:r>
        <w:rPr>
          <w:rFonts w:ascii="Arial" w:eastAsia="Arial" w:hAnsi="Arial" w:cs="Arial"/>
        </w:rPr>
        <w:t xml:space="preserve">tains additional MW earlier through a dynamic limit, thereby becoming a PCLR. Enabling the most prevalent site configurations within the existing PCLR framework </w:t>
      </w:r>
      <w:r>
        <w:rPr>
          <w:rFonts w:ascii="Arial" w:eastAsia="Arial" w:hAnsi="Arial" w:cs="Arial"/>
        </w:rPr>
        <w:t>pragmatically balances existing processes with an innovative use case that adds capability to the grid without loss of ERCOT oversight and control.</w:t>
      </w:r>
    </w:p>
    <w:p w14:paraId="6F8ABDC5" w14:textId="77777777" w:rsidR="00FB75D5" w:rsidRDefault="001670DE" w:rsidP="002E2927">
      <w:pPr>
        <w:keepNext/>
        <w:spacing w:before="120" w:after="120"/>
        <w:rPr>
          <w:rFonts w:ascii="Arial" w:eastAsia="Arial" w:hAnsi="Arial" w:cs="Arial"/>
          <w:b/>
          <w:bCs/>
        </w:rPr>
      </w:pPr>
      <w:r>
        <w:rPr>
          <w:rFonts w:ascii="Arial" w:eastAsia="Arial" w:hAnsi="Arial" w:cs="Arial"/>
        </w:rPr>
        <w:lastRenderedPageBreak/>
        <w:t>From Habitat Energy’s perspective, the commercial value of telemetry offsetting lies in translating uncertain curtailment exposure into a defined, measurable obligation that can be engineered, priced, contracted, and financed. This predictability will strengthen incentives for large loads to support new grid-connected generation and storage while preserving ERCOT’s access to emergency load flexibility. The QSE and participating Resource Entities should remain accountable for the deliverable capability suppo</w:t>
      </w:r>
      <w:r>
        <w:rPr>
          <w:rFonts w:ascii="Arial" w:eastAsia="Arial" w:hAnsi="Arial" w:cs="Arial"/>
        </w:rPr>
        <w:t>rting each claimed offset and for timely restoration of load flexibility when that capability becomes unavailable. Post-operating-day validation should reinforce any and all real-time obligations, providing a framework in which commercial benefits are supported by demonstrable operating performance.</w:t>
      </w:r>
    </w:p>
    <w:p w14:paraId="389F16CB" w14:textId="77777777" w:rsidR="00FB75D5" w:rsidRDefault="001670DE" w:rsidP="002E2927">
      <w:pPr>
        <w:keepNext/>
        <w:spacing w:before="120" w:after="120"/>
        <w:rPr>
          <w:rFonts w:ascii="Arial" w:eastAsia="Arial" w:hAnsi="Arial" w:cs="Arial"/>
        </w:rPr>
      </w:pPr>
      <w:r>
        <w:rPr>
          <w:rFonts w:ascii="Arial" w:eastAsia="Arial" w:hAnsi="Arial" w:cs="Arial"/>
          <w:b/>
          <w:bCs/>
        </w:rPr>
        <w:t>Key Reasons for Support of NPRR1348</w:t>
      </w:r>
    </w:p>
    <w:p w14:paraId="4A3A36B2" w14:textId="77777777" w:rsidR="00FB75D5" w:rsidRDefault="001670DE" w:rsidP="002E2927">
      <w:pPr>
        <w:numPr>
          <w:ilvl w:val="0"/>
          <w:numId w:val="1"/>
        </w:numPr>
        <w:spacing w:before="120" w:after="120"/>
        <w:rPr>
          <w:rFonts w:ascii="Arial" w:eastAsia="Arial" w:hAnsi="Arial" w:cs="Arial"/>
        </w:rPr>
      </w:pPr>
      <w:r>
        <w:rPr>
          <w:rFonts w:ascii="Arial" w:eastAsia="Arial" w:hAnsi="Arial" w:cs="Arial"/>
          <w:b/>
          <w:bCs/>
        </w:rPr>
        <w:t xml:space="preserve">Supports Investment in New Capacity: </w:t>
      </w:r>
      <w:r>
        <w:rPr>
          <w:rFonts w:ascii="Arial" w:eastAsia="Arial" w:hAnsi="Arial" w:cs="Arial"/>
        </w:rPr>
        <w:t>The proposed commercial-operation-date eligibility requirement directs the framework toward recently commissioned generation and storage, strengthening incentives for large loads to support additional grid-connected capacity.</w:t>
      </w:r>
    </w:p>
    <w:p w14:paraId="36513969" w14:textId="77777777" w:rsidR="00FB75D5" w:rsidRDefault="001670DE" w:rsidP="002E2927">
      <w:pPr>
        <w:numPr>
          <w:ilvl w:val="0"/>
          <w:numId w:val="1"/>
        </w:numPr>
        <w:spacing w:before="120" w:after="120"/>
        <w:rPr>
          <w:rFonts w:ascii="Arial" w:eastAsia="Arial" w:hAnsi="Arial" w:cs="Arial"/>
          <w:b/>
          <w:bCs/>
        </w:rPr>
      </w:pPr>
      <w:r>
        <w:rPr>
          <w:rFonts w:ascii="Arial" w:eastAsia="Arial" w:hAnsi="Arial" w:cs="Arial"/>
          <w:b/>
          <w:bCs/>
        </w:rPr>
        <w:t xml:space="preserve">Preserves Emergency Flexibility: </w:t>
      </w:r>
      <w:r>
        <w:rPr>
          <w:rFonts w:ascii="Arial" w:eastAsia="Arial" w:hAnsi="Arial" w:cs="Arial"/>
        </w:rPr>
        <w:t>During EEA Level 1 or higher, the temporary LPC offset terminates, restoring the PCLR’s native curtailment capability while the paired Resource remains available to ERCOT subject to its operating limits.</w:t>
      </w:r>
    </w:p>
    <w:p w14:paraId="65143674" w14:textId="77777777" w:rsidR="00FB75D5" w:rsidRDefault="001670DE" w:rsidP="002E2927">
      <w:pPr>
        <w:numPr>
          <w:ilvl w:val="0"/>
          <w:numId w:val="1"/>
        </w:numPr>
        <w:spacing w:before="120" w:after="120"/>
        <w:rPr>
          <w:rFonts w:ascii="Arial" w:eastAsia="Arial" w:hAnsi="Arial" w:cs="Arial"/>
          <w:b/>
          <w:bCs/>
        </w:rPr>
      </w:pPr>
      <w:r>
        <w:rPr>
          <w:rFonts w:ascii="Arial" w:eastAsia="Arial" w:hAnsi="Arial" w:cs="Arial"/>
          <w:b/>
          <w:bCs/>
        </w:rPr>
        <w:t xml:space="preserve">Accommodates Qualifying Configurations: </w:t>
      </w:r>
      <w:r>
        <w:rPr>
          <w:rFonts w:ascii="Arial" w:eastAsia="Arial" w:hAnsi="Arial" w:cs="Arial"/>
        </w:rPr>
        <w:t>Supports various physical resource arrangements that satisfy applicable registration, metering, telemetry, and electrical-equivalence requirements, while preserving distinct Resource IDs and ERCOT visibility.</w:t>
      </w:r>
    </w:p>
    <w:p w14:paraId="5379DAA7" w14:textId="77777777" w:rsidR="00FB75D5" w:rsidRDefault="001670DE" w:rsidP="002E2927">
      <w:pPr>
        <w:numPr>
          <w:ilvl w:val="0"/>
          <w:numId w:val="1"/>
        </w:numPr>
        <w:spacing w:before="120" w:after="120"/>
        <w:rPr>
          <w:rFonts w:ascii="Arial" w:eastAsia="Arial" w:hAnsi="Arial" w:cs="Arial"/>
        </w:rPr>
      </w:pPr>
      <w:r>
        <w:rPr>
          <w:rFonts w:ascii="Arial" w:eastAsia="Arial" w:hAnsi="Arial" w:cs="Arial"/>
          <w:b/>
          <w:bCs/>
        </w:rPr>
        <w:t xml:space="preserve">Builds on Existing Dispatch Architecture: </w:t>
      </w:r>
      <w:r>
        <w:rPr>
          <w:rFonts w:ascii="Arial" w:eastAsia="Arial" w:hAnsi="Arial" w:cs="Arial"/>
        </w:rPr>
        <w:t>The proposal is designed to use QSE-managed telemetry limits without introducing pair-specific optimization logic within SCED. ERCOT’s review should identify the system changes, testing, and compliance processes necessary to implement this approach reliably.</w:t>
      </w:r>
    </w:p>
    <w:p w14:paraId="04C622B2" w14:textId="77777777" w:rsidR="00FB75D5" w:rsidRDefault="001670DE" w:rsidP="002E2927">
      <w:pPr>
        <w:spacing w:before="120" w:after="120"/>
        <w:rPr>
          <w:rFonts w:ascii="Arial" w:eastAsia="Arial" w:hAnsi="Arial" w:cs="Arial"/>
        </w:rPr>
      </w:pPr>
      <w:r>
        <w:rPr>
          <w:rFonts w:ascii="Arial" w:eastAsia="Arial" w:hAnsi="Arial" w:cs="Arial"/>
          <w:b/>
          <w:bCs/>
        </w:rPr>
        <w:t xml:space="preserve">Conclusion &amp; Recommendation: </w:t>
      </w:r>
      <w:r>
        <w:rPr>
          <w:rFonts w:ascii="Arial" w:eastAsia="Arial" w:hAnsi="Arial" w:cs="Arial"/>
        </w:rPr>
        <w:t>NPRR1348 turns unpredictable load curtailment into a defined, grid-friendly operational framework that addresses a gap identified by stakeholders and is directly responsive to stakeholder priorities. Additionally, telemetry offsetting design should complement applicable interconnection studies and transmission-security requirements. Qualification should demonstrate that paired capability provides the required electrical relief under relevant operating conditions and contingencies to ensure fair treatment an</w:t>
      </w:r>
      <w:r>
        <w:rPr>
          <w:rFonts w:ascii="Arial" w:eastAsia="Arial" w:hAnsi="Arial" w:cs="Arial"/>
        </w:rPr>
        <w:t>d optimal cost allocation.</w:t>
      </w:r>
    </w:p>
    <w:p w14:paraId="402DBAF7" w14:textId="77777777" w:rsidR="00FB75D5" w:rsidRDefault="00FB75D5" w:rsidP="002E2927">
      <w:pPr>
        <w:spacing w:before="120" w:after="120"/>
        <w:rPr>
          <w:rFonts w:ascii="Arial" w:eastAsia="Arial" w:hAnsi="Arial" w:cs="Arial"/>
        </w:rPr>
      </w:pPr>
    </w:p>
    <w:p w14:paraId="10717089" w14:textId="04F37808" w:rsidR="00FB75D5" w:rsidRPr="002E2927" w:rsidRDefault="001670DE" w:rsidP="002E2927">
      <w:pPr>
        <w:spacing w:before="120" w:after="120"/>
        <w:rPr>
          <w:rFonts w:ascii="Arial" w:eastAsia="Arial" w:hAnsi="Arial" w:cs="Arial"/>
        </w:rPr>
      </w:pPr>
      <w:r>
        <w:rPr>
          <w:rFonts w:ascii="Arial" w:eastAsia="Arial" w:hAnsi="Arial" w:cs="Arial"/>
        </w:rPr>
        <w:t xml:space="preserve">If tabled, Habitat Energy respectfully requests that delays be limited to one month, with direction to LLWG, in coordination with ERCOT and relevant CTP/Batch stakeholders, to return at the next PRS meeting with recommended language, identified implementation requirements, and a specific disposition of unresolved technical issues, </w:t>
      </w:r>
      <w:r>
        <w:rPr>
          <w:rFonts w:ascii="Arial" w:eastAsia="Arial" w:hAnsi="Arial" w:cs="Arial"/>
        </w:rPr>
        <w:t>enabling a formal PRS vote. Any request for additional review should identify the remaining issue, responsible party, and proposed completion date. The LLWG should prioritize offset availability and duration, response to Resource outages and telemetry failures, prevention of double counting, and consistency between planning assumptions and real-time operating obligations in their review.</w:t>
      </w:r>
    </w:p>
    <w:tbl>
      <w:tblPr>
        <w:tblStyle w:val="a1"/>
        <w:tblW w:w="1044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40"/>
      </w:tblGrid>
      <w:tr w:rsidR="00FB75D5" w14:paraId="2140984E" w14:textId="77777777">
        <w:trPr>
          <w:trHeight w:val="350"/>
        </w:trPr>
        <w:tc>
          <w:tcPr>
            <w:tcW w:w="10440" w:type="dxa"/>
            <w:tcBorders>
              <w:bottom w:val="single" w:sz="4" w:space="0" w:color="000000"/>
            </w:tcBorders>
            <w:shd w:val="clear" w:color="auto" w:fill="FFFFFF"/>
            <w:vAlign w:val="center"/>
          </w:tcPr>
          <w:p w14:paraId="6AF70325" w14:textId="77777777" w:rsidR="00FB75D5" w:rsidRDefault="001670DE">
            <w:pPr>
              <w:pBdr>
                <w:top w:val="nil"/>
                <w:left w:val="nil"/>
                <w:bottom w:val="nil"/>
                <w:right w:val="nil"/>
                <w:between w:val="nil"/>
              </w:pBdr>
              <w:tabs>
                <w:tab w:val="center" w:pos="4320"/>
                <w:tab w:val="right" w:pos="8640"/>
              </w:tabs>
              <w:jc w:val="center"/>
              <w:rPr>
                <w:rFonts w:ascii="Arial" w:eastAsia="Arial" w:hAnsi="Arial" w:cs="Arial"/>
                <w:b/>
                <w:bCs/>
                <w:color w:val="000000"/>
              </w:rPr>
            </w:pPr>
            <w:r>
              <w:rPr>
                <w:rFonts w:ascii="Arial" w:eastAsia="Arial" w:hAnsi="Arial" w:cs="Arial"/>
                <w:b/>
                <w:bCs/>
                <w:color w:val="000000"/>
              </w:rPr>
              <w:lastRenderedPageBreak/>
              <w:t>Revised Cover Page Language</w:t>
            </w:r>
          </w:p>
        </w:tc>
      </w:tr>
    </w:tbl>
    <w:p w14:paraId="49D0DC62" w14:textId="02096F9B" w:rsidR="00FB75D5" w:rsidRPr="002E2927" w:rsidRDefault="00D3574D" w:rsidP="002E2927">
      <w:pPr>
        <w:pBdr>
          <w:top w:val="nil"/>
          <w:left w:val="nil"/>
          <w:bottom w:val="nil"/>
          <w:right w:val="nil"/>
          <w:between w:val="nil"/>
        </w:pBdr>
        <w:spacing w:before="120" w:after="120"/>
        <w:rPr>
          <w:color w:val="000000"/>
        </w:rPr>
      </w:pPr>
      <w:r>
        <w:rPr>
          <w:rFonts w:ascii="Arial" w:eastAsia="Arial" w:hAnsi="Arial" w:cs="Arial"/>
          <w:color w:val="000000"/>
        </w:rPr>
        <w:t>N</w:t>
      </w:r>
      <w:r w:rsidR="002E2927">
        <w:rPr>
          <w:rFonts w:ascii="Arial" w:eastAsia="Arial" w:hAnsi="Arial" w:cs="Arial"/>
          <w:color w:val="000000"/>
        </w:rPr>
        <w:t>one.</w:t>
      </w:r>
    </w:p>
    <w:tbl>
      <w:tblPr>
        <w:tblStyle w:val="a2"/>
        <w:tblW w:w="1044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40"/>
      </w:tblGrid>
      <w:tr w:rsidR="00FB75D5" w14:paraId="5741B1AF" w14:textId="77777777">
        <w:trPr>
          <w:trHeight w:val="350"/>
        </w:trPr>
        <w:tc>
          <w:tcPr>
            <w:tcW w:w="10440" w:type="dxa"/>
            <w:tcBorders>
              <w:bottom w:val="single" w:sz="4" w:space="0" w:color="000000"/>
            </w:tcBorders>
            <w:shd w:val="clear" w:color="auto" w:fill="FFFFFF"/>
            <w:vAlign w:val="center"/>
          </w:tcPr>
          <w:p w14:paraId="6CA37EBB" w14:textId="77777777" w:rsidR="00FB75D5" w:rsidRDefault="001670DE">
            <w:pPr>
              <w:pBdr>
                <w:top w:val="nil"/>
                <w:left w:val="nil"/>
                <w:bottom w:val="nil"/>
                <w:right w:val="nil"/>
                <w:between w:val="nil"/>
              </w:pBdr>
              <w:tabs>
                <w:tab w:val="center" w:pos="4320"/>
                <w:tab w:val="right" w:pos="8640"/>
              </w:tabs>
              <w:jc w:val="center"/>
              <w:rPr>
                <w:rFonts w:ascii="Arial" w:eastAsia="Arial" w:hAnsi="Arial" w:cs="Arial"/>
                <w:b/>
                <w:bCs/>
                <w:color w:val="000000"/>
              </w:rPr>
            </w:pPr>
            <w:r>
              <w:rPr>
                <w:rFonts w:ascii="Arial" w:eastAsia="Arial" w:hAnsi="Arial" w:cs="Arial"/>
                <w:b/>
                <w:bCs/>
                <w:color w:val="000000"/>
              </w:rPr>
              <w:t>Revised Proposed Protocol Language</w:t>
            </w:r>
          </w:p>
        </w:tc>
      </w:tr>
    </w:tbl>
    <w:p w14:paraId="0E4A7A31" w14:textId="43AAA7C8" w:rsidR="00FB75D5" w:rsidRDefault="002E2927" w:rsidP="002E2927">
      <w:pPr>
        <w:pBdr>
          <w:top w:val="nil"/>
          <w:left w:val="nil"/>
          <w:bottom w:val="nil"/>
          <w:right w:val="nil"/>
          <w:between w:val="nil"/>
        </w:pBdr>
        <w:spacing w:before="120" w:after="120"/>
        <w:rPr>
          <w:color w:val="000000"/>
        </w:rPr>
      </w:pPr>
      <w:r>
        <w:rPr>
          <w:rFonts w:ascii="Arial" w:eastAsia="Arial" w:hAnsi="Arial" w:cs="Arial"/>
          <w:color w:val="000000"/>
        </w:rPr>
        <w:t>None.</w:t>
      </w:r>
    </w:p>
    <w:sectPr w:rsidR="00FB75D5">
      <w:headerReference w:type="default"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8DD8D" w14:textId="77777777" w:rsidR="001670DE" w:rsidRDefault="001670DE">
      <w:r>
        <w:separator/>
      </w:r>
    </w:p>
  </w:endnote>
  <w:endnote w:type="continuationSeparator" w:id="0">
    <w:p w14:paraId="6E803A3A" w14:textId="77777777" w:rsidR="001670DE" w:rsidRDefault="00167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823991F4-49AA-4CFA-9FF0-B614731F50D4}"/>
  </w:font>
  <w:font w:name="Georgia">
    <w:panose1 w:val="02040502050405020303"/>
    <w:charset w:val="00"/>
    <w:family w:val="roman"/>
    <w:pitch w:val="variable"/>
    <w:sig w:usb0="00000287" w:usb1="00000000" w:usb2="00000000" w:usb3="00000000" w:csb0="0000009F" w:csb1="00000000"/>
    <w:embedItalic r:id="rId2" w:fontKey="{89DA5373-602A-40D9-8D6A-96EB82B6C293}"/>
  </w:font>
  <w:font w:name="Verdana">
    <w:panose1 w:val="020B0604030504040204"/>
    <w:charset w:val="00"/>
    <w:family w:val="swiss"/>
    <w:pitch w:val="variable"/>
    <w:sig w:usb0="A00006FF" w:usb1="4000205B" w:usb2="00000010" w:usb3="00000000" w:csb0="0000019F" w:csb1="00000000"/>
    <w:embedBold r:id="rId3" w:fontKey="{302A4A05-A7CB-4672-B3BF-A998A19C1BA5}"/>
  </w:font>
  <w:font w:name="Aptos Display">
    <w:charset w:val="00"/>
    <w:family w:val="swiss"/>
    <w:pitch w:val="variable"/>
    <w:sig w:usb0="20000287" w:usb1="00000003" w:usb2="00000000" w:usb3="00000000" w:csb0="0000019F" w:csb1="00000000"/>
    <w:embedRegular r:id="rId4" w:fontKey="{D0A82D9F-DA6B-472E-861B-352E1A62DC77}"/>
  </w:font>
  <w:font w:name="Aptos">
    <w:charset w:val="00"/>
    <w:family w:val="swiss"/>
    <w:pitch w:val="variable"/>
    <w:sig w:usb0="20000287" w:usb1="00000003" w:usb2="00000000" w:usb3="00000000" w:csb0="0000019F" w:csb1="00000000"/>
    <w:embedRegular r:id="rId5" w:fontKey="{118A18BA-5919-435F-A6D4-B5F7C29FB69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62016" w14:textId="0C42EE35" w:rsidR="00FB75D5" w:rsidRDefault="002E2927">
    <w:pPr>
      <w:pBdr>
        <w:top w:val="nil"/>
        <w:left w:val="nil"/>
        <w:bottom w:val="nil"/>
        <w:right w:val="nil"/>
        <w:between w:val="nil"/>
      </w:pBdr>
      <w:tabs>
        <w:tab w:val="center" w:pos="4320"/>
        <w:tab w:val="right" w:pos="8640"/>
        <w:tab w:val="right" w:pos="9360"/>
      </w:tabs>
      <w:rPr>
        <w:rFonts w:ascii="Arial" w:eastAsia="Arial" w:hAnsi="Arial" w:cs="Arial"/>
        <w:color w:val="000000"/>
        <w:sz w:val="18"/>
        <w:szCs w:val="18"/>
      </w:rPr>
    </w:pPr>
    <w:r>
      <w:rPr>
        <w:rFonts w:ascii="Arial" w:eastAsia="Arial" w:hAnsi="Arial" w:cs="Arial"/>
        <w:color w:val="000000"/>
        <w:sz w:val="18"/>
        <w:szCs w:val="18"/>
      </w:rPr>
      <w:t>1348</w:t>
    </w:r>
    <w:r w:rsidR="001670DE">
      <w:rPr>
        <w:rFonts w:ascii="Arial" w:eastAsia="Arial" w:hAnsi="Arial" w:cs="Arial"/>
        <w:color w:val="000000"/>
        <w:sz w:val="18"/>
        <w:szCs w:val="18"/>
      </w:rPr>
      <w:t>NPRR</w:t>
    </w:r>
    <w:r>
      <w:rPr>
        <w:rFonts w:ascii="Arial" w:eastAsia="Arial" w:hAnsi="Arial" w:cs="Arial"/>
        <w:color w:val="000000"/>
        <w:sz w:val="18"/>
        <w:szCs w:val="18"/>
      </w:rPr>
      <w:t>-08 Habitat Energy</w:t>
    </w:r>
    <w:r w:rsidR="001670DE">
      <w:rPr>
        <w:rFonts w:ascii="Arial" w:eastAsia="Arial" w:hAnsi="Arial" w:cs="Arial"/>
        <w:color w:val="000000"/>
        <w:sz w:val="18"/>
        <w:szCs w:val="18"/>
      </w:rPr>
      <w:t xml:space="preserve"> Comment</w:t>
    </w:r>
    <w:r>
      <w:rPr>
        <w:rFonts w:ascii="Arial" w:eastAsia="Arial" w:hAnsi="Arial" w:cs="Arial"/>
        <w:color w:val="000000"/>
        <w:sz w:val="18"/>
        <w:szCs w:val="18"/>
      </w:rPr>
      <w:t>s</w:t>
    </w:r>
    <w:r w:rsidR="001670DE">
      <w:rPr>
        <w:rFonts w:ascii="Arial" w:eastAsia="Arial" w:hAnsi="Arial" w:cs="Arial"/>
        <w:color w:val="000000"/>
        <w:sz w:val="18"/>
        <w:szCs w:val="18"/>
      </w:rPr>
      <w:t xml:space="preserve"> </w:t>
    </w:r>
    <w:r>
      <w:rPr>
        <w:rFonts w:ascii="Arial" w:eastAsia="Arial" w:hAnsi="Arial" w:cs="Arial"/>
        <w:color w:val="000000"/>
        <w:sz w:val="18"/>
        <w:szCs w:val="18"/>
      </w:rPr>
      <w:t>100926</w:t>
    </w:r>
    <w:r>
      <w:rPr>
        <w:rFonts w:ascii="Arial" w:eastAsia="Arial" w:hAnsi="Arial" w:cs="Arial"/>
        <w:color w:val="000000"/>
        <w:sz w:val="18"/>
        <w:szCs w:val="18"/>
      </w:rPr>
      <w:tab/>
    </w:r>
    <w:r w:rsidR="001670DE">
      <w:rPr>
        <w:rFonts w:ascii="Arial" w:eastAsia="Arial" w:hAnsi="Arial" w:cs="Arial"/>
        <w:color w:val="000000"/>
        <w:sz w:val="18"/>
        <w:szCs w:val="18"/>
      </w:rPr>
      <w:tab/>
      <w:t xml:space="preserve">Page </w:t>
    </w:r>
    <w:r w:rsidR="001670DE">
      <w:rPr>
        <w:rFonts w:ascii="Arial" w:eastAsia="Arial" w:hAnsi="Arial" w:cs="Arial"/>
        <w:color w:val="000000"/>
        <w:sz w:val="18"/>
        <w:szCs w:val="18"/>
      </w:rPr>
      <w:fldChar w:fldCharType="begin"/>
    </w:r>
    <w:r w:rsidR="001670DE">
      <w:rPr>
        <w:rFonts w:ascii="Arial" w:eastAsia="Arial" w:hAnsi="Arial" w:cs="Arial"/>
        <w:color w:val="000000"/>
        <w:sz w:val="18"/>
        <w:szCs w:val="18"/>
      </w:rPr>
      <w:instrText>PAGE</w:instrText>
    </w:r>
    <w:r w:rsidR="001670DE">
      <w:rPr>
        <w:rFonts w:ascii="Arial" w:eastAsia="Arial" w:hAnsi="Arial" w:cs="Arial"/>
        <w:color w:val="000000"/>
        <w:sz w:val="18"/>
        <w:szCs w:val="18"/>
      </w:rPr>
      <w:fldChar w:fldCharType="separate"/>
    </w:r>
    <w:r w:rsidR="009213E8">
      <w:rPr>
        <w:rFonts w:ascii="Arial" w:eastAsia="Arial" w:hAnsi="Arial" w:cs="Arial"/>
        <w:noProof/>
        <w:color w:val="000000"/>
        <w:sz w:val="18"/>
        <w:szCs w:val="18"/>
      </w:rPr>
      <w:t>1</w:t>
    </w:r>
    <w:r w:rsidR="001670DE">
      <w:rPr>
        <w:rFonts w:ascii="Arial" w:eastAsia="Arial" w:hAnsi="Arial" w:cs="Arial"/>
        <w:color w:val="000000"/>
        <w:sz w:val="18"/>
        <w:szCs w:val="18"/>
      </w:rPr>
      <w:fldChar w:fldCharType="end"/>
    </w:r>
    <w:r w:rsidR="001670DE">
      <w:rPr>
        <w:rFonts w:ascii="Arial" w:eastAsia="Arial" w:hAnsi="Arial" w:cs="Arial"/>
        <w:color w:val="000000"/>
        <w:sz w:val="18"/>
        <w:szCs w:val="18"/>
      </w:rPr>
      <w:t xml:space="preserve"> of </w:t>
    </w:r>
    <w:r w:rsidR="001670DE">
      <w:rPr>
        <w:rFonts w:ascii="Arial" w:eastAsia="Arial" w:hAnsi="Arial" w:cs="Arial"/>
        <w:color w:val="000000"/>
        <w:sz w:val="18"/>
        <w:szCs w:val="18"/>
      </w:rPr>
      <w:fldChar w:fldCharType="begin"/>
    </w:r>
    <w:r w:rsidR="001670DE">
      <w:rPr>
        <w:rFonts w:ascii="Arial" w:eastAsia="Arial" w:hAnsi="Arial" w:cs="Arial"/>
        <w:color w:val="000000"/>
        <w:sz w:val="18"/>
        <w:szCs w:val="18"/>
      </w:rPr>
      <w:instrText>NUMPAGES</w:instrText>
    </w:r>
    <w:r w:rsidR="001670DE">
      <w:rPr>
        <w:rFonts w:ascii="Arial" w:eastAsia="Arial" w:hAnsi="Arial" w:cs="Arial"/>
        <w:color w:val="000000"/>
        <w:sz w:val="18"/>
        <w:szCs w:val="18"/>
      </w:rPr>
      <w:fldChar w:fldCharType="separate"/>
    </w:r>
    <w:r w:rsidR="009213E8">
      <w:rPr>
        <w:rFonts w:ascii="Arial" w:eastAsia="Arial" w:hAnsi="Arial" w:cs="Arial"/>
        <w:noProof/>
        <w:color w:val="000000"/>
        <w:sz w:val="18"/>
        <w:szCs w:val="18"/>
      </w:rPr>
      <w:t>2</w:t>
    </w:r>
    <w:r w:rsidR="001670DE">
      <w:rPr>
        <w:rFonts w:ascii="Arial" w:eastAsia="Arial" w:hAnsi="Arial" w:cs="Arial"/>
        <w:color w:val="000000"/>
        <w:sz w:val="18"/>
        <w:szCs w:val="18"/>
      </w:rPr>
      <w:fldChar w:fldCharType="end"/>
    </w:r>
  </w:p>
  <w:p w14:paraId="61E9CEF9" w14:textId="77777777" w:rsidR="00FB75D5" w:rsidRDefault="001670DE">
    <w:pPr>
      <w:pBdr>
        <w:top w:val="nil"/>
        <w:left w:val="nil"/>
        <w:bottom w:val="nil"/>
        <w:right w:val="nil"/>
        <w:between w:val="nil"/>
      </w:pBdr>
      <w:tabs>
        <w:tab w:val="center" w:pos="4320"/>
        <w:tab w:val="right" w:pos="8640"/>
        <w:tab w:val="right" w:pos="9360"/>
      </w:tabs>
      <w:rPr>
        <w:rFonts w:ascii="Arial" w:eastAsia="Arial" w:hAnsi="Arial" w:cs="Arial"/>
        <w:color w:val="000000"/>
        <w:sz w:val="18"/>
        <w:szCs w:val="18"/>
      </w:rPr>
    </w:pPr>
    <w:r>
      <w:rPr>
        <w:rFonts w:ascii="Arial" w:eastAsia="Arial" w:hAnsi="Arial" w:cs="Arial"/>
        <w:color w:val="000000"/>
        <w:sz w:val="18"/>
        <w:szCs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D2C90" w14:textId="77777777" w:rsidR="001670DE" w:rsidRDefault="001670DE">
      <w:r>
        <w:separator/>
      </w:r>
    </w:p>
  </w:footnote>
  <w:footnote w:type="continuationSeparator" w:id="0">
    <w:p w14:paraId="6A9D45B4" w14:textId="77777777" w:rsidR="001670DE" w:rsidRDefault="001670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86D76" w14:textId="7BBA2506" w:rsidR="00FB75D5" w:rsidRPr="00D67339" w:rsidRDefault="001670DE" w:rsidP="00D67339">
    <w:pPr>
      <w:pBdr>
        <w:top w:val="nil"/>
        <w:left w:val="nil"/>
        <w:bottom w:val="nil"/>
        <w:right w:val="nil"/>
        <w:between w:val="nil"/>
      </w:pBdr>
      <w:tabs>
        <w:tab w:val="center" w:pos="4320"/>
        <w:tab w:val="right" w:pos="8640"/>
      </w:tabs>
      <w:jc w:val="center"/>
      <w:rPr>
        <w:rFonts w:ascii="Arial" w:eastAsia="Arial" w:hAnsi="Arial" w:cs="Arial"/>
        <w:b/>
        <w:bCs/>
        <w:color w:val="000000"/>
        <w:sz w:val="32"/>
        <w:szCs w:val="32"/>
      </w:rPr>
    </w:pPr>
    <w:r>
      <w:rPr>
        <w:rFonts w:ascii="Arial" w:eastAsia="Arial" w:hAnsi="Arial" w:cs="Arial"/>
        <w:b/>
        <w:bCs/>
        <w:color w:val="000000"/>
        <w:sz w:val="32"/>
        <w:szCs w:val="32"/>
      </w:rPr>
      <w:t>NPRR Comments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D2D2E"/>
    <w:multiLevelType w:val="multilevel"/>
    <w:tmpl w:val="0D7A4914"/>
    <w:lvl w:ilvl="0">
      <w:start w:val="1"/>
      <w:numFmt w:val="decimal"/>
      <w:pStyle w:val="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F241AA3"/>
    <w:multiLevelType w:val="multilevel"/>
    <w:tmpl w:val="4CD85F3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2123919730">
    <w:abstractNumId w:val="1"/>
  </w:num>
  <w:num w:numId="2" w16cid:durableId="59909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5D5"/>
    <w:rsid w:val="001670DE"/>
    <w:rsid w:val="002E2927"/>
    <w:rsid w:val="006158B0"/>
    <w:rsid w:val="009213E8"/>
    <w:rsid w:val="00980511"/>
    <w:rsid w:val="009B3B9F"/>
    <w:rsid w:val="00C1315E"/>
    <w:rsid w:val="00D3574D"/>
    <w:rsid w:val="00D67339"/>
    <w:rsid w:val="00FB7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3DCC2"/>
  <w15:docId w15:val="{C1EB6F33-A620-40FA-9F2A-F868D2A6D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after="240"/>
      <w:ind w:left="432" w:hanging="432"/>
      <w:outlineLvl w:val="0"/>
    </w:pPr>
    <w:rPr>
      <w:b/>
      <w:bCs/>
    </w:rPr>
  </w:style>
  <w:style w:type="paragraph" w:styleId="Heading2">
    <w:name w:val="heading 2"/>
    <w:basedOn w:val="Normal"/>
    <w:next w:val="Normal"/>
    <w:uiPriority w:val="9"/>
    <w:semiHidden/>
    <w:unhideWhenUsed/>
    <w:qFormat/>
    <w:pPr>
      <w:keepNext/>
      <w:spacing w:before="240" w:after="240"/>
      <w:ind w:left="576" w:hanging="576"/>
      <w:outlineLvl w:val="1"/>
    </w:pPr>
    <w:rPr>
      <w:b/>
      <w:bCs/>
    </w:rPr>
  </w:style>
  <w:style w:type="paragraph" w:styleId="Heading3">
    <w:name w:val="heading 3"/>
    <w:basedOn w:val="Normal"/>
    <w:next w:val="Normal"/>
    <w:uiPriority w:val="9"/>
    <w:semiHidden/>
    <w:unhideWhenUsed/>
    <w:qFormat/>
    <w:pPr>
      <w:keepNext/>
      <w:spacing w:before="120" w:after="120"/>
      <w:ind w:left="720" w:hanging="720"/>
      <w:outlineLvl w:val="2"/>
    </w:pPr>
    <w:rPr>
      <w:b/>
      <w:bCs/>
      <w:i/>
      <w:iCs/>
    </w:rPr>
  </w:style>
  <w:style w:type="paragraph" w:styleId="Heading4">
    <w:name w:val="heading 4"/>
    <w:basedOn w:val="Normal"/>
    <w:next w:val="Normal"/>
    <w:uiPriority w:val="9"/>
    <w:semiHidden/>
    <w:unhideWhenUsed/>
    <w:qFormat/>
    <w:pPr>
      <w:keepNext/>
      <w:widowControl w:val="0"/>
      <w:spacing w:before="360" w:after="240"/>
      <w:ind w:left="864" w:hanging="864"/>
      <w:outlineLvl w:val="3"/>
    </w:pPr>
    <w:rPr>
      <w:b/>
      <w:bCs/>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b/>
      <w:bCs/>
      <w:sz w:val="22"/>
      <w:szCs w:val="22"/>
    </w:rPr>
  </w:style>
  <w:style w:type="paragraph" w:styleId="Heading7">
    <w:name w:val="heading 7"/>
    <w:basedOn w:val="Normal"/>
    <w:next w:val="Normal"/>
    <w:qFormat/>
    <w:pPr>
      <w:spacing w:before="240" w:after="60"/>
      <w:outlineLvl w:val="6"/>
    </w:pPr>
    <w:rPr>
      <w:szCs w:val="20"/>
    </w:rPr>
  </w:style>
  <w:style w:type="paragraph" w:styleId="Heading8">
    <w:name w:val="heading 8"/>
    <w:basedOn w:val="Normal"/>
    <w:next w:val="Normal"/>
    <w:qFormat/>
    <w:pPr>
      <w:spacing w:before="240" w:after="60"/>
      <w:outlineLvl w:val="7"/>
    </w:pPr>
    <w:rPr>
      <w:i/>
      <w:szCs w:val="20"/>
    </w:rPr>
  </w:style>
  <w:style w:type="paragraph" w:styleId="Heading9">
    <w:name w:val="heading 9"/>
    <w:basedOn w:val="Normal"/>
    <w:next w:val="Normal"/>
    <w:qFormat/>
    <w:p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before="120" w:after="120"/>
    </w:pPr>
  </w:style>
  <w:style w:type="paragraph" w:styleId="BodyTextIndent">
    <w:name w:val="Body Text Indent"/>
    <w:basedOn w:val="Normal"/>
    <w:pPr>
      <w:spacing w:before="120" w:after="120"/>
      <w:ind w:left="720"/>
    </w:pPr>
  </w:style>
  <w:style w:type="paragraph" w:customStyle="1" w:styleId="Bullet">
    <w:name w:val="Bullet"/>
    <w:basedOn w:val="Normal"/>
    <w:pPr>
      <w:numPr>
        <w:numId w:val="2"/>
      </w:numPr>
      <w:spacing w:before="60" w:after="120"/>
    </w:pPr>
    <w:rPr>
      <w:szCs w:val="20"/>
    </w:rPr>
  </w:style>
  <w:style w:type="paragraph" w:styleId="BalloonText">
    <w:name w:val="Balloon Text"/>
    <w:basedOn w:val="Normal"/>
    <w:semiHidden/>
    <w:rsid w:val="00673B94"/>
    <w:rPr>
      <w:rFonts w:ascii="Tahoma" w:hAnsi="Tahoma" w:cs="Tahoma"/>
      <w:sz w:val="16"/>
      <w:szCs w:val="16"/>
    </w:rPr>
  </w:style>
  <w:style w:type="paragraph" w:customStyle="1" w:styleId="NormalArial">
    <w:name w:val="Normal+Arial"/>
    <w:basedOn w:val="Normal"/>
    <w:rPr>
      <w:rFonts w:ascii="Arial" w:hAnsi="Arial"/>
    </w:rPr>
  </w:style>
  <w:style w:type="table" w:styleId="TableGrid">
    <w:name w:val="Table Grid"/>
    <w:basedOn w:val="TableNormal"/>
    <w:rsid w:val="00075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DD4739"/>
    <w:rPr>
      <w:sz w:val="16"/>
      <w:szCs w:val="16"/>
    </w:rPr>
  </w:style>
  <w:style w:type="paragraph" w:styleId="CommentText">
    <w:name w:val="annotation text"/>
    <w:basedOn w:val="Normal"/>
    <w:semiHidden/>
    <w:rsid w:val="00DD4739"/>
    <w:rPr>
      <w:sz w:val="20"/>
      <w:szCs w:val="20"/>
    </w:rPr>
  </w:style>
  <w:style w:type="paragraph" w:styleId="CommentSubject">
    <w:name w:val="annotation subject"/>
    <w:basedOn w:val="CommentText"/>
    <w:next w:val="CommentText"/>
    <w:semiHidden/>
    <w:rsid w:val="00DD4739"/>
    <w:rPr>
      <w:b/>
      <w:bCs/>
    </w:rPr>
  </w:style>
  <w:style w:type="character" w:styleId="UnresolvedMention">
    <w:name w:val="Unresolved Mention"/>
    <w:uiPriority w:val="99"/>
    <w:semiHidden/>
    <w:unhideWhenUsed/>
    <w:rsid w:val="00085214"/>
    <w:rPr>
      <w:color w:val="605E5C"/>
      <w:shd w:val="clear" w:color="auto" w:fill="E1DFDD"/>
    </w:rPr>
  </w:style>
  <w:style w:type="character" w:customStyle="1" w:styleId="HeaderChar">
    <w:name w:val="Header Char"/>
    <w:link w:val="Header"/>
    <w:rsid w:val="00D52ECB"/>
    <w:rPr>
      <w:rFonts w:ascii="Arial" w:hAnsi="Arial"/>
      <w:b/>
      <w:bCs/>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ercot.com/mktrules/issues/NPRR134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ebecca.miller@habitat.energy"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8gIs2NUxzcWgD33V93h3/e7PQ==">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872</Words>
  <Characters>4977</Characters>
  <Application>Microsoft Office Word</Application>
  <DocSecurity>0</DocSecurity>
  <Lines>41</Lines>
  <Paragraphs>11</Paragraphs>
  <ScaleCrop>false</ScaleCrop>
  <Company/>
  <LinksUpToDate>false</LinksUpToDate>
  <CharactersWithSpaces>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ERCOT/if</dc:creator>
  <cp:lastModifiedBy>C Phillips</cp:lastModifiedBy>
  <cp:revision>3</cp:revision>
  <cp:lastPrinted>2026-10-09T20:39:00Z</cp:lastPrinted>
  <dcterms:created xsi:type="dcterms:W3CDTF">2026-10-09T21:49:00Z</dcterms:created>
  <dcterms:modified xsi:type="dcterms:W3CDTF">2026-10-09T21:53:00Z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2026-10-09T21:49:57Z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9db7169c-a948-4005-8df8-3b56b9f814c0</vt:lpwstr>
  </property>
  <property fmtid="{D5CDD505-2E9C-101B-9397-08002B2CF9AE}" pid="8" name="MSIP_Label_7084cbda-52b8-46fb-a7b7-cb5bd465ed85_ContentBits">
    <vt:lpwstr>0</vt:lpwstr>
  </property>
  <property fmtid="{D5CDD505-2E9C-101B-9397-08002B2CF9AE}" pid="9" name="MSIP_Label_7084cbda-52b8-46fb-a7b7-cb5bd465ed85_Tag">
    <vt:lpwstr>10, 3, 0, 1</vt:lpwstr>
  </property>
</Properties>
</file>