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20"/>
        <w:gridCol w:w="1260"/>
        <w:gridCol w:w="900"/>
        <w:gridCol w:w="6660"/>
      </w:tblGrid>
      <w:tr w:rsidR="00152993" w14:paraId="1217B9BE" w14:textId="77777777">
        <w:tc>
          <w:tcPr>
            <w:tcW w:w="162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B6DEBB5" w14:textId="77777777" w:rsidR="00152993" w:rsidRDefault="00EE6681">
            <w:pPr>
              <w:pStyle w:val="Header"/>
              <w:rPr>
                <w:rFonts w:ascii="Verdana" w:hAnsi="Verdana"/>
                <w:sz w:val="22"/>
              </w:rPr>
            </w:pPr>
            <w:r>
              <w:t>N</w:t>
            </w:r>
            <w:r w:rsidR="00152993">
              <w:t>PRR Number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vAlign w:val="center"/>
          </w:tcPr>
          <w:p w14:paraId="62F8421D" w14:textId="0FB0ED79" w:rsidR="00152993" w:rsidRDefault="00DD5379">
            <w:pPr>
              <w:pStyle w:val="Header"/>
            </w:pPr>
            <w:hyperlink r:id="rId10" w:history="1">
              <w:r w:rsidR="00585CFC" w:rsidRPr="00DD5379">
                <w:rPr>
                  <w:rStyle w:val="Hyperlink"/>
                </w:rPr>
                <w:t>1348</w:t>
              </w:r>
            </w:hyperlink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90D37B0" w14:textId="77777777" w:rsidR="00152993" w:rsidRDefault="00EE6681">
            <w:pPr>
              <w:pStyle w:val="Header"/>
            </w:pPr>
            <w:r>
              <w:t>N</w:t>
            </w:r>
            <w:r w:rsidR="00152993">
              <w:t>PRR Title</w:t>
            </w:r>
          </w:p>
        </w:tc>
        <w:tc>
          <w:tcPr>
            <w:tcW w:w="6660" w:type="dxa"/>
            <w:tcBorders>
              <w:bottom w:val="single" w:sz="4" w:space="0" w:color="auto"/>
            </w:tcBorders>
            <w:vAlign w:val="center"/>
          </w:tcPr>
          <w:p w14:paraId="3B1E3D05" w14:textId="2E8C5302" w:rsidR="00152993" w:rsidRPr="00DD5379" w:rsidRDefault="00585CFC" w:rsidP="00585CFC">
            <w:pPr>
              <w:rPr>
                <w:rFonts w:ascii="Arial" w:hAnsi="Arial" w:cs="Arial"/>
                <w:szCs w:val="20"/>
              </w:rPr>
            </w:pPr>
            <w:r w:rsidRPr="00DD5379">
              <w:rPr>
                <w:rFonts w:ascii="Arial" w:hAnsi="Arial" w:cs="Arial"/>
                <w:b/>
                <w:bCs/>
                <w:szCs w:val="20"/>
              </w:rPr>
              <w:t>Telemetry Offsetting for Provisional Controllable Load Resources</w:t>
            </w:r>
          </w:p>
        </w:tc>
      </w:tr>
      <w:tr w:rsidR="00152993" w14:paraId="08B600C2" w14:textId="77777777">
        <w:trPr>
          <w:trHeight w:val="413"/>
        </w:trPr>
        <w:tc>
          <w:tcPr>
            <w:tcW w:w="28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33D6818" w14:textId="77777777" w:rsidR="00152993" w:rsidRDefault="00152993">
            <w:pPr>
              <w:pStyle w:val="NormalArial"/>
            </w:pPr>
          </w:p>
        </w:tc>
        <w:tc>
          <w:tcPr>
            <w:tcW w:w="75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5CF31CA" w14:textId="77777777" w:rsidR="00152993" w:rsidRDefault="00152993">
            <w:pPr>
              <w:pStyle w:val="NormalArial"/>
            </w:pPr>
          </w:p>
        </w:tc>
      </w:tr>
      <w:tr w:rsidR="00152993" w14:paraId="08F03846" w14:textId="77777777">
        <w:trPr>
          <w:trHeight w:val="440"/>
        </w:trPr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7B4F1" w14:textId="77777777" w:rsidR="00152993" w:rsidRDefault="00152993">
            <w:pPr>
              <w:pStyle w:val="Header"/>
            </w:pPr>
            <w:r>
              <w:t>Date</w:t>
            </w:r>
          </w:p>
        </w:tc>
        <w:tc>
          <w:tcPr>
            <w:tcW w:w="7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570AB" w14:textId="47D58397" w:rsidR="00152993" w:rsidRDefault="000F33AF">
            <w:pPr>
              <w:pStyle w:val="NormalArial"/>
            </w:pPr>
            <w:r w:rsidRPr="000F33AF">
              <w:rPr>
                <w:rFonts w:cs="Arial"/>
              </w:rPr>
              <w:t>October 9, 20</w:t>
            </w:r>
            <w:r w:rsidR="00582992">
              <w:t>26</w:t>
            </w:r>
          </w:p>
        </w:tc>
      </w:tr>
      <w:tr w:rsidR="00152993" w14:paraId="37581423" w14:textId="77777777">
        <w:trPr>
          <w:trHeight w:val="467"/>
        </w:trPr>
        <w:tc>
          <w:tcPr>
            <w:tcW w:w="288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2AB9B58" w14:textId="77777777" w:rsidR="00152993" w:rsidRDefault="00152993">
            <w:pPr>
              <w:pStyle w:val="NormalArial"/>
            </w:pPr>
          </w:p>
        </w:tc>
        <w:tc>
          <w:tcPr>
            <w:tcW w:w="75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731E24" w14:textId="77777777" w:rsidR="00152993" w:rsidRDefault="00152993">
            <w:pPr>
              <w:pStyle w:val="NormalArial"/>
            </w:pPr>
          </w:p>
        </w:tc>
      </w:tr>
      <w:tr w:rsidR="00152993" w14:paraId="05757D2A" w14:textId="77777777">
        <w:trPr>
          <w:trHeight w:val="440"/>
        </w:trPr>
        <w:tc>
          <w:tcPr>
            <w:tcW w:w="10440" w:type="dxa"/>
            <w:gridSpan w:val="4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49095101" w14:textId="77777777" w:rsidR="00152993" w:rsidRDefault="00152993">
            <w:pPr>
              <w:pStyle w:val="Header"/>
              <w:jc w:val="center"/>
            </w:pPr>
            <w:r>
              <w:t>Submitter’s Information</w:t>
            </w:r>
          </w:p>
        </w:tc>
      </w:tr>
      <w:tr w:rsidR="00152993" w14:paraId="5F23B8CE" w14:textId="77777777">
        <w:trPr>
          <w:trHeight w:val="350"/>
        </w:trPr>
        <w:tc>
          <w:tcPr>
            <w:tcW w:w="2880" w:type="dxa"/>
            <w:gridSpan w:val="2"/>
            <w:shd w:val="clear" w:color="auto" w:fill="FFFFFF"/>
            <w:vAlign w:val="center"/>
          </w:tcPr>
          <w:p w14:paraId="074F7A05" w14:textId="77777777" w:rsidR="00152993" w:rsidRPr="00EC55B3" w:rsidRDefault="00152993" w:rsidP="00EC55B3">
            <w:pPr>
              <w:pStyle w:val="Header"/>
            </w:pPr>
            <w:r w:rsidRPr="00EC55B3">
              <w:t>Name</w:t>
            </w:r>
          </w:p>
        </w:tc>
        <w:tc>
          <w:tcPr>
            <w:tcW w:w="7560" w:type="dxa"/>
            <w:gridSpan w:val="2"/>
            <w:vAlign w:val="center"/>
          </w:tcPr>
          <w:p w14:paraId="0F08C96B" w14:textId="78480511" w:rsidR="00152993" w:rsidRDefault="00582992">
            <w:pPr>
              <w:pStyle w:val="NormalArial"/>
            </w:pPr>
            <w:r>
              <w:t>Matthew Crosby</w:t>
            </w:r>
            <w:r w:rsidR="002C348A">
              <w:t xml:space="preserve"> / Andres Maynez</w:t>
            </w:r>
          </w:p>
        </w:tc>
      </w:tr>
      <w:tr w:rsidR="00152993" w14:paraId="314CD34D" w14:textId="77777777">
        <w:trPr>
          <w:trHeight w:val="350"/>
        </w:trPr>
        <w:tc>
          <w:tcPr>
            <w:tcW w:w="2880" w:type="dxa"/>
            <w:gridSpan w:val="2"/>
            <w:shd w:val="clear" w:color="auto" w:fill="FFFFFF"/>
            <w:vAlign w:val="center"/>
          </w:tcPr>
          <w:p w14:paraId="787593BE" w14:textId="77777777" w:rsidR="00152993" w:rsidRPr="00EC55B3" w:rsidRDefault="00152993" w:rsidP="00EC55B3">
            <w:pPr>
              <w:pStyle w:val="Header"/>
            </w:pPr>
            <w:r w:rsidRPr="00EC55B3">
              <w:t>E-mail Address</w:t>
            </w:r>
          </w:p>
        </w:tc>
        <w:tc>
          <w:tcPr>
            <w:tcW w:w="7560" w:type="dxa"/>
            <w:gridSpan w:val="2"/>
            <w:vAlign w:val="center"/>
          </w:tcPr>
          <w:p w14:paraId="51B1E937" w14:textId="04D6414A" w:rsidR="00152993" w:rsidRDefault="00582992">
            <w:pPr>
              <w:pStyle w:val="NormalArial"/>
            </w:pPr>
            <w:hyperlink r:id="rId11" w:history="1">
              <w:r w:rsidRPr="00960BED">
                <w:rPr>
                  <w:rStyle w:val="Hyperlink"/>
                </w:rPr>
                <w:t>Matthew.crosby@cypresscreekenergy.com</w:t>
              </w:r>
            </w:hyperlink>
            <w:r w:rsidR="000F33AF">
              <w:t xml:space="preserve"> / </w:t>
            </w:r>
            <w:hyperlink r:id="rId12" w:history="1">
              <w:r w:rsidR="000F33AF" w:rsidRPr="00960BED">
                <w:rPr>
                  <w:rStyle w:val="Hyperlink"/>
                </w:rPr>
                <w:t>Andres.maynez@cypresscreekenergy.com</w:t>
              </w:r>
            </w:hyperlink>
            <w:r w:rsidR="000F33AF">
              <w:t xml:space="preserve"> </w:t>
            </w:r>
          </w:p>
        </w:tc>
      </w:tr>
      <w:tr w:rsidR="00152993" w14:paraId="16B4F89C" w14:textId="77777777">
        <w:trPr>
          <w:trHeight w:val="350"/>
        </w:trPr>
        <w:tc>
          <w:tcPr>
            <w:tcW w:w="2880" w:type="dxa"/>
            <w:gridSpan w:val="2"/>
            <w:shd w:val="clear" w:color="auto" w:fill="FFFFFF"/>
            <w:vAlign w:val="center"/>
          </w:tcPr>
          <w:p w14:paraId="6B52EF29" w14:textId="77777777" w:rsidR="00152993" w:rsidRPr="00EC55B3" w:rsidRDefault="00152993" w:rsidP="00EC55B3">
            <w:pPr>
              <w:pStyle w:val="Header"/>
            </w:pPr>
            <w:r w:rsidRPr="00EC55B3">
              <w:t>Company</w:t>
            </w:r>
          </w:p>
        </w:tc>
        <w:tc>
          <w:tcPr>
            <w:tcW w:w="7560" w:type="dxa"/>
            <w:gridSpan w:val="2"/>
            <w:vAlign w:val="center"/>
          </w:tcPr>
          <w:p w14:paraId="67ADEEF4" w14:textId="01AF5F4D" w:rsidR="00152993" w:rsidRDefault="00582992">
            <w:pPr>
              <w:pStyle w:val="NormalArial"/>
            </w:pPr>
            <w:r>
              <w:t>Cypress Creek Energy</w:t>
            </w:r>
          </w:p>
        </w:tc>
      </w:tr>
      <w:tr w:rsidR="00152993" w14:paraId="0673974C" w14:textId="77777777">
        <w:trPr>
          <w:trHeight w:val="350"/>
        </w:trPr>
        <w:tc>
          <w:tcPr>
            <w:tcW w:w="2880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7B236B7" w14:textId="77777777" w:rsidR="00152993" w:rsidRPr="00EC55B3" w:rsidRDefault="00152993" w:rsidP="00EC55B3">
            <w:pPr>
              <w:pStyle w:val="Header"/>
            </w:pPr>
            <w:r w:rsidRPr="00EC55B3">
              <w:t>Phone Number</w:t>
            </w:r>
          </w:p>
        </w:tc>
        <w:tc>
          <w:tcPr>
            <w:tcW w:w="7560" w:type="dxa"/>
            <w:gridSpan w:val="2"/>
            <w:tcBorders>
              <w:bottom w:val="single" w:sz="4" w:space="0" w:color="auto"/>
            </w:tcBorders>
            <w:vAlign w:val="center"/>
          </w:tcPr>
          <w:p w14:paraId="4AE9CD3E" w14:textId="6A0FE2D6" w:rsidR="00152993" w:rsidRDefault="00582992">
            <w:pPr>
              <w:pStyle w:val="NormalArial"/>
            </w:pPr>
            <w:r w:rsidRPr="00582992">
              <w:t>919-240-4815</w:t>
            </w:r>
          </w:p>
        </w:tc>
      </w:tr>
      <w:tr w:rsidR="00152993" w14:paraId="4DE195FE" w14:textId="77777777">
        <w:trPr>
          <w:trHeight w:val="350"/>
        </w:trPr>
        <w:tc>
          <w:tcPr>
            <w:tcW w:w="2880" w:type="dxa"/>
            <w:gridSpan w:val="2"/>
            <w:shd w:val="clear" w:color="auto" w:fill="FFFFFF"/>
            <w:vAlign w:val="center"/>
          </w:tcPr>
          <w:p w14:paraId="1B7FF4EF" w14:textId="77777777" w:rsidR="00152993" w:rsidRPr="00EC55B3" w:rsidRDefault="00075A94" w:rsidP="00EC55B3">
            <w:pPr>
              <w:pStyle w:val="Header"/>
            </w:pPr>
            <w:r>
              <w:t>Cell</w:t>
            </w:r>
            <w:r w:rsidRPr="00EC55B3">
              <w:t xml:space="preserve"> </w:t>
            </w:r>
            <w:r w:rsidR="00152993" w:rsidRPr="00EC55B3">
              <w:t>Number</w:t>
            </w:r>
          </w:p>
        </w:tc>
        <w:tc>
          <w:tcPr>
            <w:tcW w:w="7560" w:type="dxa"/>
            <w:gridSpan w:val="2"/>
            <w:vAlign w:val="center"/>
          </w:tcPr>
          <w:p w14:paraId="16E442C1" w14:textId="77777777" w:rsidR="00152993" w:rsidRDefault="00152993">
            <w:pPr>
              <w:pStyle w:val="NormalArial"/>
            </w:pPr>
          </w:p>
        </w:tc>
      </w:tr>
      <w:tr w:rsidR="00075A94" w14:paraId="28B929D1" w14:textId="77777777">
        <w:trPr>
          <w:trHeight w:val="350"/>
        </w:trPr>
        <w:tc>
          <w:tcPr>
            <w:tcW w:w="2880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2440DBC" w14:textId="77777777" w:rsidR="00075A94" w:rsidRPr="00EC55B3" w:rsidDel="00075A94" w:rsidRDefault="00075A94" w:rsidP="00EC55B3">
            <w:pPr>
              <w:pStyle w:val="Header"/>
            </w:pPr>
            <w:r>
              <w:t>Market Segment</w:t>
            </w:r>
          </w:p>
        </w:tc>
        <w:tc>
          <w:tcPr>
            <w:tcW w:w="7560" w:type="dxa"/>
            <w:gridSpan w:val="2"/>
            <w:tcBorders>
              <w:bottom w:val="single" w:sz="4" w:space="0" w:color="auto"/>
            </w:tcBorders>
            <w:vAlign w:val="center"/>
          </w:tcPr>
          <w:p w14:paraId="67CFC4AE" w14:textId="4B67BA4A" w:rsidR="00075A94" w:rsidRPr="00582992" w:rsidRDefault="002E2919">
            <w:pPr>
              <w:pStyle w:val="NormalArial"/>
            </w:pPr>
            <w:r w:rsidRPr="00582992">
              <w:rPr>
                <w:szCs w:val="20"/>
              </w:rPr>
              <w:t>Independent Generator</w:t>
            </w:r>
          </w:p>
        </w:tc>
      </w:tr>
    </w:tbl>
    <w:p w14:paraId="62861243" w14:textId="77777777" w:rsidR="00152993" w:rsidRDefault="00152993">
      <w:pPr>
        <w:pStyle w:val="NormalArial"/>
      </w:pPr>
    </w:p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440"/>
      </w:tblGrid>
      <w:tr w:rsidR="001F6D91" w14:paraId="0B397812" w14:textId="77777777" w:rsidTr="00273CB7">
        <w:trPr>
          <w:trHeight w:val="350"/>
        </w:trPr>
        <w:tc>
          <w:tcPr>
            <w:tcW w:w="1044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EE751C9" w14:textId="01DC96DF" w:rsidR="001F6D91" w:rsidRDefault="001F6D91" w:rsidP="00273CB7">
            <w:pPr>
              <w:pStyle w:val="Header"/>
              <w:jc w:val="center"/>
            </w:pPr>
            <w:r>
              <w:t>Comments</w:t>
            </w:r>
          </w:p>
        </w:tc>
      </w:tr>
    </w:tbl>
    <w:p w14:paraId="1317A06F" w14:textId="60F8DF36" w:rsidR="002C348A" w:rsidRPr="001F6D91" w:rsidRDefault="00F838EC" w:rsidP="001F6D91">
      <w:pPr>
        <w:spacing w:before="120" w:after="120"/>
        <w:rPr>
          <w:rFonts w:ascii="Arial" w:hAnsi="Arial" w:cs="Arial"/>
          <w:szCs w:val="20"/>
        </w:rPr>
      </w:pPr>
      <w:r w:rsidRPr="001F6D91">
        <w:rPr>
          <w:rFonts w:ascii="Arial" w:hAnsi="Arial" w:cs="Arial"/>
          <w:szCs w:val="20"/>
        </w:rPr>
        <w:t>Cypress Creek Energy</w:t>
      </w:r>
      <w:r w:rsidR="00582992" w:rsidRPr="001F6D91">
        <w:rPr>
          <w:rFonts w:ascii="Arial" w:hAnsi="Arial" w:cs="Arial"/>
          <w:szCs w:val="20"/>
        </w:rPr>
        <w:t xml:space="preserve">, </w:t>
      </w:r>
      <w:r w:rsidR="006868EA" w:rsidRPr="001F6D91">
        <w:rPr>
          <w:rFonts w:ascii="Arial" w:hAnsi="Arial" w:cs="Arial"/>
          <w:szCs w:val="20"/>
        </w:rPr>
        <w:t>acting</w:t>
      </w:r>
      <w:r w:rsidR="00582992" w:rsidRPr="001F6D91">
        <w:rPr>
          <w:rFonts w:ascii="Arial" w:hAnsi="Arial" w:cs="Arial"/>
          <w:szCs w:val="20"/>
        </w:rPr>
        <w:t xml:space="preserve"> as both an Independent Generator and an</w:t>
      </w:r>
      <w:r w:rsidRPr="001F6D91">
        <w:rPr>
          <w:rFonts w:ascii="Arial" w:hAnsi="Arial" w:cs="Arial"/>
          <w:szCs w:val="20"/>
        </w:rPr>
        <w:t xml:space="preserve"> </w:t>
      </w:r>
      <w:r w:rsidR="00582992" w:rsidRPr="001F6D91">
        <w:rPr>
          <w:rFonts w:ascii="Arial" w:hAnsi="Arial" w:cs="Arial"/>
          <w:szCs w:val="20"/>
        </w:rPr>
        <w:t>Interconnecting Large Load Entity</w:t>
      </w:r>
      <w:r w:rsidR="002C348A" w:rsidRPr="001F6D91">
        <w:rPr>
          <w:rFonts w:ascii="Arial" w:hAnsi="Arial" w:cs="Arial"/>
          <w:szCs w:val="20"/>
        </w:rPr>
        <w:t xml:space="preserve"> </w:t>
      </w:r>
      <w:r w:rsidR="000F33AF" w:rsidRPr="001F6D91">
        <w:rPr>
          <w:rFonts w:ascii="Arial" w:hAnsi="Arial" w:cs="Arial"/>
          <w:szCs w:val="20"/>
        </w:rPr>
        <w:t xml:space="preserve">(ILLE) </w:t>
      </w:r>
      <w:r w:rsidR="002C348A" w:rsidRPr="001F6D91">
        <w:rPr>
          <w:rFonts w:ascii="Arial" w:hAnsi="Arial" w:cs="Arial"/>
          <w:szCs w:val="20"/>
        </w:rPr>
        <w:t>in ERCOT</w:t>
      </w:r>
      <w:r w:rsidR="00582992" w:rsidRPr="001F6D91">
        <w:rPr>
          <w:rFonts w:ascii="Arial" w:hAnsi="Arial" w:cs="Arial"/>
          <w:szCs w:val="20"/>
        </w:rPr>
        <w:t>,</w:t>
      </w:r>
      <w:r w:rsidRPr="001F6D91">
        <w:rPr>
          <w:rFonts w:ascii="Arial" w:hAnsi="Arial" w:cs="Arial"/>
          <w:szCs w:val="20"/>
        </w:rPr>
        <w:t xml:space="preserve"> </w:t>
      </w:r>
      <w:r w:rsidR="00106F0E" w:rsidRPr="001F6D91">
        <w:rPr>
          <w:rFonts w:ascii="Arial" w:hAnsi="Arial" w:cs="Arial"/>
          <w:b/>
          <w:bCs/>
          <w:szCs w:val="20"/>
        </w:rPr>
        <w:t>SUPPORTS</w:t>
      </w:r>
      <w:r w:rsidR="00106F0E" w:rsidRPr="001F6D91">
        <w:rPr>
          <w:rFonts w:ascii="Arial" w:hAnsi="Arial" w:cs="Arial"/>
          <w:szCs w:val="20"/>
        </w:rPr>
        <w:t xml:space="preserve"> </w:t>
      </w:r>
      <w:r w:rsidR="001F6D91">
        <w:rPr>
          <w:rFonts w:ascii="Arial" w:hAnsi="Arial" w:cs="Arial"/>
          <w:szCs w:val="20"/>
        </w:rPr>
        <w:t>Nodal Protocol Revision Request (</w:t>
      </w:r>
      <w:r w:rsidR="00106F0E" w:rsidRPr="001F6D91">
        <w:rPr>
          <w:rFonts w:ascii="Arial" w:hAnsi="Arial" w:cs="Arial"/>
          <w:szCs w:val="20"/>
        </w:rPr>
        <w:t>NPRR</w:t>
      </w:r>
      <w:r w:rsidR="001F6D91">
        <w:rPr>
          <w:rFonts w:ascii="Arial" w:hAnsi="Arial" w:cs="Arial"/>
          <w:szCs w:val="20"/>
        </w:rPr>
        <w:t xml:space="preserve">) </w:t>
      </w:r>
      <w:r w:rsidR="00106F0E" w:rsidRPr="001F6D91">
        <w:rPr>
          <w:rFonts w:ascii="Arial" w:hAnsi="Arial" w:cs="Arial"/>
          <w:szCs w:val="20"/>
        </w:rPr>
        <w:t xml:space="preserve">1348. </w:t>
      </w:r>
    </w:p>
    <w:p w14:paraId="6A857809" w14:textId="70745A7E" w:rsidR="00106F0E" w:rsidRPr="001F6D91" w:rsidRDefault="00106F0E" w:rsidP="001F6D91">
      <w:pPr>
        <w:spacing w:before="120" w:after="120"/>
        <w:rPr>
          <w:rFonts w:ascii="Arial" w:hAnsi="Arial" w:cs="Arial"/>
          <w:szCs w:val="20"/>
        </w:rPr>
      </w:pPr>
      <w:r w:rsidRPr="001F6D91">
        <w:rPr>
          <w:rFonts w:ascii="Arial" w:hAnsi="Arial" w:cs="Arial"/>
          <w:szCs w:val="20"/>
        </w:rPr>
        <w:t xml:space="preserve">Accelerating </w:t>
      </w:r>
      <w:r w:rsidR="001F6D91">
        <w:rPr>
          <w:rFonts w:ascii="Arial" w:hAnsi="Arial" w:cs="Arial"/>
          <w:szCs w:val="20"/>
        </w:rPr>
        <w:t>L</w:t>
      </w:r>
      <w:r w:rsidRPr="001F6D91">
        <w:rPr>
          <w:rFonts w:ascii="Arial" w:hAnsi="Arial" w:cs="Arial"/>
          <w:szCs w:val="20"/>
        </w:rPr>
        <w:t xml:space="preserve">arge </w:t>
      </w:r>
      <w:r w:rsidR="001F6D91">
        <w:rPr>
          <w:rFonts w:ascii="Arial" w:hAnsi="Arial" w:cs="Arial"/>
          <w:szCs w:val="20"/>
        </w:rPr>
        <w:t>L</w:t>
      </w:r>
      <w:r w:rsidRPr="001F6D91">
        <w:rPr>
          <w:rFonts w:ascii="Arial" w:hAnsi="Arial" w:cs="Arial"/>
          <w:szCs w:val="20"/>
        </w:rPr>
        <w:t>oad interconnections while ensuring grid reliability requires market-native tools that bring net-new, privately funded generation online alongside flexible demand.</w:t>
      </w:r>
      <w:r w:rsidR="002C348A" w:rsidRPr="001F6D91">
        <w:rPr>
          <w:rFonts w:ascii="Arial" w:hAnsi="Arial" w:cs="Arial"/>
          <w:szCs w:val="20"/>
        </w:rPr>
        <w:t xml:space="preserve"> </w:t>
      </w:r>
      <w:r w:rsidR="001046CF" w:rsidRPr="001F6D91">
        <w:rPr>
          <w:rFonts w:ascii="Arial" w:hAnsi="Arial" w:cs="Arial"/>
          <w:szCs w:val="20"/>
        </w:rPr>
        <w:t>Requests for firm transmission service in Batch 0 and later batches are likely to exceed the firm transmission capacity available</w:t>
      </w:r>
      <w:r w:rsidR="00EA27D6" w:rsidRPr="001F6D91">
        <w:rPr>
          <w:rFonts w:ascii="Arial" w:hAnsi="Arial" w:cs="Arial"/>
          <w:szCs w:val="20"/>
        </w:rPr>
        <w:t xml:space="preserve"> in ERCOT</w:t>
      </w:r>
      <w:r w:rsidR="002C348A" w:rsidRPr="001F6D91">
        <w:rPr>
          <w:rFonts w:ascii="Arial" w:hAnsi="Arial" w:cs="Arial"/>
          <w:szCs w:val="20"/>
        </w:rPr>
        <w:t xml:space="preserve"> </w:t>
      </w:r>
      <w:r w:rsidR="00F42300" w:rsidRPr="001F6D91">
        <w:rPr>
          <w:rFonts w:ascii="Arial" w:hAnsi="Arial" w:cs="Arial"/>
          <w:szCs w:val="20"/>
        </w:rPr>
        <w:t xml:space="preserve">on a </w:t>
      </w:r>
      <w:r w:rsidR="002C348A" w:rsidRPr="001F6D91">
        <w:rPr>
          <w:rFonts w:ascii="Arial" w:hAnsi="Arial" w:cs="Arial"/>
          <w:szCs w:val="20"/>
        </w:rPr>
        <w:t>commercially attractive timeline</w:t>
      </w:r>
      <w:r w:rsidR="001046CF" w:rsidRPr="001F6D91">
        <w:rPr>
          <w:rFonts w:ascii="Arial" w:hAnsi="Arial" w:cs="Arial"/>
          <w:szCs w:val="20"/>
        </w:rPr>
        <w:t xml:space="preserve">. Attracting ILLEs that can energize faster using Bring Your Own Generation (BYOG) constructs requires a commercially viable </w:t>
      </w:r>
      <w:r w:rsidR="009414E8" w:rsidRPr="001F6D91">
        <w:rPr>
          <w:rFonts w:ascii="Arial" w:hAnsi="Arial" w:cs="Arial"/>
          <w:szCs w:val="20"/>
        </w:rPr>
        <w:t>protocol</w:t>
      </w:r>
      <w:r w:rsidR="002C348A" w:rsidRPr="001F6D91">
        <w:rPr>
          <w:rFonts w:ascii="Arial" w:hAnsi="Arial" w:cs="Arial"/>
          <w:szCs w:val="20"/>
        </w:rPr>
        <w:t xml:space="preserve"> to manage </w:t>
      </w:r>
      <w:r w:rsidR="000F33AF" w:rsidRPr="001F6D91">
        <w:rPr>
          <w:rFonts w:ascii="Arial" w:hAnsi="Arial" w:cs="Arial"/>
          <w:szCs w:val="20"/>
        </w:rPr>
        <w:t>Provisional Controllable Load Resources (PCLRs)</w:t>
      </w:r>
      <w:r w:rsidR="001046CF" w:rsidRPr="001F6D91">
        <w:rPr>
          <w:rFonts w:ascii="Arial" w:hAnsi="Arial" w:cs="Arial"/>
          <w:szCs w:val="20"/>
        </w:rPr>
        <w:t>, which</w:t>
      </w:r>
      <w:r w:rsidR="00F42300" w:rsidRPr="001F6D91">
        <w:rPr>
          <w:rFonts w:ascii="Arial" w:hAnsi="Arial" w:cs="Arial"/>
          <w:szCs w:val="20"/>
        </w:rPr>
        <w:t xml:space="preserve"> this NPRR </w:t>
      </w:r>
      <w:r w:rsidR="001046CF" w:rsidRPr="001F6D91">
        <w:rPr>
          <w:rFonts w:ascii="Arial" w:hAnsi="Arial" w:cs="Arial"/>
          <w:szCs w:val="20"/>
        </w:rPr>
        <w:t>provide</w:t>
      </w:r>
      <w:r w:rsidR="00F42300" w:rsidRPr="001F6D91">
        <w:rPr>
          <w:rFonts w:ascii="Arial" w:hAnsi="Arial" w:cs="Arial"/>
          <w:szCs w:val="20"/>
        </w:rPr>
        <w:t>s</w:t>
      </w:r>
      <w:r w:rsidR="002C348A" w:rsidRPr="001F6D91">
        <w:rPr>
          <w:rFonts w:ascii="Arial" w:hAnsi="Arial" w:cs="Arial"/>
          <w:szCs w:val="20"/>
        </w:rPr>
        <w:t>.</w:t>
      </w:r>
    </w:p>
    <w:p w14:paraId="1D5AD321" w14:textId="3E123DF8" w:rsidR="00106F0E" w:rsidRPr="001F6D91" w:rsidRDefault="00106F0E" w:rsidP="001F6D91">
      <w:pPr>
        <w:spacing w:before="120" w:after="120"/>
        <w:rPr>
          <w:rFonts w:ascii="Arial" w:hAnsi="Arial" w:cs="Arial"/>
          <w:szCs w:val="20"/>
        </w:rPr>
      </w:pPr>
      <w:r w:rsidRPr="001F6D91">
        <w:rPr>
          <w:rFonts w:ascii="Arial" w:hAnsi="Arial" w:cs="Arial"/>
          <w:szCs w:val="20"/>
        </w:rPr>
        <w:t xml:space="preserve">NPRR1348 </w:t>
      </w:r>
      <w:r w:rsidR="009414E8" w:rsidRPr="001F6D91">
        <w:rPr>
          <w:rFonts w:ascii="Arial" w:hAnsi="Arial" w:cs="Arial"/>
          <w:szCs w:val="20"/>
        </w:rPr>
        <w:t>establishes</w:t>
      </w:r>
      <w:r w:rsidRPr="001F6D91">
        <w:rPr>
          <w:rFonts w:ascii="Arial" w:hAnsi="Arial" w:cs="Arial"/>
          <w:szCs w:val="20"/>
        </w:rPr>
        <w:t xml:space="preserve"> a clear, software-defined protocol for </w:t>
      </w:r>
      <w:r w:rsidRPr="001F6D91">
        <w:rPr>
          <w:rFonts w:ascii="Arial" w:hAnsi="Arial" w:cs="Arial"/>
          <w:b/>
          <w:bCs/>
          <w:szCs w:val="20"/>
        </w:rPr>
        <w:t>Telemetry Offsetting</w:t>
      </w:r>
      <w:r w:rsidRPr="001F6D91">
        <w:rPr>
          <w:rFonts w:ascii="Arial" w:hAnsi="Arial" w:cs="Arial"/>
          <w:szCs w:val="20"/>
        </w:rPr>
        <w:t>. By permitting a Qualified Scheduling Entity (QSE) to dynamically adjust a P</w:t>
      </w:r>
      <w:r w:rsidR="000F33AF" w:rsidRPr="001F6D91">
        <w:rPr>
          <w:rFonts w:ascii="Arial" w:hAnsi="Arial" w:cs="Arial"/>
          <w:szCs w:val="20"/>
        </w:rPr>
        <w:t>CLR</w:t>
      </w:r>
      <w:r w:rsidR="006868EA" w:rsidRPr="001F6D91">
        <w:rPr>
          <w:rFonts w:ascii="Arial" w:hAnsi="Arial" w:cs="Arial"/>
          <w:szCs w:val="20"/>
        </w:rPr>
        <w:t>’</w:t>
      </w:r>
      <w:r w:rsidRPr="001F6D91">
        <w:rPr>
          <w:rFonts w:ascii="Arial" w:hAnsi="Arial" w:cs="Arial"/>
          <w:szCs w:val="20"/>
        </w:rPr>
        <w:t xml:space="preserve">s Low Power Consumption (LPC) limit to match the </w:t>
      </w:r>
      <w:r w:rsidR="001F6D91">
        <w:rPr>
          <w:rFonts w:ascii="Arial" w:hAnsi="Arial" w:cs="Arial"/>
          <w:szCs w:val="20"/>
        </w:rPr>
        <w:t>R</w:t>
      </w:r>
      <w:r w:rsidRPr="001F6D91">
        <w:rPr>
          <w:rFonts w:ascii="Arial" w:hAnsi="Arial" w:cs="Arial"/>
          <w:szCs w:val="20"/>
        </w:rPr>
        <w:t>eal-</w:t>
      </w:r>
      <w:r w:rsidR="001F6D91">
        <w:rPr>
          <w:rFonts w:ascii="Arial" w:hAnsi="Arial" w:cs="Arial"/>
          <w:szCs w:val="20"/>
        </w:rPr>
        <w:t>T</w:t>
      </w:r>
      <w:r w:rsidRPr="001F6D91">
        <w:rPr>
          <w:rFonts w:ascii="Arial" w:hAnsi="Arial" w:cs="Arial"/>
          <w:szCs w:val="20"/>
        </w:rPr>
        <w:t xml:space="preserve">ime availability of an equivalently offsetting dispatchable </w:t>
      </w:r>
      <w:r w:rsidR="001F6D91">
        <w:rPr>
          <w:rFonts w:ascii="Arial" w:hAnsi="Arial" w:cs="Arial"/>
          <w:szCs w:val="20"/>
        </w:rPr>
        <w:t>R</w:t>
      </w:r>
      <w:r w:rsidRPr="001F6D91">
        <w:rPr>
          <w:rFonts w:ascii="Arial" w:hAnsi="Arial" w:cs="Arial"/>
          <w:szCs w:val="20"/>
        </w:rPr>
        <w:t xml:space="preserve">esource, NPRR1348 resolves the </w:t>
      </w:r>
      <w:r w:rsidR="006868EA" w:rsidRPr="001F6D91">
        <w:rPr>
          <w:rFonts w:ascii="Arial" w:hAnsi="Arial" w:cs="Arial"/>
          <w:szCs w:val="20"/>
        </w:rPr>
        <w:t>“attribution gap”</w:t>
      </w:r>
      <w:r w:rsidRPr="001F6D91">
        <w:rPr>
          <w:rFonts w:ascii="Arial" w:hAnsi="Arial" w:cs="Arial"/>
          <w:szCs w:val="20"/>
        </w:rPr>
        <w:t xml:space="preserve"> without compromising grid operations.</w:t>
      </w:r>
    </w:p>
    <w:p w14:paraId="40625502" w14:textId="1C60A468" w:rsidR="00106F0E" w:rsidRPr="001F6D91" w:rsidRDefault="00106F0E" w:rsidP="001F6D91">
      <w:pPr>
        <w:spacing w:before="120" w:after="120"/>
        <w:rPr>
          <w:rFonts w:ascii="Arial" w:hAnsi="Arial" w:cs="Arial"/>
          <w:b/>
          <w:bCs/>
          <w:szCs w:val="20"/>
        </w:rPr>
      </w:pPr>
      <w:r w:rsidRPr="001F6D91">
        <w:rPr>
          <w:rFonts w:ascii="Arial" w:hAnsi="Arial" w:cs="Arial"/>
          <w:b/>
          <w:bCs/>
          <w:szCs w:val="20"/>
        </w:rPr>
        <w:t>Key Reasons for Support</w:t>
      </w:r>
    </w:p>
    <w:p w14:paraId="1763F429" w14:textId="77777777" w:rsidR="00106F0E" w:rsidRPr="001F6D91" w:rsidRDefault="00106F0E" w:rsidP="001F6D91">
      <w:pPr>
        <w:numPr>
          <w:ilvl w:val="0"/>
          <w:numId w:val="3"/>
        </w:numPr>
        <w:spacing w:before="120" w:after="120" w:line="278" w:lineRule="auto"/>
        <w:jc w:val="both"/>
        <w:rPr>
          <w:rFonts w:ascii="Arial" w:hAnsi="Arial" w:cs="Arial"/>
          <w:szCs w:val="20"/>
        </w:rPr>
      </w:pPr>
      <w:r w:rsidRPr="001F6D91">
        <w:rPr>
          <w:rFonts w:ascii="Arial" w:hAnsi="Arial" w:cs="Arial"/>
          <w:b/>
          <w:bCs/>
          <w:szCs w:val="20"/>
        </w:rPr>
        <w:t xml:space="preserve">Incentivizes Net-New Generation: </w:t>
      </w:r>
      <w:r w:rsidRPr="001F6D91">
        <w:rPr>
          <w:rFonts w:ascii="Arial" w:hAnsi="Arial" w:cs="Arial"/>
          <w:szCs w:val="20"/>
        </w:rPr>
        <w:t>A strict 12-month additionality rule ensures flexible loads fund new utility-scale storage and generation.</w:t>
      </w:r>
    </w:p>
    <w:p w14:paraId="709A98D7" w14:textId="4243C6A9" w:rsidR="00106F0E" w:rsidRPr="001F6D91" w:rsidRDefault="00106F0E" w:rsidP="001F6D91">
      <w:pPr>
        <w:numPr>
          <w:ilvl w:val="0"/>
          <w:numId w:val="3"/>
        </w:numPr>
        <w:spacing w:before="120" w:after="120" w:line="278" w:lineRule="auto"/>
        <w:jc w:val="both"/>
        <w:rPr>
          <w:rFonts w:ascii="Arial" w:hAnsi="Arial" w:cs="Arial"/>
          <w:b/>
          <w:bCs/>
          <w:szCs w:val="20"/>
        </w:rPr>
      </w:pPr>
      <w:r w:rsidRPr="001F6D91">
        <w:rPr>
          <w:rFonts w:ascii="Arial" w:hAnsi="Arial" w:cs="Arial"/>
          <w:b/>
          <w:bCs/>
          <w:szCs w:val="20"/>
        </w:rPr>
        <w:t xml:space="preserve">Preserves Scarcity Priority: </w:t>
      </w:r>
      <w:r w:rsidRPr="001F6D91">
        <w:rPr>
          <w:rFonts w:ascii="Arial" w:hAnsi="Arial" w:cs="Arial"/>
          <w:szCs w:val="20"/>
        </w:rPr>
        <w:t xml:space="preserve">During </w:t>
      </w:r>
      <w:r w:rsidR="001F6D91">
        <w:rPr>
          <w:rFonts w:ascii="Arial" w:hAnsi="Arial" w:cs="Arial"/>
          <w:szCs w:val="20"/>
        </w:rPr>
        <w:t>Energy Emergency Alert (</w:t>
      </w:r>
      <w:r w:rsidRPr="001F6D91">
        <w:rPr>
          <w:rFonts w:ascii="Arial" w:hAnsi="Arial" w:cs="Arial"/>
          <w:szCs w:val="20"/>
        </w:rPr>
        <w:t>EEA</w:t>
      </w:r>
      <w:r w:rsidR="001F6D91">
        <w:rPr>
          <w:rFonts w:ascii="Arial" w:hAnsi="Arial" w:cs="Arial"/>
          <w:szCs w:val="20"/>
        </w:rPr>
        <w:t>)</w:t>
      </w:r>
      <w:r w:rsidRPr="001F6D91">
        <w:rPr>
          <w:rFonts w:ascii="Arial" w:hAnsi="Arial" w:cs="Arial"/>
          <w:szCs w:val="20"/>
        </w:rPr>
        <w:t xml:space="preserve"> Level 1+ emergencies, the </w:t>
      </w:r>
      <w:r w:rsidR="000F33AF" w:rsidRPr="001F6D91">
        <w:rPr>
          <w:rFonts w:ascii="Arial" w:hAnsi="Arial" w:cs="Arial"/>
          <w:szCs w:val="20"/>
        </w:rPr>
        <w:t>Telemetry Offsetting adjustment is suspended</w:t>
      </w:r>
      <w:r w:rsidRPr="001F6D91">
        <w:rPr>
          <w:rFonts w:ascii="Arial" w:hAnsi="Arial" w:cs="Arial"/>
          <w:szCs w:val="20"/>
        </w:rPr>
        <w:t>, releasing all capacity to standard SCED emergency dispatch.</w:t>
      </w:r>
    </w:p>
    <w:p w14:paraId="75E66909" w14:textId="46897A41" w:rsidR="00106F0E" w:rsidRPr="001F6D91" w:rsidRDefault="00106F0E" w:rsidP="001F6D91">
      <w:pPr>
        <w:numPr>
          <w:ilvl w:val="0"/>
          <w:numId w:val="3"/>
        </w:numPr>
        <w:spacing w:before="120" w:after="120" w:line="278" w:lineRule="auto"/>
        <w:jc w:val="both"/>
        <w:rPr>
          <w:rFonts w:ascii="Arial" w:hAnsi="Arial" w:cs="Arial"/>
          <w:b/>
          <w:bCs/>
          <w:szCs w:val="20"/>
        </w:rPr>
      </w:pPr>
      <w:r w:rsidRPr="001F6D91">
        <w:rPr>
          <w:rFonts w:ascii="Arial" w:hAnsi="Arial" w:cs="Arial"/>
          <w:b/>
          <w:bCs/>
          <w:szCs w:val="20"/>
        </w:rPr>
        <w:lastRenderedPageBreak/>
        <w:t xml:space="preserve">Configuration-Agnostic: </w:t>
      </w:r>
      <w:r w:rsidRPr="001F6D91">
        <w:rPr>
          <w:rFonts w:ascii="Arial" w:hAnsi="Arial" w:cs="Arial"/>
          <w:szCs w:val="20"/>
        </w:rPr>
        <w:t>Applies uniformly across FTM, BTM, and PUN topologies while preserving ERCOT</w:t>
      </w:r>
      <w:r w:rsidR="006868EA" w:rsidRPr="001F6D91">
        <w:rPr>
          <w:rFonts w:ascii="Arial" w:hAnsi="Arial" w:cs="Arial"/>
          <w:szCs w:val="20"/>
        </w:rPr>
        <w:t>’</w:t>
      </w:r>
      <w:r w:rsidRPr="001F6D91">
        <w:rPr>
          <w:rFonts w:ascii="Arial" w:hAnsi="Arial" w:cs="Arial"/>
          <w:szCs w:val="20"/>
        </w:rPr>
        <w:t>s need for distinct Resource IDs and unblended telemetry.</w:t>
      </w:r>
    </w:p>
    <w:p w14:paraId="5A759F2D" w14:textId="4C83CA01" w:rsidR="005B7CC1" w:rsidRPr="001F6D91" w:rsidRDefault="00106F0E" w:rsidP="001F6D91">
      <w:pPr>
        <w:numPr>
          <w:ilvl w:val="0"/>
          <w:numId w:val="3"/>
        </w:numPr>
        <w:spacing w:before="120" w:after="120" w:line="278" w:lineRule="auto"/>
        <w:jc w:val="both"/>
        <w:rPr>
          <w:rFonts w:ascii="Arial" w:hAnsi="Arial" w:cs="Arial"/>
          <w:szCs w:val="20"/>
        </w:rPr>
      </w:pPr>
      <w:r w:rsidRPr="001F6D91">
        <w:rPr>
          <w:rFonts w:ascii="Arial" w:hAnsi="Arial" w:cs="Arial"/>
          <w:b/>
          <w:bCs/>
          <w:szCs w:val="20"/>
        </w:rPr>
        <w:t xml:space="preserve">No New SCED Engine Logic: </w:t>
      </w:r>
      <w:r w:rsidRPr="001F6D91">
        <w:rPr>
          <w:rFonts w:ascii="Arial" w:hAnsi="Arial" w:cs="Arial"/>
          <w:szCs w:val="20"/>
        </w:rPr>
        <w:t>Operates natively within ERCOT</w:t>
      </w:r>
      <w:r w:rsidR="006868EA" w:rsidRPr="001F6D91">
        <w:rPr>
          <w:rFonts w:ascii="Arial" w:hAnsi="Arial" w:cs="Arial"/>
          <w:szCs w:val="20"/>
        </w:rPr>
        <w:t>’</w:t>
      </w:r>
      <w:r w:rsidRPr="001F6D91">
        <w:rPr>
          <w:rFonts w:ascii="Arial" w:hAnsi="Arial" w:cs="Arial"/>
          <w:szCs w:val="20"/>
        </w:rPr>
        <w:t>s existing dispatch engine, relying on standard post-</w:t>
      </w:r>
      <w:r w:rsidR="000F33AF" w:rsidRPr="001F6D91">
        <w:rPr>
          <w:rFonts w:ascii="Arial" w:hAnsi="Arial" w:cs="Arial"/>
          <w:szCs w:val="20"/>
        </w:rPr>
        <w:t>Operating D</w:t>
      </w:r>
      <w:r w:rsidRPr="001F6D91">
        <w:rPr>
          <w:rFonts w:ascii="Arial" w:hAnsi="Arial" w:cs="Arial"/>
          <w:szCs w:val="20"/>
        </w:rPr>
        <w:t>ay settlement validation.</w:t>
      </w:r>
    </w:p>
    <w:p w14:paraId="31AF7E05" w14:textId="75C60484" w:rsidR="000F33AF" w:rsidRPr="001F6D91" w:rsidRDefault="000F33AF" w:rsidP="001F6D91">
      <w:pPr>
        <w:spacing w:before="120" w:after="120"/>
        <w:jc w:val="both"/>
        <w:rPr>
          <w:rFonts w:ascii="Arial" w:hAnsi="Arial" w:cs="Arial"/>
          <w:b/>
          <w:bCs/>
          <w:szCs w:val="20"/>
        </w:rPr>
      </w:pPr>
      <w:r w:rsidRPr="001F6D91">
        <w:rPr>
          <w:rFonts w:ascii="Arial" w:hAnsi="Arial" w:cs="Arial"/>
          <w:b/>
          <w:bCs/>
          <w:szCs w:val="20"/>
        </w:rPr>
        <w:t>Response to ERCOT’s Request to Table</w:t>
      </w:r>
    </w:p>
    <w:p w14:paraId="06347261" w14:textId="6127995D" w:rsidR="00FC0ADE" w:rsidRPr="001F6D91" w:rsidRDefault="000F33AF" w:rsidP="001F6D91">
      <w:pPr>
        <w:spacing w:before="120" w:after="120"/>
        <w:jc w:val="both"/>
        <w:rPr>
          <w:rFonts w:ascii="Arial" w:hAnsi="Arial" w:cs="Arial"/>
        </w:rPr>
      </w:pPr>
      <w:r w:rsidRPr="001F6D91">
        <w:rPr>
          <w:rFonts w:ascii="Arial" w:hAnsi="Arial" w:cs="Arial"/>
          <w:szCs w:val="20"/>
        </w:rPr>
        <w:t>ERCOT</w:t>
      </w:r>
      <w:r w:rsidR="006868EA" w:rsidRPr="001F6D91">
        <w:rPr>
          <w:rFonts w:ascii="Arial" w:hAnsi="Arial" w:cs="Arial"/>
          <w:szCs w:val="20"/>
        </w:rPr>
        <w:t>’</w:t>
      </w:r>
      <w:r w:rsidRPr="001F6D91">
        <w:rPr>
          <w:rFonts w:ascii="Arial" w:hAnsi="Arial" w:cs="Arial"/>
          <w:szCs w:val="20"/>
        </w:rPr>
        <w:t>s Optional Survey for Batch 1+ and Comprehensive Transmission asked</w:t>
      </w:r>
      <w:r w:rsidR="00FC0ADE" w:rsidRPr="001F6D91">
        <w:rPr>
          <w:rFonts w:ascii="Arial" w:hAnsi="Arial" w:cs="Arial"/>
          <w:szCs w:val="20"/>
        </w:rPr>
        <w:t xml:space="preserve"> stakeholders to select the four highest-priority BYOG enhancements to pursue in the near term for Batch 1 (Question 9). Cypress Creek</w:t>
      </w:r>
      <w:r w:rsidR="006868EA" w:rsidRPr="001F6D91">
        <w:rPr>
          <w:rFonts w:ascii="Arial" w:hAnsi="Arial" w:cs="Arial"/>
          <w:szCs w:val="20"/>
        </w:rPr>
        <w:t>’</w:t>
      </w:r>
      <w:r w:rsidR="00FC0ADE" w:rsidRPr="001F6D91">
        <w:rPr>
          <w:rFonts w:ascii="Arial" w:hAnsi="Arial" w:cs="Arial"/>
          <w:szCs w:val="20"/>
        </w:rPr>
        <w:t>s four selections were:</w:t>
      </w:r>
    </w:p>
    <w:p w14:paraId="25149E06" w14:textId="77777777" w:rsidR="00FC0ADE" w:rsidRPr="001F6D91" w:rsidRDefault="00FC0ADE" w:rsidP="001F6D91">
      <w:pPr>
        <w:numPr>
          <w:ilvl w:val="0"/>
          <w:numId w:val="4"/>
        </w:numPr>
        <w:spacing w:before="120" w:after="120" w:line="278" w:lineRule="auto"/>
        <w:jc w:val="both"/>
        <w:rPr>
          <w:rFonts w:ascii="Arial" w:hAnsi="Arial" w:cs="Arial"/>
        </w:rPr>
      </w:pPr>
      <w:r w:rsidRPr="001F6D91">
        <w:rPr>
          <w:rFonts w:ascii="Arial" w:hAnsi="Arial" w:cs="Arial"/>
          <w:szCs w:val="20"/>
        </w:rPr>
        <w:t>Large Load self-supply outside of Batch (the GINR process)</w:t>
      </w:r>
    </w:p>
    <w:p w14:paraId="22FF1B28" w14:textId="77777777" w:rsidR="00FC0ADE" w:rsidRPr="001F6D91" w:rsidRDefault="00FC0ADE" w:rsidP="001F6D91">
      <w:pPr>
        <w:numPr>
          <w:ilvl w:val="0"/>
          <w:numId w:val="4"/>
        </w:numPr>
        <w:spacing w:before="120" w:after="120" w:line="278" w:lineRule="auto"/>
        <w:jc w:val="both"/>
        <w:rPr>
          <w:rFonts w:ascii="Arial" w:hAnsi="Arial" w:cs="Arial"/>
        </w:rPr>
      </w:pPr>
      <w:r w:rsidRPr="001F6D91">
        <w:rPr>
          <w:rFonts w:ascii="Arial" w:hAnsi="Arial" w:cs="Arial"/>
          <w:szCs w:val="20"/>
        </w:rPr>
        <w:t>BYOG at a different location from the Large Load</w:t>
      </w:r>
    </w:p>
    <w:p w14:paraId="2FC1923E" w14:textId="77777777" w:rsidR="00FC0ADE" w:rsidRPr="001F6D91" w:rsidRDefault="00FC0ADE" w:rsidP="001F6D91">
      <w:pPr>
        <w:numPr>
          <w:ilvl w:val="0"/>
          <w:numId w:val="4"/>
        </w:numPr>
        <w:spacing w:before="120" w:after="120" w:line="278" w:lineRule="auto"/>
        <w:jc w:val="both"/>
        <w:rPr>
          <w:rFonts w:ascii="Arial" w:hAnsi="Arial" w:cs="Arial"/>
        </w:rPr>
      </w:pPr>
      <w:r w:rsidRPr="001F6D91">
        <w:rPr>
          <w:rFonts w:ascii="Arial" w:hAnsi="Arial" w:cs="Arial"/>
          <w:szCs w:val="20"/>
        </w:rPr>
        <w:t>Allow Multiple POIs and/or Customer-owned Substations</w:t>
      </w:r>
    </w:p>
    <w:p w14:paraId="30141DA8" w14:textId="77777777" w:rsidR="00FC0ADE" w:rsidRPr="001F6D91" w:rsidRDefault="00FC0ADE" w:rsidP="001F6D91">
      <w:pPr>
        <w:numPr>
          <w:ilvl w:val="0"/>
          <w:numId w:val="4"/>
        </w:numPr>
        <w:spacing w:before="120" w:after="120" w:line="278" w:lineRule="auto"/>
        <w:jc w:val="both"/>
        <w:rPr>
          <w:rFonts w:ascii="Arial" w:hAnsi="Arial" w:cs="Arial"/>
        </w:rPr>
      </w:pPr>
      <w:r w:rsidRPr="001F6D91">
        <w:rPr>
          <w:rFonts w:ascii="Arial" w:hAnsi="Arial" w:cs="Arial"/>
          <w:szCs w:val="20"/>
        </w:rPr>
        <w:t>Develop rules for using an interconnected battery as part of PCLR</w:t>
      </w:r>
    </w:p>
    <w:p w14:paraId="3B0BAEE8" w14:textId="6C47D42D" w:rsidR="00152993" w:rsidRPr="001F6D91" w:rsidRDefault="00D544D5" w:rsidP="001F6D91">
      <w:pPr>
        <w:spacing w:before="120" w:after="120"/>
        <w:jc w:val="both"/>
        <w:rPr>
          <w:rFonts w:ascii="Arial" w:hAnsi="Arial" w:cs="Arial"/>
        </w:rPr>
      </w:pPr>
      <w:r w:rsidRPr="001F6D91">
        <w:rPr>
          <w:rFonts w:ascii="Arial" w:hAnsi="Arial" w:cs="Arial"/>
        </w:rPr>
        <w:t xml:space="preserve">NPRR1348 directly addresses the last two items and supplies the attributability mechanism that co-located and co-sited BYOG configurations require. Co-sited BYOG configurations that enable PCLRs to firm load with multiple resources </w:t>
      </w:r>
      <w:r w:rsidR="00217D2D" w:rsidRPr="001F6D91">
        <w:rPr>
          <w:rFonts w:ascii="Arial" w:hAnsi="Arial" w:cs="Arial"/>
        </w:rPr>
        <w:t>inter</w:t>
      </w:r>
      <w:r w:rsidRPr="001F6D91">
        <w:rPr>
          <w:rFonts w:ascii="Arial" w:hAnsi="Arial" w:cs="Arial"/>
        </w:rPr>
        <w:t>connected at the same</w:t>
      </w:r>
      <w:r w:rsidR="006A0D3D" w:rsidRPr="001F6D91">
        <w:rPr>
          <w:rFonts w:ascii="Arial" w:hAnsi="Arial" w:cs="Arial"/>
        </w:rPr>
        <w:t xml:space="preserve"> utility</w:t>
      </w:r>
      <w:r w:rsidRPr="001F6D91">
        <w:rPr>
          <w:rFonts w:ascii="Arial" w:hAnsi="Arial" w:cs="Arial"/>
        </w:rPr>
        <w:t xml:space="preserve"> substation should be </w:t>
      </w:r>
      <w:r w:rsidR="00ED2349" w:rsidRPr="001F6D91">
        <w:rPr>
          <w:rFonts w:ascii="Arial" w:hAnsi="Arial" w:cs="Arial"/>
        </w:rPr>
        <w:t>within the</w:t>
      </w:r>
      <w:r w:rsidRPr="001F6D91">
        <w:rPr>
          <w:rFonts w:ascii="Arial" w:hAnsi="Arial" w:cs="Arial"/>
        </w:rPr>
        <w:t xml:space="preserve"> scope of this NPRR.</w:t>
      </w:r>
    </w:p>
    <w:p w14:paraId="4AF9EFAB" w14:textId="2E475F0A" w:rsidR="005B7CC1" w:rsidRPr="001F6D91" w:rsidRDefault="00582992" w:rsidP="001F6D91">
      <w:pPr>
        <w:spacing w:before="120" w:after="120"/>
        <w:jc w:val="both"/>
        <w:rPr>
          <w:rFonts w:ascii="Arial" w:hAnsi="Arial" w:cs="Arial"/>
        </w:rPr>
      </w:pPr>
      <w:r w:rsidRPr="001F6D91">
        <w:rPr>
          <w:rFonts w:ascii="Arial" w:hAnsi="Arial" w:cs="Arial"/>
          <w:szCs w:val="20"/>
        </w:rPr>
        <w:t>ERCOT’s October 6, 2026</w:t>
      </w:r>
      <w:r w:rsidR="002C348A" w:rsidRPr="001F6D91">
        <w:rPr>
          <w:rFonts w:ascii="Arial" w:hAnsi="Arial" w:cs="Arial"/>
          <w:szCs w:val="20"/>
        </w:rPr>
        <w:t>,</w:t>
      </w:r>
      <w:r w:rsidRPr="001F6D91">
        <w:rPr>
          <w:rFonts w:ascii="Arial" w:hAnsi="Arial" w:cs="Arial"/>
          <w:szCs w:val="20"/>
        </w:rPr>
        <w:t xml:space="preserve"> comments on this NPRR </w:t>
      </w:r>
      <w:r w:rsidR="000F33AF" w:rsidRPr="001F6D91">
        <w:rPr>
          <w:rFonts w:ascii="Arial" w:hAnsi="Arial" w:cs="Arial"/>
          <w:szCs w:val="20"/>
        </w:rPr>
        <w:t>cite the Optional Survey for</w:t>
      </w:r>
      <w:r w:rsidR="002C348A" w:rsidRPr="001F6D91">
        <w:rPr>
          <w:rFonts w:ascii="Arial" w:hAnsi="Arial" w:cs="Arial"/>
          <w:szCs w:val="20"/>
        </w:rPr>
        <w:t xml:space="preserve"> Batch 1+ </w:t>
      </w:r>
      <w:r w:rsidR="000F33AF" w:rsidRPr="001F6D91">
        <w:rPr>
          <w:rFonts w:ascii="Arial" w:hAnsi="Arial" w:cs="Arial"/>
          <w:szCs w:val="20"/>
        </w:rPr>
        <w:t xml:space="preserve">and Comprehensive Transmission </w:t>
      </w:r>
      <w:r w:rsidR="002C348A" w:rsidRPr="001F6D91">
        <w:rPr>
          <w:rFonts w:ascii="Arial" w:hAnsi="Arial" w:cs="Arial"/>
          <w:szCs w:val="20"/>
        </w:rPr>
        <w:t>as justification for tabling</w:t>
      </w:r>
      <w:r w:rsidR="000F33AF" w:rsidRPr="001F6D91">
        <w:rPr>
          <w:rFonts w:ascii="Arial" w:hAnsi="Arial" w:cs="Arial"/>
          <w:szCs w:val="20"/>
        </w:rPr>
        <w:t xml:space="preserve"> this topic</w:t>
      </w:r>
      <w:r w:rsidR="002C348A" w:rsidRPr="001F6D91">
        <w:rPr>
          <w:rFonts w:ascii="Arial" w:hAnsi="Arial" w:cs="Arial"/>
          <w:szCs w:val="20"/>
        </w:rPr>
        <w:t xml:space="preserve">. </w:t>
      </w:r>
      <w:r w:rsidR="000F33AF" w:rsidRPr="001F6D91">
        <w:rPr>
          <w:rFonts w:ascii="Arial" w:hAnsi="Arial" w:cs="Arial"/>
          <w:szCs w:val="20"/>
        </w:rPr>
        <w:t xml:space="preserve">Yet the survey itself lists “Develop rules for using an interconnected battery as part of PCLR” as a candidate near-term enhancement, which is precisely what NPRR1348 </w:t>
      </w:r>
      <w:r w:rsidR="00165489" w:rsidRPr="001F6D91">
        <w:rPr>
          <w:rFonts w:ascii="Arial" w:hAnsi="Arial" w:cs="Arial"/>
          <w:szCs w:val="20"/>
        </w:rPr>
        <w:t>considers</w:t>
      </w:r>
      <w:r w:rsidR="000F33AF" w:rsidRPr="001F6D91">
        <w:rPr>
          <w:rFonts w:ascii="Arial" w:hAnsi="Arial" w:cs="Arial"/>
          <w:szCs w:val="20"/>
        </w:rPr>
        <w:t>. Because NPRR1348 already provides a developed framework for that topic, the survey is a reason to advance this NPRR, not to</w:t>
      </w:r>
      <w:r w:rsidR="002C348A" w:rsidRPr="001F6D91">
        <w:rPr>
          <w:rFonts w:ascii="Arial" w:hAnsi="Arial" w:cs="Arial"/>
          <w:szCs w:val="20"/>
        </w:rPr>
        <w:t xml:space="preserve"> table it.</w:t>
      </w:r>
    </w:p>
    <w:p w14:paraId="27F00B4C" w14:textId="2FE37953" w:rsidR="00BD7258" w:rsidRPr="001F6D91" w:rsidRDefault="00106F0E" w:rsidP="001F6D91">
      <w:pPr>
        <w:spacing w:before="120" w:after="120" w:line="278" w:lineRule="auto"/>
        <w:jc w:val="both"/>
        <w:rPr>
          <w:rFonts w:ascii="Arial" w:hAnsi="Arial" w:cs="Arial"/>
          <w:szCs w:val="20"/>
        </w:rPr>
      </w:pPr>
      <w:r w:rsidRPr="001F6D91">
        <w:rPr>
          <w:rFonts w:ascii="Arial" w:hAnsi="Arial" w:cs="Arial"/>
          <w:b/>
          <w:bCs/>
          <w:szCs w:val="20"/>
        </w:rPr>
        <w:t xml:space="preserve">Conclusion &amp; Recommendation: </w:t>
      </w:r>
      <w:r w:rsidRPr="001F6D91">
        <w:rPr>
          <w:rFonts w:ascii="Arial" w:hAnsi="Arial" w:cs="Arial"/>
          <w:szCs w:val="20"/>
        </w:rPr>
        <w:t xml:space="preserve">NPRR1348 turns load curtailment into a defined, grid-friendly operational framework. </w:t>
      </w:r>
      <w:r w:rsidR="005B7CC1" w:rsidRPr="001F6D91">
        <w:rPr>
          <w:rFonts w:ascii="Arial" w:hAnsi="Arial" w:cs="Arial"/>
          <w:szCs w:val="20"/>
        </w:rPr>
        <w:t xml:space="preserve">Cypress Creek Energy </w:t>
      </w:r>
      <w:r w:rsidRPr="001F6D91">
        <w:rPr>
          <w:rFonts w:ascii="Arial" w:hAnsi="Arial" w:cs="Arial"/>
          <w:szCs w:val="20"/>
        </w:rPr>
        <w:t xml:space="preserve">respectfully urges the Protocol Revision Subcommittee (PRS) to </w:t>
      </w:r>
      <w:r w:rsidR="000F33AF" w:rsidRPr="001F6D91">
        <w:rPr>
          <w:rFonts w:ascii="Arial" w:hAnsi="Arial" w:cs="Arial"/>
          <w:szCs w:val="20"/>
        </w:rPr>
        <w:t>recommend approval of NPRR1348 and to decline ERCOT’s request to table it</w:t>
      </w:r>
      <w:r w:rsidRPr="001F6D91">
        <w:rPr>
          <w:rFonts w:ascii="Arial" w:hAnsi="Arial" w:cs="Arial"/>
          <w:szCs w:val="20"/>
        </w:rPr>
        <w:t>.</w:t>
      </w:r>
    </w:p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440"/>
      </w:tblGrid>
      <w:tr w:rsidR="00BD7258" w14:paraId="52AC0F4E" w14:textId="77777777" w:rsidTr="00B5080A">
        <w:trPr>
          <w:trHeight w:val="350"/>
        </w:trPr>
        <w:tc>
          <w:tcPr>
            <w:tcW w:w="1044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EEE2FC9" w14:textId="77777777" w:rsidR="00BD7258" w:rsidRDefault="00BD7258" w:rsidP="00B5080A">
            <w:pPr>
              <w:pStyle w:val="Header"/>
              <w:jc w:val="center"/>
            </w:pPr>
            <w:r>
              <w:t>Revised Cover Page Language</w:t>
            </w:r>
          </w:p>
        </w:tc>
      </w:tr>
    </w:tbl>
    <w:p w14:paraId="2D408560" w14:textId="656296CD" w:rsidR="00BD7258" w:rsidRPr="00DD5379" w:rsidRDefault="000F33AF" w:rsidP="00DD5379">
      <w:pPr>
        <w:pStyle w:val="BodyText"/>
        <w:rPr>
          <w:rFonts w:ascii="Arial" w:hAnsi="Arial" w:cs="Arial"/>
          <w:bCs/>
        </w:rPr>
      </w:pPr>
      <w:r w:rsidRPr="00DD5379">
        <w:rPr>
          <w:rFonts w:ascii="Arial" w:hAnsi="Arial" w:cs="Arial"/>
          <w:bCs/>
        </w:rPr>
        <w:t>None.</w:t>
      </w:r>
    </w:p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440"/>
      </w:tblGrid>
      <w:tr w:rsidR="00152993" w14:paraId="60871CEA" w14:textId="77777777">
        <w:trPr>
          <w:trHeight w:val="350"/>
        </w:trPr>
        <w:tc>
          <w:tcPr>
            <w:tcW w:w="1044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F4977D6" w14:textId="77777777" w:rsidR="00152993" w:rsidRDefault="00152993">
            <w:pPr>
              <w:pStyle w:val="Header"/>
              <w:jc w:val="center"/>
            </w:pPr>
            <w:r>
              <w:t>Revised Proposed Protocol Language</w:t>
            </w:r>
          </w:p>
        </w:tc>
      </w:tr>
    </w:tbl>
    <w:p w14:paraId="081D7CF8" w14:textId="37785DE1" w:rsidR="00152993" w:rsidRPr="00DD5379" w:rsidRDefault="000F33AF">
      <w:pPr>
        <w:pStyle w:val="BodyText"/>
        <w:rPr>
          <w:rFonts w:ascii="Arial" w:hAnsi="Arial" w:cs="Arial"/>
          <w:bCs/>
        </w:rPr>
      </w:pPr>
      <w:r w:rsidRPr="00DD5379">
        <w:rPr>
          <w:rFonts w:ascii="Arial" w:hAnsi="Arial" w:cs="Arial"/>
          <w:bCs/>
        </w:rPr>
        <w:t>Non</w:t>
      </w:r>
      <w:r w:rsidR="006C316E" w:rsidRPr="00DD5379">
        <w:rPr>
          <w:rFonts w:ascii="Arial" w:hAnsi="Arial" w:cs="Arial"/>
          <w:bCs/>
        </w:rPr>
        <w:t>e.</w:t>
      </w:r>
    </w:p>
    <w:sectPr w:rsidR="00152993" w:rsidRPr="00DD5379" w:rsidSect="0074209E">
      <w:headerReference w:type="default" r:id="rId13"/>
      <w:footerReference w:type="default" r:id="rId14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58F905" w14:textId="77777777" w:rsidR="001F61EA" w:rsidRDefault="001F61EA">
      <w:r>
        <w:separator/>
      </w:r>
    </w:p>
  </w:endnote>
  <w:endnote w:type="continuationSeparator" w:id="0">
    <w:p w14:paraId="6DB5E426" w14:textId="77777777" w:rsidR="001F61EA" w:rsidRDefault="001F61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43C76" w14:textId="5E588AAE" w:rsidR="00EE6681" w:rsidRDefault="00604512" w:rsidP="0074209E">
    <w:pPr>
      <w:pStyle w:val="Footer"/>
      <w:tabs>
        <w:tab w:val="clear" w:pos="4320"/>
        <w:tab w:val="clear" w:pos="8640"/>
        <w:tab w:val="right" w:pos="9360"/>
      </w:tabs>
      <w:rPr>
        <w:rFonts w:ascii="Arial" w:hAnsi="Arial"/>
        <w:sz w:val="18"/>
      </w:rPr>
    </w:pPr>
    <w:r>
      <w:rPr>
        <w:rFonts w:ascii="Arial" w:hAnsi="Arial"/>
        <w:sz w:val="18"/>
      </w:rPr>
      <w:fldChar w:fldCharType="begin"/>
    </w:r>
    <w:r>
      <w:rPr>
        <w:rFonts w:ascii="Arial" w:hAnsi="Arial"/>
        <w:sz w:val="18"/>
      </w:rPr>
      <w:instrText xml:space="preserve"> FILENAME   \* MERGEFORMAT </w:instrText>
    </w:r>
    <w:r>
      <w:rPr>
        <w:rFonts w:ascii="Arial" w:hAnsi="Arial"/>
        <w:sz w:val="18"/>
      </w:rPr>
      <w:fldChar w:fldCharType="separate"/>
    </w:r>
    <w:r w:rsidR="001F6D91">
      <w:rPr>
        <w:rFonts w:ascii="Arial" w:hAnsi="Arial"/>
        <w:noProof/>
        <w:sz w:val="18"/>
      </w:rPr>
      <w:t>1348NPRR-07 Cypress Creek Energy Comments 100926</w:t>
    </w:r>
    <w:r>
      <w:rPr>
        <w:rFonts w:ascii="Arial" w:hAnsi="Arial"/>
        <w:sz w:val="18"/>
      </w:rPr>
      <w:fldChar w:fldCharType="end"/>
    </w:r>
    <w:r w:rsidR="00EE6681">
      <w:rPr>
        <w:rFonts w:ascii="Arial" w:hAnsi="Arial"/>
        <w:sz w:val="18"/>
      </w:rPr>
      <w:tab/>
      <w:t xml:space="preserve">Page </w:t>
    </w:r>
    <w:r w:rsidR="00EE6681">
      <w:rPr>
        <w:rFonts w:ascii="Arial" w:hAnsi="Arial"/>
        <w:sz w:val="18"/>
      </w:rPr>
      <w:fldChar w:fldCharType="begin"/>
    </w:r>
    <w:r w:rsidR="00EE6681">
      <w:rPr>
        <w:rFonts w:ascii="Arial" w:hAnsi="Arial"/>
        <w:sz w:val="18"/>
      </w:rPr>
      <w:instrText xml:space="preserve"> PAGE </w:instrText>
    </w:r>
    <w:r w:rsidR="00EE6681">
      <w:rPr>
        <w:rFonts w:ascii="Arial" w:hAnsi="Arial"/>
        <w:sz w:val="18"/>
      </w:rPr>
      <w:fldChar w:fldCharType="separate"/>
    </w:r>
    <w:r>
      <w:rPr>
        <w:rFonts w:ascii="Arial" w:hAnsi="Arial"/>
        <w:noProof/>
        <w:sz w:val="18"/>
      </w:rPr>
      <w:t>1</w:t>
    </w:r>
    <w:r w:rsidR="00EE6681">
      <w:rPr>
        <w:rFonts w:ascii="Arial" w:hAnsi="Arial"/>
        <w:sz w:val="18"/>
      </w:rPr>
      <w:fldChar w:fldCharType="end"/>
    </w:r>
    <w:r w:rsidR="00EE6681">
      <w:rPr>
        <w:rFonts w:ascii="Arial" w:hAnsi="Arial"/>
        <w:sz w:val="18"/>
      </w:rPr>
      <w:t xml:space="preserve"> of </w:t>
    </w:r>
    <w:r w:rsidR="00EE6681">
      <w:rPr>
        <w:rFonts w:ascii="Arial" w:hAnsi="Arial"/>
        <w:sz w:val="18"/>
      </w:rPr>
      <w:fldChar w:fldCharType="begin"/>
    </w:r>
    <w:r w:rsidR="00EE6681">
      <w:rPr>
        <w:rFonts w:ascii="Arial" w:hAnsi="Arial"/>
        <w:sz w:val="18"/>
      </w:rPr>
      <w:instrText xml:space="preserve"> NUMPAGES </w:instrText>
    </w:r>
    <w:r w:rsidR="00EE6681">
      <w:rPr>
        <w:rFonts w:ascii="Arial" w:hAnsi="Arial"/>
        <w:sz w:val="18"/>
      </w:rPr>
      <w:fldChar w:fldCharType="separate"/>
    </w:r>
    <w:r>
      <w:rPr>
        <w:rFonts w:ascii="Arial" w:hAnsi="Arial"/>
        <w:noProof/>
        <w:sz w:val="18"/>
      </w:rPr>
      <w:t>1</w:t>
    </w:r>
    <w:r w:rsidR="00EE6681">
      <w:rPr>
        <w:rFonts w:ascii="Arial" w:hAnsi="Arial"/>
        <w:sz w:val="18"/>
      </w:rPr>
      <w:fldChar w:fldCharType="end"/>
    </w:r>
  </w:p>
  <w:p w14:paraId="476071C7" w14:textId="77777777" w:rsidR="00EE6681" w:rsidRDefault="00EE6681" w:rsidP="0074209E">
    <w:pPr>
      <w:pStyle w:val="Footer"/>
      <w:tabs>
        <w:tab w:val="clear" w:pos="4320"/>
        <w:tab w:val="clear" w:pos="8640"/>
        <w:tab w:val="right" w:pos="9360"/>
      </w:tabs>
      <w:rPr>
        <w:rFonts w:ascii="Arial" w:hAnsi="Arial"/>
        <w:sz w:val="18"/>
      </w:rPr>
    </w:pPr>
    <w:r>
      <w:rPr>
        <w:rFonts w:ascii="Arial" w:hAnsi="Arial"/>
        <w:sz w:val="18"/>
      </w:rPr>
      <w:t>PUBLIC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928FEB" w14:textId="77777777" w:rsidR="001F61EA" w:rsidRDefault="001F61EA">
      <w:r>
        <w:separator/>
      </w:r>
    </w:p>
  </w:footnote>
  <w:footnote w:type="continuationSeparator" w:id="0">
    <w:p w14:paraId="39C28AD0" w14:textId="77777777" w:rsidR="001F61EA" w:rsidRDefault="001F61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0A5561" w14:textId="77777777" w:rsidR="00EE6681" w:rsidRDefault="00EE6681">
    <w:pPr>
      <w:pStyle w:val="Header"/>
      <w:jc w:val="center"/>
      <w:rPr>
        <w:sz w:val="32"/>
      </w:rPr>
    </w:pPr>
    <w:r>
      <w:rPr>
        <w:sz w:val="32"/>
      </w:rPr>
      <w:t>NPRR Comments</w:t>
    </w:r>
  </w:p>
  <w:p w14:paraId="007A3A91" w14:textId="77777777" w:rsidR="00EE6681" w:rsidRDefault="00EE668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multilevel"/>
    <w:tmpl w:val="5C26B7FC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45D365AE"/>
    <w:multiLevelType w:val="multilevel"/>
    <w:tmpl w:val="0AD27A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6060C90"/>
    <w:multiLevelType w:val="hybridMultilevel"/>
    <w:tmpl w:val="246208DE"/>
    <w:lvl w:ilvl="0" w:tplc="9434FC1A">
      <w:start w:val="1"/>
      <w:numFmt w:val="bullet"/>
      <w:pStyle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610937763">
    <w:abstractNumId w:val="0"/>
  </w:num>
  <w:num w:numId="2" w16cid:durableId="1188055711">
    <w:abstractNumId w:val="2"/>
  </w:num>
  <w:num w:numId="3" w16cid:durableId="1600337363">
    <w:abstractNumId w:val="1"/>
  </w:num>
  <w:num w:numId="4" w16cid:durableId="1786999637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27D"/>
    <w:rsid w:val="000069A5"/>
    <w:rsid w:val="00037668"/>
    <w:rsid w:val="00055AFA"/>
    <w:rsid w:val="00075A94"/>
    <w:rsid w:val="00085214"/>
    <w:rsid w:val="000A6DDD"/>
    <w:rsid w:val="000F33AF"/>
    <w:rsid w:val="001046CF"/>
    <w:rsid w:val="001066C7"/>
    <w:rsid w:val="00106F0E"/>
    <w:rsid w:val="001153FF"/>
    <w:rsid w:val="00121129"/>
    <w:rsid w:val="00132855"/>
    <w:rsid w:val="00152993"/>
    <w:rsid w:val="00165489"/>
    <w:rsid w:val="00170297"/>
    <w:rsid w:val="001A227D"/>
    <w:rsid w:val="001E2032"/>
    <w:rsid w:val="001F61EA"/>
    <w:rsid w:val="001F6D91"/>
    <w:rsid w:val="00217D2D"/>
    <w:rsid w:val="002336ED"/>
    <w:rsid w:val="00277379"/>
    <w:rsid w:val="002C348A"/>
    <w:rsid w:val="002E113D"/>
    <w:rsid w:val="002E2919"/>
    <w:rsid w:val="003010C0"/>
    <w:rsid w:val="00332A97"/>
    <w:rsid w:val="00350C00"/>
    <w:rsid w:val="00366113"/>
    <w:rsid w:val="003C270C"/>
    <w:rsid w:val="003D0994"/>
    <w:rsid w:val="00423824"/>
    <w:rsid w:val="0043567D"/>
    <w:rsid w:val="00443F12"/>
    <w:rsid w:val="00450F48"/>
    <w:rsid w:val="004939CA"/>
    <w:rsid w:val="004B70E0"/>
    <w:rsid w:val="004B7B90"/>
    <w:rsid w:val="004D0D02"/>
    <w:rsid w:val="004E2C19"/>
    <w:rsid w:val="00571F4F"/>
    <w:rsid w:val="00582992"/>
    <w:rsid w:val="00585CFC"/>
    <w:rsid w:val="005B7CC1"/>
    <w:rsid w:val="005D284C"/>
    <w:rsid w:val="00604512"/>
    <w:rsid w:val="00633E23"/>
    <w:rsid w:val="00673B94"/>
    <w:rsid w:val="00680AC6"/>
    <w:rsid w:val="006835D8"/>
    <w:rsid w:val="006868EA"/>
    <w:rsid w:val="006A0D3D"/>
    <w:rsid w:val="006B2E6F"/>
    <w:rsid w:val="006C316E"/>
    <w:rsid w:val="006D0F7C"/>
    <w:rsid w:val="006D3221"/>
    <w:rsid w:val="006D4BE5"/>
    <w:rsid w:val="006E5EE9"/>
    <w:rsid w:val="007269C4"/>
    <w:rsid w:val="0074209E"/>
    <w:rsid w:val="00784213"/>
    <w:rsid w:val="007C40A4"/>
    <w:rsid w:val="007D1571"/>
    <w:rsid w:val="007F2CA8"/>
    <w:rsid w:val="007F7161"/>
    <w:rsid w:val="0085559E"/>
    <w:rsid w:val="00896B1B"/>
    <w:rsid w:val="008C6344"/>
    <w:rsid w:val="008E559E"/>
    <w:rsid w:val="00916080"/>
    <w:rsid w:val="00921A68"/>
    <w:rsid w:val="009302FA"/>
    <w:rsid w:val="009414E8"/>
    <w:rsid w:val="009B1474"/>
    <w:rsid w:val="00A015C4"/>
    <w:rsid w:val="00A15172"/>
    <w:rsid w:val="00A25529"/>
    <w:rsid w:val="00AC0069"/>
    <w:rsid w:val="00B5080A"/>
    <w:rsid w:val="00B5348C"/>
    <w:rsid w:val="00B85778"/>
    <w:rsid w:val="00B943AE"/>
    <w:rsid w:val="00BD7258"/>
    <w:rsid w:val="00BF1800"/>
    <w:rsid w:val="00C0598D"/>
    <w:rsid w:val="00C0793E"/>
    <w:rsid w:val="00C11956"/>
    <w:rsid w:val="00C35F1E"/>
    <w:rsid w:val="00C602E5"/>
    <w:rsid w:val="00C6416A"/>
    <w:rsid w:val="00C748FD"/>
    <w:rsid w:val="00C839C3"/>
    <w:rsid w:val="00CB0F44"/>
    <w:rsid w:val="00CC5AD5"/>
    <w:rsid w:val="00D4046E"/>
    <w:rsid w:val="00D4362F"/>
    <w:rsid w:val="00D544D5"/>
    <w:rsid w:val="00DC7E2E"/>
    <w:rsid w:val="00DD4739"/>
    <w:rsid w:val="00DD5379"/>
    <w:rsid w:val="00DE5F33"/>
    <w:rsid w:val="00E07B54"/>
    <w:rsid w:val="00E11F78"/>
    <w:rsid w:val="00E621E1"/>
    <w:rsid w:val="00EA27D6"/>
    <w:rsid w:val="00EC55B3"/>
    <w:rsid w:val="00ED2349"/>
    <w:rsid w:val="00EE6681"/>
    <w:rsid w:val="00F07494"/>
    <w:rsid w:val="00F42300"/>
    <w:rsid w:val="00F838EC"/>
    <w:rsid w:val="00F96FB2"/>
    <w:rsid w:val="00FB51D8"/>
    <w:rsid w:val="00FC0ADE"/>
    <w:rsid w:val="00FC2E6B"/>
    <w:rsid w:val="00FD0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AF0DCC1"/>
  <w15:chartTrackingRefBased/>
  <w15:docId w15:val="{9DC710A5-E773-4594-B898-D4CF58DF0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aliases w:val="h1"/>
    <w:basedOn w:val="Normal"/>
    <w:next w:val="Normal"/>
    <w:qFormat/>
    <w:pPr>
      <w:keepNext/>
      <w:numPr>
        <w:numId w:val="1"/>
      </w:numPr>
      <w:spacing w:after="240"/>
      <w:outlineLvl w:val="0"/>
    </w:pPr>
    <w:rPr>
      <w:b/>
      <w:caps/>
      <w:szCs w:val="20"/>
    </w:rPr>
  </w:style>
  <w:style w:type="paragraph" w:styleId="Heading2">
    <w:name w:val="heading 2"/>
    <w:aliases w:val="h2"/>
    <w:basedOn w:val="Normal"/>
    <w:next w:val="Normal"/>
    <w:qFormat/>
    <w:pPr>
      <w:keepNext/>
      <w:numPr>
        <w:ilvl w:val="1"/>
        <w:numId w:val="1"/>
      </w:numPr>
      <w:spacing w:before="240" w:after="240"/>
      <w:outlineLvl w:val="1"/>
    </w:pPr>
    <w:rPr>
      <w:b/>
      <w:szCs w:val="20"/>
    </w:rPr>
  </w:style>
  <w:style w:type="paragraph" w:styleId="Heading3">
    <w:name w:val="heading 3"/>
    <w:aliases w:val="h3"/>
    <w:basedOn w:val="Normal"/>
    <w:next w:val="Normal"/>
    <w:qFormat/>
    <w:pPr>
      <w:keepNext/>
      <w:numPr>
        <w:ilvl w:val="2"/>
        <w:numId w:val="1"/>
      </w:numPr>
      <w:spacing w:before="120" w:after="120"/>
      <w:outlineLvl w:val="2"/>
    </w:pPr>
    <w:rPr>
      <w:b/>
      <w:bCs/>
      <w:i/>
      <w:iCs/>
      <w:szCs w:val="20"/>
    </w:rPr>
  </w:style>
  <w:style w:type="paragraph" w:styleId="Heading4">
    <w:name w:val="heading 4"/>
    <w:aliases w:val="h4"/>
    <w:basedOn w:val="Normal"/>
    <w:next w:val="Normal"/>
    <w:qFormat/>
    <w:pPr>
      <w:keepNext/>
      <w:widowControl w:val="0"/>
      <w:numPr>
        <w:ilvl w:val="3"/>
        <w:numId w:val="1"/>
      </w:numPr>
      <w:spacing w:before="360" w:after="240"/>
      <w:outlineLvl w:val="3"/>
    </w:pPr>
    <w:rPr>
      <w:b/>
      <w:bCs/>
      <w:snapToGrid w:val="0"/>
      <w:szCs w:val="20"/>
    </w:rPr>
  </w:style>
  <w:style w:type="paragraph" w:styleId="Heading5">
    <w:name w:val="heading 5"/>
    <w:aliases w:val="h5"/>
    <w:basedOn w:val="Normal"/>
    <w:next w:val="Normal"/>
    <w:qFormat/>
    <w:pPr>
      <w:spacing w:before="240" w:after="60"/>
      <w:outlineLvl w:val="4"/>
    </w:pPr>
    <w:rPr>
      <w:b/>
      <w:i/>
      <w:sz w:val="26"/>
      <w:szCs w:val="20"/>
    </w:rPr>
  </w:style>
  <w:style w:type="paragraph" w:styleId="Heading6">
    <w:name w:val="heading 6"/>
    <w:aliases w:val="h6"/>
    <w:basedOn w:val="Normal"/>
    <w:next w:val="Normal"/>
    <w:qFormat/>
    <w:pPr>
      <w:spacing w:before="240" w:after="60"/>
      <w:outlineLvl w:val="5"/>
    </w:pPr>
    <w:rPr>
      <w:b/>
      <w:sz w:val="22"/>
      <w:szCs w:val="20"/>
    </w:rPr>
  </w:style>
  <w:style w:type="paragraph" w:styleId="Heading7">
    <w:name w:val="heading 7"/>
    <w:basedOn w:val="Normal"/>
    <w:next w:val="Normal"/>
    <w:qFormat/>
    <w:pPr>
      <w:spacing w:before="240" w:after="60"/>
      <w:outlineLvl w:val="6"/>
    </w:pPr>
    <w:rPr>
      <w:szCs w:val="20"/>
    </w:rPr>
  </w:style>
  <w:style w:type="paragraph" w:styleId="Heading8">
    <w:name w:val="heading 8"/>
    <w:basedOn w:val="Normal"/>
    <w:next w:val="Normal"/>
    <w:qFormat/>
    <w:pPr>
      <w:spacing w:before="240" w:after="60"/>
      <w:outlineLvl w:val="7"/>
    </w:pPr>
    <w:rPr>
      <w:i/>
      <w:szCs w:val="20"/>
    </w:rPr>
  </w:style>
  <w:style w:type="paragraph" w:styleId="Heading9">
    <w:name w:val="heading 9"/>
    <w:basedOn w:val="Normal"/>
    <w:next w:val="Normal"/>
    <w:qFormat/>
    <w:pPr>
      <w:spacing w:before="240" w:after="60"/>
      <w:outlineLvl w:val="8"/>
    </w:pPr>
    <w:rPr>
      <w:rFonts w:ascii="Arial" w:hAnsi="Arial"/>
      <w:sz w:val="2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  <w:rPr>
      <w:rFonts w:ascii="Arial" w:hAnsi="Arial"/>
      <w:b/>
      <w:bCs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TXUNormal">
    <w:name w:val="TXUNormal"/>
    <w:pPr>
      <w:spacing w:after="120"/>
    </w:pPr>
  </w:style>
  <w:style w:type="paragraph" w:customStyle="1" w:styleId="TXUHeader">
    <w:name w:val="TXUHeader"/>
    <w:basedOn w:val="TXUNormal"/>
    <w:pPr>
      <w:tabs>
        <w:tab w:val="right" w:pos="9360"/>
      </w:tabs>
      <w:spacing w:after="0"/>
    </w:pPr>
    <w:rPr>
      <w:noProof/>
      <w:sz w:val="16"/>
    </w:rPr>
  </w:style>
  <w:style w:type="paragraph" w:customStyle="1" w:styleId="TXUHeaderForm">
    <w:name w:val="TXUHeaderForm"/>
    <w:basedOn w:val="TXUHeader"/>
    <w:next w:val="Normal"/>
    <w:rPr>
      <w:sz w:val="24"/>
    </w:rPr>
  </w:style>
  <w:style w:type="paragraph" w:customStyle="1" w:styleId="TXUSubject">
    <w:name w:val="TXUSubject"/>
    <w:basedOn w:val="TXUNormal"/>
    <w:next w:val="TXUNormal"/>
    <w:pPr>
      <w:spacing w:after="240"/>
    </w:pPr>
    <w:rPr>
      <w:b/>
    </w:rPr>
  </w:style>
  <w:style w:type="paragraph" w:customStyle="1" w:styleId="TXUFooter">
    <w:name w:val="TXUFooter"/>
    <w:basedOn w:val="TXUNormal"/>
    <w:pPr>
      <w:pBdr>
        <w:top w:val="single" w:sz="4" w:space="1" w:color="auto"/>
      </w:pBdr>
      <w:tabs>
        <w:tab w:val="center" w:pos="4536"/>
        <w:tab w:val="right" w:pos="9360"/>
      </w:tabs>
      <w:spacing w:after="0"/>
    </w:pPr>
    <w:rPr>
      <w:sz w:val="16"/>
    </w:rPr>
  </w:style>
  <w:style w:type="paragraph" w:customStyle="1" w:styleId="TXUFooterPage">
    <w:name w:val="TXUFooterPage"/>
    <w:basedOn w:val="TXUFooter"/>
    <w:next w:val="TXUFooter"/>
    <w:rPr>
      <w:sz w:val="20"/>
    </w:rPr>
  </w:style>
  <w:style w:type="paragraph" w:customStyle="1" w:styleId="Comments">
    <w:name w:val="Comments"/>
    <w:basedOn w:val="Normal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CCCCC"/>
      <w:spacing w:before="120" w:after="120"/>
      <w:ind w:left="720" w:right="720"/>
    </w:pPr>
    <w:rPr>
      <w:szCs w:val="20"/>
    </w:rPr>
  </w:style>
  <w:style w:type="character" w:styleId="Hyperlink">
    <w:name w:val="Hyperlink"/>
    <w:rPr>
      <w:color w:val="0000FF"/>
      <w:u w:val="single"/>
    </w:rPr>
  </w:style>
  <w:style w:type="paragraph" w:styleId="BodyText">
    <w:name w:val="Body Text"/>
    <w:basedOn w:val="Normal"/>
    <w:pPr>
      <w:spacing w:before="120" w:after="120"/>
    </w:pPr>
  </w:style>
  <w:style w:type="paragraph" w:styleId="BodyTextIndent">
    <w:name w:val="Body Text Indent"/>
    <w:basedOn w:val="Normal"/>
    <w:pPr>
      <w:spacing w:before="120" w:after="120"/>
      <w:ind w:left="720"/>
    </w:pPr>
  </w:style>
  <w:style w:type="paragraph" w:customStyle="1" w:styleId="Bullet">
    <w:name w:val="Bullet"/>
    <w:basedOn w:val="Normal"/>
    <w:pPr>
      <w:numPr>
        <w:numId w:val="2"/>
      </w:numPr>
      <w:spacing w:before="60" w:after="120"/>
    </w:pPr>
    <w:rPr>
      <w:szCs w:val="20"/>
    </w:rPr>
  </w:style>
  <w:style w:type="paragraph" w:styleId="BalloonText">
    <w:name w:val="Balloon Text"/>
    <w:basedOn w:val="Normal"/>
    <w:semiHidden/>
    <w:rsid w:val="00673B94"/>
    <w:rPr>
      <w:rFonts w:ascii="Tahoma" w:hAnsi="Tahoma" w:cs="Tahoma"/>
      <w:sz w:val="16"/>
      <w:szCs w:val="16"/>
    </w:rPr>
  </w:style>
  <w:style w:type="paragraph" w:customStyle="1" w:styleId="NormalArial">
    <w:name w:val="Normal+Arial"/>
    <w:basedOn w:val="Normal"/>
    <w:rPr>
      <w:rFonts w:ascii="Arial" w:hAnsi="Arial"/>
    </w:rPr>
  </w:style>
  <w:style w:type="table" w:styleId="TableGrid">
    <w:name w:val="Table Grid"/>
    <w:basedOn w:val="TableNormal"/>
    <w:rsid w:val="00075A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semiHidden/>
    <w:rsid w:val="00DD4739"/>
    <w:rPr>
      <w:sz w:val="16"/>
      <w:szCs w:val="16"/>
    </w:rPr>
  </w:style>
  <w:style w:type="paragraph" w:styleId="CommentText">
    <w:name w:val="annotation text"/>
    <w:basedOn w:val="Normal"/>
    <w:semiHidden/>
    <w:rsid w:val="00DD4739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DD4739"/>
    <w:rPr>
      <w:b/>
      <w:bCs/>
    </w:rPr>
  </w:style>
  <w:style w:type="character" w:styleId="UnresolvedMention">
    <w:name w:val="Unresolved Mention"/>
    <w:uiPriority w:val="99"/>
    <w:semiHidden/>
    <w:unhideWhenUsed/>
    <w:rsid w:val="0008521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FC2E6B"/>
    <w:rPr>
      <w:sz w:val="24"/>
      <w:szCs w:val="24"/>
    </w:rPr>
  </w:style>
  <w:style w:type="character" w:styleId="BookTitle">
    <w:name w:val="Book Title"/>
    <w:uiPriority w:val="33"/>
    <w:qFormat/>
    <w:rsid w:val="006E5EE9"/>
    <w:rPr>
      <w:b/>
      <w:bCs/>
      <w:i/>
      <w:iCs/>
      <w:spacing w:val="5"/>
    </w:rPr>
  </w:style>
  <w:style w:type="paragraph" w:styleId="Caption">
    <w:name w:val="caption"/>
    <w:basedOn w:val="Normal"/>
    <w:next w:val="Normal"/>
    <w:semiHidden/>
    <w:unhideWhenUsed/>
    <w:qFormat/>
    <w:rsid w:val="006E5EE9"/>
    <w:rPr>
      <w:b/>
      <w:bCs/>
      <w:sz w:val="20"/>
      <w:szCs w:val="20"/>
    </w:rPr>
  </w:style>
  <w:style w:type="character" w:styleId="Emphasis">
    <w:name w:val="Emphasis"/>
    <w:qFormat/>
    <w:rsid w:val="006E5EE9"/>
    <w:rPr>
      <w:i/>
      <w:iCs/>
    </w:rPr>
  </w:style>
  <w:style w:type="character" w:styleId="IntenseEmphasis">
    <w:name w:val="Intense Emphasis"/>
    <w:uiPriority w:val="21"/>
    <w:qFormat/>
    <w:rsid w:val="006E5EE9"/>
    <w:rPr>
      <w:i/>
      <w:iCs/>
      <w:color w:val="15608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5EE9"/>
    <w:pPr>
      <w:pBdr>
        <w:top w:val="single" w:sz="4" w:space="10" w:color="156082"/>
        <w:bottom w:val="single" w:sz="4" w:space="10" w:color="156082"/>
      </w:pBdr>
      <w:spacing w:before="360" w:after="360"/>
      <w:ind w:left="864" w:right="864"/>
      <w:jc w:val="center"/>
    </w:pPr>
    <w:rPr>
      <w:i/>
      <w:iCs/>
      <w:color w:val="156082"/>
    </w:rPr>
  </w:style>
  <w:style w:type="character" w:customStyle="1" w:styleId="IntenseQuoteChar">
    <w:name w:val="Intense Quote Char"/>
    <w:link w:val="IntenseQuote"/>
    <w:uiPriority w:val="30"/>
    <w:rsid w:val="006E5EE9"/>
    <w:rPr>
      <w:i/>
      <w:iCs/>
      <w:color w:val="156082"/>
      <w:sz w:val="24"/>
      <w:szCs w:val="24"/>
    </w:rPr>
  </w:style>
  <w:style w:type="character" w:styleId="IntenseReference">
    <w:name w:val="Intense Reference"/>
    <w:uiPriority w:val="32"/>
    <w:qFormat/>
    <w:rsid w:val="006E5EE9"/>
    <w:rPr>
      <w:b/>
      <w:bCs/>
      <w:smallCaps/>
      <w:color w:val="156082"/>
      <w:spacing w:val="5"/>
    </w:rPr>
  </w:style>
  <w:style w:type="paragraph" w:styleId="ListParagraph">
    <w:name w:val="List Paragraph"/>
    <w:basedOn w:val="Normal"/>
    <w:uiPriority w:val="34"/>
    <w:qFormat/>
    <w:rsid w:val="006E5EE9"/>
    <w:pPr>
      <w:ind w:left="720"/>
    </w:pPr>
  </w:style>
  <w:style w:type="paragraph" w:styleId="NoSpacing">
    <w:name w:val="No Spacing"/>
    <w:uiPriority w:val="1"/>
    <w:qFormat/>
    <w:rsid w:val="006E5EE9"/>
    <w:rPr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6E5EE9"/>
    <w:pPr>
      <w:spacing w:before="200" w:after="160"/>
      <w:ind w:left="864" w:right="864"/>
      <w:jc w:val="center"/>
    </w:pPr>
    <w:rPr>
      <w:i/>
      <w:iCs/>
      <w:color w:val="404040"/>
    </w:rPr>
  </w:style>
  <w:style w:type="character" w:customStyle="1" w:styleId="QuoteChar">
    <w:name w:val="Quote Char"/>
    <w:link w:val="Quote"/>
    <w:uiPriority w:val="29"/>
    <w:rsid w:val="006E5EE9"/>
    <w:rPr>
      <w:i/>
      <w:iCs/>
      <w:color w:val="404040"/>
      <w:sz w:val="24"/>
      <w:szCs w:val="24"/>
    </w:rPr>
  </w:style>
  <w:style w:type="character" w:styleId="Strong">
    <w:name w:val="Strong"/>
    <w:qFormat/>
    <w:rsid w:val="006E5EE9"/>
    <w:rPr>
      <w:b/>
      <w:bCs/>
    </w:rPr>
  </w:style>
  <w:style w:type="paragraph" w:styleId="Subtitle">
    <w:name w:val="Subtitle"/>
    <w:basedOn w:val="Normal"/>
    <w:next w:val="Normal"/>
    <w:link w:val="SubtitleChar"/>
    <w:qFormat/>
    <w:rsid w:val="006E5EE9"/>
    <w:pPr>
      <w:spacing w:after="60"/>
      <w:jc w:val="center"/>
      <w:outlineLvl w:val="1"/>
    </w:pPr>
    <w:rPr>
      <w:rFonts w:ascii="Aptos Display" w:hAnsi="Aptos Display"/>
    </w:rPr>
  </w:style>
  <w:style w:type="character" w:customStyle="1" w:styleId="SubtitleChar">
    <w:name w:val="Subtitle Char"/>
    <w:link w:val="Subtitle"/>
    <w:rsid w:val="006E5EE9"/>
    <w:rPr>
      <w:rFonts w:ascii="Aptos Display" w:eastAsia="Times New Roman" w:hAnsi="Aptos Display" w:cs="Times New Roman"/>
      <w:sz w:val="24"/>
      <w:szCs w:val="24"/>
    </w:rPr>
  </w:style>
  <w:style w:type="character" w:styleId="SubtleEmphasis">
    <w:name w:val="Subtle Emphasis"/>
    <w:uiPriority w:val="19"/>
    <w:qFormat/>
    <w:rsid w:val="006E5EE9"/>
    <w:rPr>
      <w:i/>
      <w:iCs/>
      <w:color w:val="404040"/>
    </w:rPr>
  </w:style>
  <w:style w:type="character" w:styleId="SubtleReference">
    <w:name w:val="Subtle Reference"/>
    <w:uiPriority w:val="31"/>
    <w:qFormat/>
    <w:rsid w:val="006E5EE9"/>
    <w:rPr>
      <w:smallCaps/>
      <w:color w:val="5A5A5A"/>
    </w:rPr>
  </w:style>
  <w:style w:type="paragraph" w:styleId="Title">
    <w:name w:val="Title"/>
    <w:basedOn w:val="Normal"/>
    <w:next w:val="Normal"/>
    <w:link w:val="TitleChar"/>
    <w:qFormat/>
    <w:rsid w:val="006E5EE9"/>
    <w:pPr>
      <w:spacing w:before="240" w:after="60"/>
      <w:jc w:val="center"/>
      <w:outlineLvl w:val="0"/>
    </w:pPr>
    <w:rPr>
      <w:rFonts w:ascii="Aptos Display" w:hAnsi="Aptos Display"/>
      <w:b/>
      <w:bCs/>
      <w:kern w:val="28"/>
      <w:sz w:val="32"/>
      <w:szCs w:val="32"/>
    </w:rPr>
  </w:style>
  <w:style w:type="character" w:customStyle="1" w:styleId="TitleChar">
    <w:name w:val="Title Char"/>
    <w:link w:val="Title"/>
    <w:rsid w:val="006E5EE9"/>
    <w:rPr>
      <w:rFonts w:ascii="Aptos Display" w:eastAsia="Times New Roman" w:hAnsi="Aptos Display" w:cs="Times New Roman"/>
      <w:b/>
      <w:bCs/>
      <w:kern w:val="28"/>
      <w:sz w:val="32"/>
      <w:szCs w:val="32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E5EE9"/>
    <w:pPr>
      <w:numPr>
        <w:numId w:val="0"/>
      </w:numPr>
      <w:spacing w:before="240" w:after="60"/>
      <w:outlineLvl w:val="9"/>
    </w:pPr>
    <w:rPr>
      <w:rFonts w:ascii="Aptos Display" w:hAnsi="Aptos Display"/>
      <w:bCs/>
      <w:caps w:val="0"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348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2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Andres.maynez@cypresscreekenergy.com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Matthew.crosby@cypresscreekenergy.com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www.ercot.com/mktrules/issues/NPRR1348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29f512be-7723-4d42-964c-76a5b38ae1f0">
      <Terms xmlns="http://schemas.microsoft.com/office/infopath/2007/PartnerControls"/>
    </lcf76f155ced4ddcb4097134ff3c332f>
    <TaxCatchAll xmlns="aa1aec1b-e2c3-4e85-aa6e-53c6d1a162c3"/>
    <_Flow_SignoffStatus xmlns="29f512be-7723-4d42-964c-76a5b38ae1f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43CCD1C6366E44B70D89291D210DE6" ma:contentTypeVersion="22" ma:contentTypeDescription="Create a new document." ma:contentTypeScope="" ma:versionID="d37ccb5027a99c6c1be047e0e1fb946d">
  <xsd:schema xmlns:xsd="http://www.w3.org/2001/XMLSchema" xmlns:xs="http://www.w3.org/2001/XMLSchema" xmlns:p="http://schemas.microsoft.com/office/2006/metadata/properties" xmlns:ns1="http://schemas.microsoft.com/sharepoint/v3" xmlns:ns2="29f512be-7723-4d42-964c-76a5b38ae1f0" xmlns:ns3="aa1aec1b-e2c3-4e85-aa6e-53c6d1a162c3" targetNamespace="http://schemas.microsoft.com/office/2006/metadata/properties" ma:root="true" ma:fieldsID="99df254726b7235aebb8f19f7641b31c" ns1:_="" ns2:_="" ns3:_="">
    <xsd:import namespace="http://schemas.microsoft.com/sharepoint/v3"/>
    <xsd:import namespace="29f512be-7723-4d42-964c-76a5b38ae1f0"/>
    <xsd:import namespace="aa1aec1b-e2c3-4e85-aa6e-53c6d1a162c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_Flow_SignoffStatu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f512be-7723-4d42-964c-76a5b38ae1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32ac6b54-1127-468c-8c22-518c0d20fd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8" nillable="true" ma:displayName="Notes" ma:format="Dropdown" ma:internalName="Sign_x002d_off_x0020_status">
      <xsd:simpleType>
        <xsd:restriction base="dms:Note">
          <xsd:maxLength value="255"/>
        </xsd:restriction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1aec1b-e2c3-4e85-aa6e-53c6d1a162c3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31a5e7ad-0630-4635-9030-8c59242bdf96}" ma:internalName="TaxCatchAll" ma:showField="CatchAllData" ma:web="aa1aec1b-e2c3-4e85-aa6e-53c6d1a162c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4A4D17C-5273-49F3-AD83-C71672EA06E9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29f512be-7723-4d42-964c-76a5b38ae1f0"/>
    <ds:schemaRef ds:uri="aa1aec1b-e2c3-4e85-aa6e-53c6d1a162c3"/>
  </ds:schemaRefs>
</ds:datastoreItem>
</file>

<file path=customXml/itemProps2.xml><?xml version="1.0" encoding="utf-8"?>
<ds:datastoreItem xmlns:ds="http://schemas.openxmlformats.org/officeDocument/2006/customXml" ds:itemID="{83217C2B-EE4C-451A-A6CE-8496976358E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E7858D8-29E4-4E28-86EB-1130E132D2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29f512be-7723-4d42-964c-76a5b38ae1f0"/>
    <ds:schemaRef ds:uri="aa1aec1b-e2c3-4e85-aa6e-53c6d1a162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7e9321ce-1e4d-4612-80f9-a7c927dfeb1f}" enabled="0" method="" siteId="{7e9321ce-1e4d-4612-80f9-a7c927dfeb1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549</Words>
  <Characters>3450</Characters>
  <Application>Microsoft Office Word</Application>
  <DocSecurity>0</DocSecurity>
  <Lines>90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Protocols Workshop</vt:lpstr>
    </vt:vector>
  </TitlesOfParts>
  <Company/>
  <LinksUpToDate>false</LinksUpToDate>
  <CharactersWithSpaces>3951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Protocols Workshop</dc:title>
  <dc:subject/>
  <dc:creator>ERCOT/if</dc:creator>
  <cp:keywords/>
  <dc:description/>
  <cp:lastModifiedBy>C Phillips</cp:lastModifiedBy>
  <cp:revision>3</cp:revision>
  <cp:lastPrinted>2001-06-20T16:28:00Z</cp:lastPrinted>
  <dcterms:created xsi:type="dcterms:W3CDTF">2026-10-09T20:13:00Z</dcterms:created>
  <dcterms:modified xsi:type="dcterms:W3CDTF">2026-10-09T20:16:00Z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0x0101003B43CCD1C6366E44B70D89291D210DE6</vt:lpwstr>
  </property>
  <property fmtid="{D5CDD505-2E9C-101B-9397-08002B2CF9AE}" pid="3" name="MediaServiceImageTags">
    <vt:lpwstr/>
  </property>
  <property fmtid="{D5CDD505-2E9C-101B-9397-08002B2CF9AE}" pid="4" name="MSIP_Label_7084cbda-52b8-46fb-a7b7-cb5bd465ed85_Enabled">
    <vt:lpwstr>true</vt:lpwstr>
  </property>
  <property fmtid="{D5CDD505-2E9C-101B-9397-08002B2CF9AE}" pid="5" name="MSIP_Label_7084cbda-52b8-46fb-a7b7-cb5bd465ed85_SetDate">
    <vt:lpwstr>2026-10-09T20:13:54Z</vt:lpwstr>
  </property>
  <property fmtid="{D5CDD505-2E9C-101B-9397-08002B2CF9AE}" pid="6" name="MSIP_Label_7084cbda-52b8-46fb-a7b7-cb5bd465ed85_Method">
    <vt:lpwstr>Standard</vt:lpwstr>
  </property>
  <property fmtid="{D5CDD505-2E9C-101B-9397-08002B2CF9AE}" pid="7" name="MSIP_Label_7084cbda-52b8-46fb-a7b7-cb5bd465ed85_Name">
    <vt:lpwstr>Internal</vt:lpwstr>
  </property>
  <property fmtid="{D5CDD505-2E9C-101B-9397-08002B2CF9AE}" pid="8" name="MSIP_Label_7084cbda-52b8-46fb-a7b7-cb5bd465ed85_SiteId">
    <vt:lpwstr>0afb747d-bff7-4596-a9fc-950ef9e0ec45</vt:lpwstr>
  </property>
  <property fmtid="{D5CDD505-2E9C-101B-9397-08002B2CF9AE}" pid="9" name="MSIP_Label_7084cbda-52b8-46fb-a7b7-cb5bd465ed85_ActionId">
    <vt:lpwstr>8299e7fc-f5bd-4290-888e-ee0bdf8d2ba8</vt:lpwstr>
  </property>
  <property fmtid="{D5CDD505-2E9C-101B-9397-08002B2CF9AE}" pid="10" name="MSIP_Label_7084cbda-52b8-46fb-a7b7-cb5bd465ed85_ContentBits">
    <vt:lpwstr>0</vt:lpwstr>
  </property>
  <property fmtid="{D5CDD505-2E9C-101B-9397-08002B2CF9AE}" pid="11" name="MSIP_Label_7084cbda-52b8-46fb-a7b7-cb5bd465ed85_Tag">
    <vt:lpwstr>10, 3, 0, 1</vt:lpwstr>
  </property>
</Properties>
</file>