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152993" w14:paraId="1217B9BE" w14:textId="77777777">
        <w:tc>
          <w:tcPr>
            <w:tcW w:w="1620" w:type="dxa"/>
            <w:tcBorders>
              <w:bottom w:val="single" w:sz="4" w:space="0" w:color="auto"/>
            </w:tcBorders>
            <w:shd w:val="clear" w:color="auto" w:fill="FFFFFF"/>
            <w:vAlign w:val="center"/>
          </w:tcPr>
          <w:p w14:paraId="1B6DEBB5" w14:textId="77777777" w:rsidR="00152993" w:rsidRDefault="00EE6681">
            <w:pPr>
              <w:pStyle w:val="Header"/>
              <w:rPr>
                <w:rFonts w:ascii="Verdana" w:hAnsi="Verdana"/>
                <w:sz w:val="22"/>
              </w:rPr>
            </w:pPr>
            <w:r>
              <w:t>N</w:t>
            </w:r>
            <w:r w:rsidR="00152993">
              <w:t>PRR Number</w:t>
            </w:r>
          </w:p>
        </w:tc>
        <w:tc>
          <w:tcPr>
            <w:tcW w:w="1260" w:type="dxa"/>
            <w:tcBorders>
              <w:bottom w:val="single" w:sz="4" w:space="0" w:color="auto"/>
            </w:tcBorders>
            <w:vAlign w:val="center"/>
          </w:tcPr>
          <w:p w14:paraId="62F8421D" w14:textId="3C5CF4CF" w:rsidR="00152993" w:rsidRDefault="00585CFC">
            <w:pPr>
              <w:pStyle w:val="Header"/>
            </w:pPr>
            <w:hyperlink r:id="rId8" w:history="1">
              <w:r w:rsidRPr="008C3B4C">
                <w:rPr>
                  <w:rStyle w:val="Hyperlink"/>
                </w:rPr>
                <w:t>1348</w:t>
              </w:r>
            </w:hyperlink>
          </w:p>
        </w:tc>
        <w:tc>
          <w:tcPr>
            <w:tcW w:w="900" w:type="dxa"/>
            <w:tcBorders>
              <w:bottom w:val="single" w:sz="4" w:space="0" w:color="auto"/>
            </w:tcBorders>
            <w:shd w:val="clear" w:color="auto" w:fill="FFFFFF"/>
            <w:vAlign w:val="center"/>
          </w:tcPr>
          <w:p w14:paraId="690D37B0" w14:textId="77777777" w:rsidR="00152993" w:rsidRDefault="00EE6681">
            <w:pPr>
              <w:pStyle w:val="Header"/>
            </w:pPr>
            <w:r>
              <w:t>N</w:t>
            </w:r>
            <w:r w:rsidR="00152993">
              <w:t>PRR Title</w:t>
            </w:r>
          </w:p>
        </w:tc>
        <w:tc>
          <w:tcPr>
            <w:tcW w:w="6660" w:type="dxa"/>
            <w:tcBorders>
              <w:bottom w:val="single" w:sz="4" w:space="0" w:color="auto"/>
            </w:tcBorders>
            <w:vAlign w:val="center"/>
          </w:tcPr>
          <w:p w14:paraId="3B1E3D05" w14:textId="2E8C5302" w:rsidR="00152993" w:rsidRPr="008C3B4C" w:rsidRDefault="00585CFC" w:rsidP="00585CFC">
            <w:pPr>
              <w:rPr>
                <w:rFonts w:ascii="Arial" w:hAnsi="Arial" w:cs="Arial"/>
                <w:szCs w:val="20"/>
              </w:rPr>
            </w:pPr>
            <w:r w:rsidRPr="008C3B4C">
              <w:rPr>
                <w:rFonts w:ascii="Arial" w:hAnsi="Arial" w:cs="Arial"/>
                <w:b/>
                <w:bCs/>
                <w:szCs w:val="20"/>
              </w:rPr>
              <w:t>Telemetry Offsetting for Provisional Controllable Load Resources</w:t>
            </w:r>
          </w:p>
        </w:tc>
      </w:tr>
      <w:tr w:rsidR="00152993" w14:paraId="08B600C2" w14:textId="77777777">
        <w:trPr>
          <w:trHeight w:val="413"/>
        </w:trPr>
        <w:tc>
          <w:tcPr>
            <w:tcW w:w="2880" w:type="dxa"/>
            <w:gridSpan w:val="2"/>
            <w:tcBorders>
              <w:top w:val="nil"/>
              <w:left w:val="nil"/>
              <w:bottom w:val="single" w:sz="4" w:space="0" w:color="auto"/>
              <w:right w:val="nil"/>
            </w:tcBorders>
            <w:vAlign w:val="center"/>
          </w:tcPr>
          <w:p w14:paraId="333D6818" w14:textId="77777777" w:rsidR="00152993" w:rsidRDefault="00152993">
            <w:pPr>
              <w:pStyle w:val="NormalArial"/>
            </w:pPr>
          </w:p>
        </w:tc>
        <w:tc>
          <w:tcPr>
            <w:tcW w:w="7560" w:type="dxa"/>
            <w:gridSpan w:val="2"/>
            <w:tcBorders>
              <w:top w:val="single" w:sz="4" w:space="0" w:color="auto"/>
              <w:left w:val="nil"/>
              <w:bottom w:val="nil"/>
              <w:right w:val="nil"/>
            </w:tcBorders>
            <w:vAlign w:val="center"/>
          </w:tcPr>
          <w:p w14:paraId="55CF31CA" w14:textId="77777777" w:rsidR="00152993" w:rsidRDefault="00152993">
            <w:pPr>
              <w:pStyle w:val="NormalArial"/>
            </w:pPr>
          </w:p>
        </w:tc>
      </w:tr>
      <w:tr w:rsidR="00152993" w14:paraId="08F03846"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947B4F1" w14:textId="77777777" w:rsidR="00152993" w:rsidRDefault="00152993">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5EF570AB" w14:textId="054A3CB0" w:rsidR="00152993" w:rsidRDefault="00C11522">
            <w:pPr>
              <w:pStyle w:val="NormalArial"/>
            </w:pPr>
            <w:r>
              <w:t>October</w:t>
            </w:r>
            <w:r w:rsidR="008C3B4C">
              <w:t xml:space="preserve"> </w:t>
            </w:r>
            <w:r w:rsidR="00393D92">
              <w:t>8</w:t>
            </w:r>
            <w:r w:rsidR="008C3B4C">
              <w:t>,</w:t>
            </w:r>
            <w:r>
              <w:t xml:space="preserve"> 2026</w:t>
            </w:r>
          </w:p>
        </w:tc>
      </w:tr>
      <w:tr w:rsidR="00152993" w14:paraId="37581423" w14:textId="77777777">
        <w:trPr>
          <w:trHeight w:val="467"/>
        </w:trPr>
        <w:tc>
          <w:tcPr>
            <w:tcW w:w="2880" w:type="dxa"/>
            <w:gridSpan w:val="2"/>
            <w:tcBorders>
              <w:top w:val="single" w:sz="4" w:space="0" w:color="auto"/>
              <w:left w:val="nil"/>
              <w:bottom w:val="nil"/>
              <w:right w:val="nil"/>
            </w:tcBorders>
            <w:shd w:val="clear" w:color="auto" w:fill="FFFFFF"/>
            <w:vAlign w:val="center"/>
          </w:tcPr>
          <w:p w14:paraId="02AB9B58" w14:textId="77777777" w:rsidR="00152993" w:rsidRDefault="00152993">
            <w:pPr>
              <w:pStyle w:val="NormalArial"/>
            </w:pPr>
          </w:p>
        </w:tc>
        <w:tc>
          <w:tcPr>
            <w:tcW w:w="7560" w:type="dxa"/>
            <w:gridSpan w:val="2"/>
            <w:tcBorders>
              <w:top w:val="nil"/>
              <w:left w:val="nil"/>
              <w:bottom w:val="nil"/>
              <w:right w:val="nil"/>
            </w:tcBorders>
            <w:vAlign w:val="center"/>
          </w:tcPr>
          <w:p w14:paraId="0C731E24" w14:textId="77777777" w:rsidR="00152993" w:rsidRDefault="00152993">
            <w:pPr>
              <w:pStyle w:val="NormalArial"/>
            </w:pPr>
          </w:p>
        </w:tc>
      </w:tr>
      <w:tr w:rsidR="00152993" w14:paraId="05757D2A" w14:textId="77777777">
        <w:trPr>
          <w:trHeight w:val="440"/>
        </w:trPr>
        <w:tc>
          <w:tcPr>
            <w:tcW w:w="10440" w:type="dxa"/>
            <w:gridSpan w:val="4"/>
            <w:tcBorders>
              <w:top w:val="single" w:sz="4" w:space="0" w:color="auto"/>
            </w:tcBorders>
            <w:shd w:val="clear" w:color="auto" w:fill="FFFFFF"/>
            <w:vAlign w:val="center"/>
          </w:tcPr>
          <w:p w14:paraId="49095101" w14:textId="77777777" w:rsidR="00152993" w:rsidRDefault="00152993">
            <w:pPr>
              <w:pStyle w:val="Header"/>
              <w:jc w:val="center"/>
            </w:pPr>
            <w:r>
              <w:t>Submitter’s Information</w:t>
            </w:r>
          </w:p>
        </w:tc>
      </w:tr>
      <w:tr w:rsidR="008C3B4C" w14:paraId="5F23B8CE" w14:textId="77777777">
        <w:trPr>
          <w:trHeight w:val="350"/>
        </w:trPr>
        <w:tc>
          <w:tcPr>
            <w:tcW w:w="2880" w:type="dxa"/>
            <w:gridSpan w:val="2"/>
            <w:shd w:val="clear" w:color="auto" w:fill="FFFFFF"/>
            <w:vAlign w:val="center"/>
          </w:tcPr>
          <w:p w14:paraId="074F7A05" w14:textId="77777777" w:rsidR="008C3B4C" w:rsidRPr="00EC55B3" w:rsidRDefault="008C3B4C" w:rsidP="008C3B4C">
            <w:pPr>
              <w:pStyle w:val="Header"/>
            </w:pPr>
            <w:r w:rsidRPr="00EC55B3">
              <w:t>Name</w:t>
            </w:r>
          </w:p>
        </w:tc>
        <w:tc>
          <w:tcPr>
            <w:tcW w:w="7560" w:type="dxa"/>
            <w:gridSpan w:val="2"/>
            <w:vAlign w:val="center"/>
          </w:tcPr>
          <w:p w14:paraId="0F08C96B" w14:textId="26613782" w:rsidR="008C3B4C" w:rsidRDefault="0072531A" w:rsidP="008C3B4C">
            <w:pPr>
              <w:pStyle w:val="NormalArial"/>
            </w:pPr>
            <w:r>
              <w:t>Bill Blevins</w:t>
            </w:r>
          </w:p>
        </w:tc>
      </w:tr>
      <w:tr w:rsidR="008C3B4C" w14:paraId="314CD34D" w14:textId="77777777">
        <w:trPr>
          <w:trHeight w:val="350"/>
        </w:trPr>
        <w:tc>
          <w:tcPr>
            <w:tcW w:w="2880" w:type="dxa"/>
            <w:gridSpan w:val="2"/>
            <w:shd w:val="clear" w:color="auto" w:fill="FFFFFF"/>
            <w:vAlign w:val="center"/>
          </w:tcPr>
          <w:p w14:paraId="787593BE" w14:textId="77777777" w:rsidR="008C3B4C" w:rsidRPr="00EC55B3" w:rsidRDefault="008C3B4C" w:rsidP="008C3B4C">
            <w:pPr>
              <w:pStyle w:val="Header"/>
            </w:pPr>
            <w:r w:rsidRPr="00EC55B3">
              <w:t>E-mail Address</w:t>
            </w:r>
          </w:p>
        </w:tc>
        <w:tc>
          <w:tcPr>
            <w:tcW w:w="7560" w:type="dxa"/>
            <w:gridSpan w:val="2"/>
            <w:vAlign w:val="center"/>
          </w:tcPr>
          <w:p w14:paraId="51B1E937" w14:textId="1D789E8D" w:rsidR="008C3B4C" w:rsidRDefault="0072531A" w:rsidP="008C3B4C">
            <w:pPr>
              <w:pStyle w:val="NormalArial"/>
            </w:pPr>
            <w:hyperlink r:id="rId9" w:history="1">
              <w:r>
                <w:rPr>
                  <w:rStyle w:val="Hyperlink"/>
                </w:rPr>
                <w:t>Bill.Blevins@cipherdigital.com</w:t>
              </w:r>
            </w:hyperlink>
          </w:p>
        </w:tc>
      </w:tr>
      <w:tr w:rsidR="008C3B4C" w14:paraId="16B4F89C" w14:textId="77777777">
        <w:trPr>
          <w:trHeight w:val="350"/>
        </w:trPr>
        <w:tc>
          <w:tcPr>
            <w:tcW w:w="2880" w:type="dxa"/>
            <w:gridSpan w:val="2"/>
            <w:shd w:val="clear" w:color="auto" w:fill="FFFFFF"/>
            <w:vAlign w:val="center"/>
          </w:tcPr>
          <w:p w14:paraId="6B52EF29" w14:textId="77777777" w:rsidR="008C3B4C" w:rsidRPr="00EC55B3" w:rsidRDefault="008C3B4C" w:rsidP="008C3B4C">
            <w:pPr>
              <w:pStyle w:val="Header"/>
            </w:pPr>
            <w:r w:rsidRPr="00EC55B3">
              <w:t>Company</w:t>
            </w:r>
          </w:p>
        </w:tc>
        <w:tc>
          <w:tcPr>
            <w:tcW w:w="7560" w:type="dxa"/>
            <w:gridSpan w:val="2"/>
            <w:vAlign w:val="center"/>
          </w:tcPr>
          <w:p w14:paraId="67ADEEF4" w14:textId="2CC6FE8B" w:rsidR="008C3B4C" w:rsidRDefault="0072531A" w:rsidP="008C3B4C">
            <w:pPr>
              <w:pStyle w:val="NormalArial"/>
            </w:pPr>
            <w:r>
              <w:t>Cipher Digital</w:t>
            </w:r>
          </w:p>
        </w:tc>
      </w:tr>
      <w:tr w:rsidR="008C3B4C" w14:paraId="0673974C" w14:textId="77777777">
        <w:trPr>
          <w:trHeight w:val="350"/>
        </w:trPr>
        <w:tc>
          <w:tcPr>
            <w:tcW w:w="2880" w:type="dxa"/>
            <w:gridSpan w:val="2"/>
            <w:tcBorders>
              <w:bottom w:val="single" w:sz="4" w:space="0" w:color="auto"/>
            </w:tcBorders>
            <w:shd w:val="clear" w:color="auto" w:fill="FFFFFF"/>
            <w:vAlign w:val="center"/>
          </w:tcPr>
          <w:p w14:paraId="37B236B7" w14:textId="77777777" w:rsidR="008C3B4C" w:rsidRPr="00EC55B3" w:rsidRDefault="008C3B4C" w:rsidP="008C3B4C">
            <w:pPr>
              <w:pStyle w:val="Header"/>
            </w:pPr>
            <w:r w:rsidRPr="00EC55B3">
              <w:t>Phone Number</w:t>
            </w:r>
          </w:p>
        </w:tc>
        <w:tc>
          <w:tcPr>
            <w:tcW w:w="7560" w:type="dxa"/>
            <w:gridSpan w:val="2"/>
            <w:tcBorders>
              <w:bottom w:val="single" w:sz="4" w:space="0" w:color="auto"/>
            </w:tcBorders>
            <w:vAlign w:val="center"/>
          </w:tcPr>
          <w:p w14:paraId="4AE9CD3E" w14:textId="1D6A5CCD" w:rsidR="008C3B4C" w:rsidRDefault="0072531A" w:rsidP="008C3B4C">
            <w:pPr>
              <w:pStyle w:val="NormalArial"/>
            </w:pPr>
            <w:r>
              <w:t>646-866-8312</w:t>
            </w:r>
          </w:p>
        </w:tc>
      </w:tr>
      <w:tr w:rsidR="008C3B4C" w14:paraId="4DE195FE" w14:textId="77777777">
        <w:trPr>
          <w:trHeight w:val="350"/>
        </w:trPr>
        <w:tc>
          <w:tcPr>
            <w:tcW w:w="2880" w:type="dxa"/>
            <w:gridSpan w:val="2"/>
            <w:shd w:val="clear" w:color="auto" w:fill="FFFFFF"/>
            <w:vAlign w:val="center"/>
          </w:tcPr>
          <w:p w14:paraId="1B7FF4EF" w14:textId="77777777" w:rsidR="008C3B4C" w:rsidRPr="00EC55B3" w:rsidRDefault="008C3B4C" w:rsidP="008C3B4C">
            <w:pPr>
              <w:pStyle w:val="Header"/>
            </w:pPr>
            <w:r>
              <w:t>Cell</w:t>
            </w:r>
            <w:r w:rsidRPr="00EC55B3">
              <w:t xml:space="preserve"> Number</w:t>
            </w:r>
          </w:p>
        </w:tc>
        <w:tc>
          <w:tcPr>
            <w:tcW w:w="7560" w:type="dxa"/>
            <w:gridSpan w:val="2"/>
            <w:vAlign w:val="center"/>
          </w:tcPr>
          <w:p w14:paraId="16E442C1" w14:textId="63B48D62" w:rsidR="008C3B4C" w:rsidRDefault="0072531A" w:rsidP="008C3B4C">
            <w:pPr>
              <w:pStyle w:val="NormalArial"/>
            </w:pPr>
            <w:r>
              <w:t>512-912-6314</w:t>
            </w:r>
          </w:p>
        </w:tc>
      </w:tr>
      <w:tr w:rsidR="008C3B4C" w14:paraId="28B929D1" w14:textId="77777777">
        <w:trPr>
          <w:trHeight w:val="350"/>
        </w:trPr>
        <w:tc>
          <w:tcPr>
            <w:tcW w:w="2880" w:type="dxa"/>
            <w:gridSpan w:val="2"/>
            <w:tcBorders>
              <w:bottom w:val="single" w:sz="4" w:space="0" w:color="auto"/>
            </w:tcBorders>
            <w:shd w:val="clear" w:color="auto" w:fill="FFFFFF"/>
            <w:vAlign w:val="center"/>
          </w:tcPr>
          <w:p w14:paraId="62440DBC" w14:textId="77777777" w:rsidR="008C3B4C" w:rsidRPr="00EC55B3" w:rsidDel="00075A94" w:rsidRDefault="008C3B4C" w:rsidP="008C3B4C">
            <w:pPr>
              <w:pStyle w:val="Header"/>
            </w:pPr>
            <w:r>
              <w:t>Market Segment</w:t>
            </w:r>
          </w:p>
        </w:tc>
        <w:tc>
          <w:tcPr>
            <w:tcW w:w="7560" w:type="dxa"/>
            <w:gridSpan w:val="2"/>
            <w:tcBorders>
              <w:bottom w:val="single" w:sz="4" w:space="0" w:color="auto"/>
            </w:tcBorders>
            <w:vAlign w:val="center"/>
          </w:tcPr>
          <w:p w14:paraId="67CFC4AE" w14:textId="7E234406" w:rsidR="008C3B4C" w:rsidRDefault="008C3B4C" w:rsidP="008C3B4C">
            <w:pPr>
              <w:pStyle w:val="NormalArial"/>
            </w:pPr>
            <w:r>
              <w:t>Not applicable</w:t>
            </w:r>
          </w:p>
        </w:tc>
      </w:tr>
    </w:tbl>
    <w:p w14:paraId="4C777E4A"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2318" w14:paraId="5DCC872C" w14:textId="77777777" w:rsidTr="00DA29EA">
        <w:trPr>
          <w:trHeight w:val="350"/>
        </w:trPr>
        <w:tc>
          <w:tcPr>
            <w:tcW w:w="10440" w:type="dxa"/>
            <w:tcBorders>
              <w:bottom w:val="single" w:sz="4" w:space="0" w:color="auto"/>
            </w:tcBorders>
            <w:shd w:val="clear" w:color="auto" w:fill="FFFFFF"/>
            <w:vAlign w:val="center"/>
          </w:tcPr>
          <w:p w14:paraId="33F1C983" w14:textId="57BA3D2C" w:rsidR="009A2318" w:rsidRDefault="009A2318" w:rsidP="00DA29EA">
            <w:pPr>
              <w:pStyle w:val="Header"/>
              <w:jc w:val="center"/>
            </w:pPr>
            <w:r>
              <w:t>Comments</w:t>
            </w:r>
          </w:p>
        </w:tc>
      </w:tr>
    </w:tbl>
    <w:p w14:paraId="047E54EE" w14:textId="0264DDC3" w:rsidR="0072531A" w:rsidRDefault="0072531A" w:rsidP="009A2318">
      <w:pPr>
        <w:spacing w:before="120" w:after="120"/>
        <w:rPr>
          <w:rFonts w:ascii="Arial" w:hAnsi="Arial" w:cs="Arial"/>
        </w:rPr>
      </w:pPr>
      <w:r w:rsidRPr="009A2318">
        <w:rPr>
          <w:rFonts w:ascii="Arial" w:hAnsi="Arial" w:cs="Arial"/>
        </w:rPr>
        <w:t xml:space="preserve">As an Interconnecting Large Load Entity (ILLE) working actively with the communities where we are building, we seek rules and operating approaches that help us be a good neighbor and support a reliable ERCOT </w:t>
      </w:r>
      <w:r w:rsidR="009A2318">
        <w:rPr>
          <w:rFonts w:ascii="Arial" w:hAnsi="Arial" w:cs="Arial"/>
        </w:rPr>
        <w:t>S</w:t>
      </w:r>
      <w:r w:rsidRPr="009A2318">
        <w:rPr>
          <w:rFonts w:ascii="Arial" w:hAnsi="Arial" w:cs="Arial"/>
        </w:rPr>
        <w:t xml:space="preserve">ystem. </w:t>
      </w:r>
      <w:r w:rsidR="009A2318">
        <w:rPr>
          <w:rFonts w:ascii="Arial" w:hAnsi="Arial" w:cs="Arial"/>
        </w:rPr>
        <w:t xml:space="preserve"> </w:t>
      </w:r>
      <w:r w:rsidRPr="009A2318">
        <w:rPr>
          <w:rFonts w:ascii="Arial" w:hAnsi="Arial" w:cs="Arial"/>
        </w:rPr>
        <w:t xml:space="preserve">The Provisional Controllable Load Resource (PCLR) concept is an important feature that should be enhanced to recognize coordinated load, generation, and storage capability. We support the initiative proposed by the Global Capacity Alliance (GCA) in </w:t>
      </w:r>
      <w:r w:rsidR="009A2318">
        <w:rPr>
          <w:rFonts w:ascii="Arial" w:hAnsi="Arial" w:cs="Arial"/>
        </w:rPr>
        <w:t>Nodal Protocol Revision Request (</w:t>
      </w:r>
      <w:r w:rsidRPr="009A2318">
        <w:rPr>
          <w:rFonts w:ascii="Arial" w:hAnsi="Arial" w:cs="Arial"/>
        </w:rPr>
        <w:t>NPRR</w:t>
      </w:r>
      <w:r w:rsidR="009A2318">
        <w:rPr>
          <w:rFonts w:ascii="Arial" w:hAnsi="Arial" w:cs="Arial"/>
        </w:rPr>
        <w:t xml:space="preserve">) </w:t>
      </w:r>
      <w:r w:rsidRPr="009A2318">
        <w:rPr>
          <w:rFonts w:ascii="Arial" w:hAnsi="Arial" w:cs="Arial"/>
        </w:rPr>
        <w:t>1348 and request high-priority consideration of a practical, implementable telemetry-offset pathway that preserves ERCOT visibility, transmission security, and enforceable curtailment obligations.</w:t>
      </w:r>
    </w:p>
    <w:p w14:paraId="7D8CE9BA" w14:textId="77777777" w:rsidR="0072531A" w:rsidRPr="009A2318" w:rsidRDefault="0072531A" w:rsidP="009A2318">
      <w:pPr>
        <w:pStyle w:val="Heading1"/>
        <w:spacing w:before="120" w:after="120"/>
        <w:rPr>
          <w:rFonts w:ascii="Arial" w:hAnsi="Arial" w:cs="Arial"/>
        </w:rPr>
      </w:pPr>
      <w:r w:rsidRPr="009A2318">
        <w:rPr>
          <w:rFonts w:ascii="Arial" w:hAnsi="Arial" w:cs="Arial"/>
        </w:rPr>
        <w:t>Align market participation with the direction established by SB 6</w:t>
      </w:r>
    </w:p>
    <w:p w14:paraId="21EF7869" w14:textId="7F055654" w:rsidR="0072531A" w:rsidRPr="009A2318" w:rsidRDefault="0072531A" w:rsidP="009A2318">
      <w:pPr>
        <w:spacing w:before="120" w:after="120"/>
        <w:rPr>
          <w:rFonts w:ascii="Arial" w:hAnsi="Arial" w:cs="Arial"/>
        </w:rPr>
      </w:pPr>
      <w:r w:rsidRPr="009A2318">
        <w:rPr>
          <w:rFonts w:ascii="Arial" w:hAnsi="Arial" w:cs="Arial"/>
        </w:rPr>
        <w:t xml:space="preserve">SB 6 directs the Public Utility Commission of Texas (PUCT) to establish </w:t>
      </w:r>
      <w:r w:rsidR="009A2318">
        <w:rPr>
          <w:rFonts w:ascii="Arial" w:hAnsi="Arial" w:cs="Arial"/>
        </w:rPr>
        <w:t>L</w:t>
      </w:r>
      <w:r w:rsidRPr="009A2318">
        <w:rPr>
          <w:rFonts w:ascii="Arial" w:hAnsi="Arial" w:cs="Arial"/>
        </w:rPr>
        <w:t>arge</w:t>
      </w:r>
      <w:r w:rsidR="009A2318">
        <w:rPr>
          <w:rFonts w:ascii="Arial" w:hAnsi="Arial" w:cs="Arial"/>
        </w:rPr>
        <w:t xml:space="preserve"> L</w:t>
      </w:r>
      <w:r w:rsidRPr="009A2318">
        <w:rPr>
          <w:rFonts w:ascii="Arial" w:hAnsi="Arial" w:cs="Arial"/>
        </w:rPr>
        <w:t xml:space="preserve">oad interconnection standards designed to support business development, minimize the potential for stranded infrastructure costs, and maintain system reliability. Its firm </w:t>
      </w:r>
      <w:r w:rsidR="009A2318">
        <w:rPr>
          <w:rFonts w:ascii="Arial" w:hAnsi="Arial" w:cs="Arial"/>
        </w:rPr>
        <w:t>L</w:t>
      </w:r>
      <w:r w:rsidRPr="009A2318">
        <w:rPr>
          <w:rFonts w:ascii="Arial" w:hAnsi="Arial" w:cs="Arial"/>
        </w:rPr>
        <w:t xml:space="preserve">oad shed provisions require utilities serving transmission-voltage customers to develop curtailment protocols for </w:t>
      </w:r>
      <w:r w:rsidR="009A2318">
        <w:rPr>
          <w:rFonts w:ascii="Arial" w:hAnsi="Arial" w:cs="Arial"/>
        </w:rPr>
        <w:t>L</w:t>
      </w:r>
      <w:r w:rsidRPr="009A2318">
        <w:rPr>
          <w:rFonts w:ascii="Arial" w:hAnsi="Arial" w:cs="Arial"/>
        </w:rPr>
        <w:t xml:space="preserve">oads interconnected after December 31, 2025, subject to statutory exceptions. It also provides for deployment of qualifying on-site backup generation as an alternative to curtailment under specified emergency conditions. These provisions support a broader direction toward controllable grid demand and coordinated use of on-site capability. They do not, by themselves, require every </w:t>
      </w:r>
      <w:r w:rsidR="009A2318">
        <w:rPr>
          <w:rFonts w:ascii="Arial" w:hAnsi="Arial" w:cs="Arial"/>
        </w:rPr>
        <w:t>L</w:t>
      </w:r>
      <w:r w:rsidRPr="009A2318">
        <w:rPr>
          <w:rFonts w:ascii="Arial" w:hAnsi="Arial" w:cs="Arial"/>
        </w:rPr>
        <w:t xml:space="preserve">arge </w:t>
      </w:r>
      <w:r w:rsidR="009A2318">
        <w:rPr>
          <w:rFonts w:ascii="Arial" w:hAnsi="Arial" w:cs="Arial"/>
        </w:rPr>
        <w:t>L</w:t>
      </w:r>
      <w:r w:rsidRPr="009A2318">
        <w:rPr>
          <w:rFonts w:ascii="Arial" w:hAnsi="Arial" w:cs="Arial"/>
        </w:rPr>
        <w:t xml:space="preserve">oad to install batteries or qualify as a </w:t>
      </w:r>
      <w:r w:rsidR="009A2318">
        <w:rPr>
          <w:rFonts w:ascii="Arial" w:hAnsi="Arial" w:cs="Arial"/>
        </w:rPr>
        <w:t>R</w:t>
      </w:r>
      <w:r w:rsidRPr="009A2318">
        <w:rPr>
          <w:rFonts w:ascii="Arial" w:hAnsi="Arial" w:cs="Arial"/>
        </w:rPr>
        <w:t>esource dispatched by Security-Constrained Economic Dispatch (SCED). [1]</w:t>
      </w:r>
    </w:p>
    <w:p w14:paraId="7AEB2716" w14:textId="77777777" w:rsidR="0072531A" w:rsidRPr="009A2318" w:rsidRDefault="0072531A" w:rsidP="009A2318">
      <w:pPr>
        <w:spacing w:before="120" w:after="120"/>
        <w:rPr>
          <w:rFonts w:ascii="Arial" w:hAnsi="Arial" w:cs="Arial"/>
        </w:rPr>
      </w:pPr>
      <w:r w:rsidRPr="009A2318">
        <w:rPr>
          <w:rFonts w:ascii="Arial" w:hAnsi="Arial" w:cs="Arial"/>
        </w:rPr>
        <w:t xml:space="preserve">A market pathway that recognizes qualified load flexibility together with available generation and storage is consistent with that direction. Batteries installed for operational needs may also offer useful market capability after capacity needed to meet </w:t>
      </w:r>
      <w:r w:rsidRPr="009A2318">
        <w:rPr>
          <w:rFonts w:ascii="Arial" w:hAnsi="Arial" w:cs="Arial"/>
        </w:rPr>
        <w:lastRenderedPageBreak/>
        <w:t>the site's operational requirements has been reserved. The rules should enable that capability to be demonstrated and used, with clear limits on what is available to ERCOT.</w:t>
      </w:r>
    </w:p>
    <w:p w14:paraId="2A477A1E" w14:textId="77777777" w:rsidR="0072531A" w:rsidRPr="009A2318" w:rsidRDefault="0072531A" w:rsidP="009A2318">
      <w:pPr>
        <w:pStyle w:val="Heading1"/>
        <w:spacing w:before="120" w:after="120"/>
        <w:rPr>
          <w:rFonts w:ascii="Arial" w:hAnsi="Arial" w:cs="Arial"/>
        </w:rPr>
      </w:pPr>
      <w:r w:rsidRPr="009A2318">
        <w:rPr>
          <w:rFonts w:ascii="Arial" w:hAnsi="Arial" w:cs="Arial"/>
        </w:rPr>
        <w:t>Act on the needs identified in ERCOT's September 24 workshop</w:t>
      </w:r>
    </w:p>
    <w:p w14:paraId="1324A5F2" w14:textId="476411AA" w:rsidR="0072531A" w:rsidRPr="009A2318" w:rsidRDefault="0072531A" w:rsidP="009A2318">
      <w:pPr>
        <w:spacing w:before="120" w:after="120"/>
        <w:rPr>
          <w:rFonts w:ascii="Arial" w:hAnsi="Arial" w:cs="Arial"/>
        </w:rPr>
      </w:pPr>
      <w:r w:rsidRPr="009A2318">
        <w:rPr>
          <w:rFonts w:ascii="Arial" w:hAnsi="Arial" w:cs="Arial"/>
        </w:rPr>
        <w:t>ERCOT's September 24, 2026 Comprehensive Transmission Planning (</w:t>
      </w:r>
      <w:r w:rsidR="009A2318">
        <w:rPr>
          <w:rFonts w:ascii="Arial" w:hAnsi="Arial" w:cs="Arial"/>
        </w:rPr>
        <w:t>“</w:t>
      </w:r>
      <w:r w:rsidRPr="009A2318">
        <w:rPr>
          <w:rFonts w:ascii="Arial" w:hAnsi="Arial" w:cs="Arial"/>
        </w:rPr>
        <w:t>CTP</w:t>
      </w:r>
      <w:r w:rsidR="009A2318">
        <w:rPr>
          <w:rFonts w:ascii="Arial" w:hAnsi="Arial" w:cs="Arial"/>
        </w:rPr>
        <w:t>”</w:t>
      </w:r>
      <w:r w:rsidRPr="009A2318">
        <w:rPr>
          <w:rFonts w:ascii="Arial" w:hAnsi="Arial" w:cs="Arial"/>
        </w:rPr>
        <w:t>) Stakeholder Workshop 2 identifies three battery enhancements on slide 18: defining operational battery registration (item 15), developing rules for market participation by operational batteries (item 16), and developing rules for using an interconnected battery as part of PCLR (item 17). Slide 18 also identifies the Netted Network concept (item 11) discussed at the August 21 Large Load Working Group (LLWG) meeting and calls for considering its planning implications if adopted in operations. [2]</w:t>
      </w:r>
    </w:p>
    <w:p w14:paraId="429741FE" w14:textId="75027989" w:rsidR="0072531A" w:rsidRPr="009A2318" w:rsidRDefault="0072531A" w:rsidP="009A2318">
      <w:pPr>
        <w:spacing w:before="120" w:after="120"/>
        <w:rPr>
          <w:rFonts w:ascii="Arial" w:hAnsi="Arial" w:cs="Arial"/>
        </w:rPr>
      </w:pPr>
      <w:r w:rsidRPr="009A2318">
        <w:rPr>
          <w:rFonts w:ascii="Arial" w:hAnsi="Arial" w:cs="Arial"/>
        </w:rPr>
        <w:t xml:space="preserve">Slide 11 summarizes near-term stakeholder priorities, and slide 19 reports the underlying Question 9 results. Question 9 asked stakeholders to select their four highest-priority near-term Bring Your Own Generation (BYOG) enhancements. Operational battery registration received 17 selections, and rules for using an interconnected battery as part of PCLR received 16 selections. These figures are stakeholder survey selection counts, not enhancement item numbers or ERCOT commitments. Question 9 also recorded 24 selections for </w:t>
      </w:r>
      <w:r w:rsidR="009A2318">
        <w:rPr>
          <w:rFonts w:ascii="Arial" w:hAnsi="Arial" w:cs="Arial"/>
        </w:rPr>
        <w:t>L</w:t>
      </w:r>
      <w:r w:rsidRPr="009A2318">
        <w:rPr>
          <w:rFonts w:ascii="Arial" w:hAnsi="Arial" w:cs="Arial"/>
        </w:rPr>
        <w:t>arge</w:t>
      </w:r>
      <w:r w:rsidR="009A2318">
        <w:rPr>
          <w:rFonts w:ascii="Arial" w:hAnsi="Arial" w:cs="Arial"/>
        </w:rPr>
        <w:t xml:space="preserve"> L</w:t>
      </w:r>
      <w:r w:rsidRPr="009A2318">
        <w:rPr>
          <w:rFonts w:ascii="Arial" w:hAnsi="Arial" w:cs="Arial"/>
        </w:rPr>
        <w:t>oad self-supply outside of Batch and 21 for BYOG at a different location. [2]</w:t>
      </w:r>
    </w:p>
    <w:p w14:paraId="3FCB8205" w14:textId="77777777" w:rsidR="0072531A" w:rsidRPr="009A2318" w:rsidRDefault="0072531A" w:rsidP="009A2318">
      <w:pPr>
        <w:spacing w:before="120" w:after="120"/>
        <w:rPr>
          <w:rFonts w:ascii="Arial" w:hAnsi="Arial" w:cs="Arial"/>
        </w:rPr>
      </w:pPr>
      <w:r w:rsidRPr="009A2318">
        <w:rPr>
          <w:rFonts w:ascii="Arial" w:hAnsi="Arial" w:cs="Arial"/>
        </w:rPr>
        <w:t>Slide 20 distinguishes the top-four short-term and long-term priorities. It marks operational battery registration as a top-four short-term priority. The PCLR battery enhancement received 16 near-term selections in Question 9 but has no top-four designation on slide 20. [2]</w:t>
      </w:r>
    </w:p>
    <w:p w14:paraId="7FFEEE9B" w14:textId="77777777" w:rsidR="0072531A" w:rsidRPr="009A2318" w:rsidRDefault="0072531A" w:rsidP="009A2318">
      <w:pPr>
        <w:spacing w:before="120" w:after="120"/>
        <w:rPr>
          <w:rFonts w:ascii="Arial" w:hAnsi="Arial" w:cs="Arial"/>
        </w:rPr>
      </w:pPr>
      <w:r w:rsidRPr="009A2318">
        <w:rPr>
          <w:rFonts w:ascii="Arial" w:hAnsi="Arial" w:cs="Arial"/>
        </w:rPr>
        <w:t>These survey results support prioritizing coordinated load, generation, and storage arrangements. They reflect stakeholder priorities rather than ERCOT's endorsement of NPRR1348. Several listed enhancements address related operational gaps; evaluating a focused solution against those gaps can advance multiple objectives together.</w:t>
      </w:r>
    </w:p>
    <w:p w14:paraId="7214AB43" w14:textId="77777777" w:rsidR="0072531A" w:rsidRPr="009A2318" w:rsidRDefault="0072531A" w:rsidP="009A2318">
      <w:pPr>
        <w:pStyle w:val="Heading1"/>
        <w:spacing w:before="120" w:after="120"/>
        <w:rPr>
          <w:rFonts w:ascii="Arial" w:hAnsi="Arial" w:cs="Arial"/>
        </w:rPr>
      </w:pPr>
      <w:r w:rsidRPr="009A2318">
        <w:rPr>
          <w:rFonts w:ascii="Arial" w:hAnsi="Arial" w:cs="Arial"/>
        </w:rPr>
        <w:t>Build on market constructs ERCOT already uses</w:t>
      </w:r>
    </w:p>
    <w:p w14:paraId="1DFB2C64" w14:textId="77777777" w:rsidR="0072531A" w:rsidRPr="009A2318" w:rsidRDefault="0072531A" w:rsidP="009A2318">
      <w:pPr>
        <w:spacing w:before="120" w:after="120"/>
        <w:rPr>
          <w:rFonts w:ascii="Arial" w:hAnsi="Arial" w:cs="Arial"/>
        </w:rPr>
      </w:pPr>
      <w:r w:rsidRPr="009A2318">
        <w:rPr>
          <w:rFonts w:ascii="Arial" w:hAnsi="Arial" w:cs="Arial"/>
        </w:rPr>
        <w:t>ERCOT already has experience mapping multiple physical devices into market representations. Combined-cycle configurations associate specific physical units with logical market capability while retaining physical modeling and availability information. Aggregate Generation Resources can combine qualifying small generators, and wind and solar resources aggregate individual devices under established modeling rules. The Energy Storage Resource (ESR) single model already supports an Energy Bid/Offer Curve covering charging and discharging. [3]</w:t>
      </w:r>
    </w:p>
    <w:p w14:paraId="47E2C654" w14:textId="77777777" w:rsidR="0072531A" w:rsidRPr="009A2318" w:rsidRDefault="0072531A" w:rsidP="009A2318">
      <w:pPr>
        <w:spacing w:before="120" w:after="120"/>
        <w:rPr>
          <w:rFonts w:ascii="Arial" w:hAnsi="Arial" w:cs="Arial"/>
        </w:rPr>
      </w:pPr>
      <w:r w:rsidRPr="009A2318">
        <w:rPr>
          <w:rFonts w:ascii="Arial" w:hAnsi="Arial" w:cs="Arial"/>
        </w:rPr>
        <w:t>These precedents provide tools and experience for the proposed approach and support evaluating how existing telemetry, capability limits, and dispatch functions can be reused. They do not establish that NPRR1348 requires no system changes. ERCOT should identify the minimum changes and associated validation needed for a reliable initial implementation, then distinguish those changes from enhancements that can follow.</w:t>
      </w:r>
    </w:p>
    <w:p w14:paraId="61DF61BA" w14:textId="77777777" w:rsidR="0072531A" w:rsidRPr="009A2318" w:rsidRDefault="0072531A" w:rsidP="009A2318">
      <w:pPr>
        <w:pStyle w:val="Heading1"/>
        <w:spacing w:before="120" w:after="120"/>
        <w:rPr>
          <w:rFonts w:ascii="Arial" w:hAnsi="Arial" w:cs="Arial"/>
        </w:rPr>
      </w:pPr>
      <w:r w:rsidRPr="009A2318">
        <w:rPr>
          <w:rFonts w:ascii="Arial" w:hAnsi="Arial" w:cs="Arial"/>
        </w:rPr>
        <w:lastRenderedPageBreak/>
        <w:t>Keep the initial pathway clear and enforceable</w:t>
      </w:r>
    </w:p>
    <w:p w14:paraId="51B4F4E9" w14:textId="77777777" w:rsidR="0072531A" w:rsidRPr="009A2318" w:rsidRDefault="0072531A" w:rsidP="009A2318">
      <w:pPr>
        <w:spacing w:before="120" w:after="120"/>
        <w:rPr>
          <w:rFonts w:ascii="Arial" w:hAnsi="Arial" w:cs="Arial"/>
        </w:rPr>
      </w:pPr>
      <w:r w:rsidRPr="009A2318">
        <w:rPr>
          <w:rFonts w:ascii="Arial" w:hAnsi="Arial" w:cs="Arial"/>
        </w:rPr>
        <w:t>PCLR remains a Controllable Load Resource (CLR) construct. The rules should distinguish controllable end-use consumption from relief supplied by generation or storage. A temporary offset should have a defined quantity, performance boundary, duration, and fallback when the paired resource becomes unavailable. Storage capability must reflect state of charge and operational reserves; capacity must not be credited twice toward incompatible obligations.</w:t>
      </w:r>
    </w:p>
    <w:p w14:paraId="26246E68" w14:textId="7DAAADCB" w:rsidR="0072531A" w:rsidRPr="009A2318" w:rsidRDefault="0072531A" w:rsidP="009A2318">
      <w:pPr>
        <w:spacing w:before="120" w:after="120"/>
        <w:rPr>
          <w:rFonts w:ascii="Arial" w:hAnsi="Arial" w:cs="Arial"/>
        </w:rPr>
      </w:pPr>
      <w:r w:rsidRPr="009A2318">
        <w:rPr>
          <w:rFonts w:ascii="Arial" w:hAnsi="Arial" w:cs="Arial"/>
        </w:rPr>
        <w:t xml:space="preserve">Retain component Resource IDs, telemetry, and applicable outage reporting. Register permitted pairings or configurations so the market can identify the capability available in future intervals and in </w:t>
      </w:r>
      <w:r w:rsidR="009A2318">
        <w:rPr>
          <w:rFonts w:ascii="Arial" w:hAnsi="Arial" w:cs="Arial"/>
        </w:rPr>
        <w:t>R</w:t>
      </w:r>
      <w:r w:rsidRPr="009A2318">
        <w:rPr>
          <w:rFonts w:ascii="Arial" w:hAnsi="Arial" w:cs="Arial"/>
        </w:rPr>
        <w:t>eal</w:t>
      </w:r>
      <w:r w:rsidR="009A2318">
        <w:rPr>
          <w:rFonts w:ascii="Arial" w:hAnsi="Arial" w:cs="Arial"/>
        </w:rPr>
        <w:t>-T</w:t>
      </w:r>
      <w:r w:rsidRPr="009A2318">
        <w:rPr>
          <w:rFonts w:ascii="Arial" w:hAnsi="Arial" w:cs="Arial"/>
        </w:rPr>
        <w:t xml:space="preserve">ime. Netting at a common </w:t>
      </w:r>
      <w:r w:rsidR="009A2318">
        <w:rPr>
          <w:rFonts w:ascii="Arial" w:hAnsi="Arial" w:cs="Arial"/>
        </w:rPr>
        <w:t>P</w:t>
      </w:r>
      <w:r w:rsidRPr="009A2318">
        <w:rPr>
          <w:rFonts w:ascii="Arial" w:hAnsi="Arial" w:cs="Arial"/>
        </w:rPr>
        <w:t xml:space="preserve">oint of </w:t>
      </w:r>
      <w:r w:rsidR="009A2318">
        <w:rPr>
          <w:rFonts w:ascii="Arial" w:hAnsi="Arial" w:cs="Arial"/>
        </w:rPr>
        <w:t>I</w:t>
      </w:r>
      <w:r w:rsidRPr="009A2318">
        <w:rPr>
          <w:rFonts w:ascii="Arial" w:hAnsi="Arial" w:cs="Arial"/>
        </w:rPr>
        <w:t>nterconnection (POI) and pairing across separate POIs require distinct electrical qualification; a shared commercial arrangement or assigned node should not substitute for demonstrated transmission effectiveness. A future composite or Netted Network Resource could build on this foundation without making a complete redesign a prerequisite to a workable initial offset pathway.</w:t>
      </w:r>
    </w:p>
    <w:p w14:paraId="5EAC4480" w14:textId="77777777" w:rsidR="0072531A" w:rsidRPr="009A2318" w:rsidRDefault="0072531A" w:rsidP="009A2318">
      <w:pPr>
        <w:pStyle w:val="Heading1"/>
        <w:spacing w:before="120" w:after="120"/>
        <w:rPr>
          <w:rFonts w:ascii="Arial" w:hAnsi="Arial" w:cs="Arial"/>
        </w:rPr>
      </w:pPr>
      <w:r w:rsidRPr="009A2318">
        <w:rPr>
          <w:rFonts w:ascii="Arial" w:hAnsi="Arial" w:cs="Arial"/>
        </w:rPr>
        <w:t>Resolve the initial scope while Batch Zero decisions are being made</w:t>
      </w:r>
    </w:p>
    <w:p w14:paraId="11CCCF99" w14:textId="77777777" w:rsidR="0072531A" w:rsidRPr="009A2318" w:rsidRDefault="0072531A" w:rsidP="009A2318">
      <w:pPr>
        <w:spacing w:before="120" w:after="120"/>
        <w:rPr>
          <w:rFonts w:ascii="Arial" w:hAnsi="Arial" w:cs="Arial"/>
        </w:rPr>
      </w:pPr>
      <w:r w:rsidRPr="009A2318">
        <w:rPr>
          <w:rFonts w:ascii="Arial" w:hAnsi="Arial" w:cs="Arial"/>
        </w:rPr>
        <w:t>As Batch Zero studies, commitments, and facility designs proceed, developers need to understand how qualifying load, generation, and storage will operate together once connected. Prompt alignment between planning assumptions and operating rules can avoid later redesign and restudy. Subject to verified performance and system limits, broader dispatchable capability could reduce avoidable curtailment and improve use of available infrastructure. The potential system-cost benefits warrant timely evaluation; they should not be assumed or quantified without analysis.</w:t>
      </w:r>
    </w:p>
    <w:p w14:paraId="7944E60A" w14:textId="77777777" w:rsidR="0072531A" w:rsidRPr="009A2318" w:rsidRDefault="0072531A" w:rsidP="009A2318">
      <w:pPr>
        <w:spacing w:before="120" w:after="120"/>
        <w:rPr>
          <w:rFonts w:ascii="Arial" w:hAnsi="Arial" w:cs="Arial"/>
        </w:rPr>
      </w:pPr>
      <w:r w:rsidRPr="009A2318">
        <w:rPr>
          <w:rFonts w:ascii="Arial" w:hAnsi="Arial" w:cs="Arial"/>
        </w:rPr>
        <w:t>We support GCA's request for a bounded review rather than an open-ended delay. ERCOT's October 6, 2026 comments identify market complexity and competing priorities; those concerns deserve a focused response with specific deliverables. [4] If the Protocol Revision Subcommittee (PRS) tables NPRR1348, we request a defined LLWG/CTP review scope, an initial implementable option, and a report back at the next PRS meeting, consistent with the one-month review requested in GCA's October 7, 2026 comments. [5] High priority should mean an accountable path to approval and implementation with the necessary reliability protections.</w:t>
      </w:r>
    </w:p>
    <w:p w14:paraId="0578A4D9" w14:textId="77777777" w:rsidR="0072531A" w:rsidRPr="009A2318" w:rsidRDefault="0072531A" w:rsidP="009A2318">
      <w:pPr>
        <w:pStyle w:val="Heading1"/>
        <w:spacing w:before="120" w:after="120"/>
        <w:rPr>
          <w:rFonts w:ascii="Arial" w:hAnsi="Arial" w:cs="Arial"/>
        </w:rPr>
      </w:pPr>
      <w:r w:rsidRPr="009A2318">
        <w:rPr>
          <w:rFonts w:ascii="Arial" w:hAnsi="Arial" w:cs="Arial"/>
        </w:rPr>
        <w:t>References</w:t>
      </w:r>
    </w:p>
    <w:p w14:paraId="0058C186" w14:textId="77777777" w:rsidR="0072531A" w:rsidRPr="009A2318" w:rsidRDefault="0072531A" w:rsidP="0072531A">
      <w:pPr>
        <w:rPr>
          <w:rFonts w:ascii="Arial" w:hAnsi="Arial" w:cs="Arial"/>
        </w:rPr>
      </w:pPr>
      <w:r w:rsidRPr="009A2318">
        <w:rPr>
          <w:rFonts w:ascii="Arial" w:hAnsi="Arial" w:cs="Arial"/>
          <w:sz w:val="18"/>
        </w:rPr>
        <w:t>[1] SB 6, 89th Texas Legislature, Regular Session, enrolled text, Sections 2 and 4; Utilities Code Sections 37.0561(b), (c), and (e), and 39.170(a). Supplied SB-6.pdf, pp. 1-2 and 4. Official text: https://capitol.texas.gov/tlodocs/89R/billtext/html/SB00006F.htm</w:t>
      </w:r>
    </w:p>
    <w:p w14:paraId="6804D6FE" w14:textId="77777777" w:rsidR="0072531A" w:rsidRPr="009A2318" w:rsidRDefault="0072531A" w:rsidP="0072531A">
      <w:pPr>
        <w:rPr>
          <w:rFonts w:ascii="Arial" w:hAnsi="Arial" w:cs="Arial"/>
        </w:rPr>
      </w:pPr>
      <w:r w:rsidRPr="009A2318">
        <w:rPr>
          <w:rFonts w:ascii="Arial" w:hAnsi="Arial" w:cs="Arial"/>
          <w:sz w:val="18"/>
        </w:rPr>
        <w:t>[2] ERCOT, Comprehensive Transmission Planning and Batch 1+, Stakeholder Workshop 2, September 24, 2026, Version 2 (1-ERCOT-CTP-stakeholder-workshop-2_09242026_v2.pptx): slide 11, "Batch processes: Key takeaways from the survey"; slide 18, "Batch processes: Priority BYOG enhancements (2/4)" (items 11 and 15-17); slide 19, "Batch processes: Priority BYOG enhancements (3/4)" (Question 9 near-term selection counts); and slide 20, "Batch processes: Priority BYOG enhancements (4/4)" (top-four short-term and long-term priorities).</w:t>
      </w:r>
    </w:p>
    <w:p w14:paraId="1CB8B9A6" w14:textId="77777777" w:rsidR="0072531A" w:rsidRPr="009A2318" w:rsidRDefault="0072531A" w:rsidP="0072531A">
      <w:pPr>
        <w:rPr>
          <w:rFonts w:ascii="Arial" w:hAnsi="Arial" w:cs="Arial"/>
        </w:rPr>
      </w:pPr>
      <w:r w:rsidRPr="009A2318">
        <w:rPr>
          <w:rFonts w:ascii="Arial" w:hAnsi="Arial" w:cs="Arial"/>
          <w:sz w:val="18"/>
        </w:rPr>
        <w:t>[3] ERCOT Nodal Protocols, Section 2.1 definitions of CLR, PCLR, Aggregate Generation Resource, Combined Cycle Generation Resource, WGR, PVGR, and Energy Bid/Offer Curve; Sections 3.8.2 and 3.9.1(6). August 2026 Section 2 and 3 source files. ESR Single Model: https://www.ercot.com/mktrules/issues/NPRR1014</w:t>
      </w:r>
    </w:p>
    <w:p w14:paraId="75B6E254" w14:textId="77777777" w:rsidR="0072531A" w:rsidRPr="009A2318" w:rsidRDefault="0072531A" w:rsidP="0072531A">
      <w:pPr>
        <w:rPr>
          <w:rFonts w:ascii="Arial" w:hAnsi="Arial" w:cs="Arial"/>
        </w:rPr>
      </w:pPr>
      <w:r w:rsidRPr="009A2318">
        <w:rPr>
          <w:rFonts w:ascii="Arial" w:hAnsi="Arial" w:cs="Arial"/>
          <w:sz w:val="18"/>
        </w:rPr>
        <w:lastRenderedPageBreak/>
        <w:t>[4] NPRR1348 proposal, September 29, 2026, and ERCOT comments, October 6, 2026, available at https://www.ercot.com/mktrules/issues/NPRR1348</w:t>
      </w:r>
    </w:p>
    <w:p w14:paraId="27F00B4C" w14:textId="08A8B70B" w:rsidR="00BD7258" w:rsidRPr="009A2318" w:rsidRDefault="0072531A" w:rsidP="009A2318">
      <w:pPr>
        <w:spacing w:after="120"/>
        <w:rPr>
          <w:rFonts w:ascii="Arial" w:hAnsi="Arial" w:cs="Arial"/>
        </w:rPr>
      </w:pPr>
      <w:r w:rsidRPr="009A2318">
        <w:rPr>
          <w:rFonts w:ascii="Arial" w:hAnsi="Arial" w:cs="Arial"/>
          <w:sz w:val="18"/>
        </w:rPr>
        <w:t>[5] Global Capacity Alliance, NPRR1348 comments, October 7, 2026, "Recommendation for Tabling"; 1348NPRR-04 Global Capacity Alliance Comments 100726, available at https://www.ercot.com/mktrules/issues/NPRR1348</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52AC0F4E" w14:textId="77777777" w:rsidTr="00B5080A">
        <w:trPr>
          <w:trHeight w:val="350"/>
        </w:trPr>
        <w:tc>
          <w:tcPr>
            <w:tcW w:w="10440" w:type="dxa"/>
            <w:tcBorders>
              <w:bottom w:val="single" w:sz="4" w:space="0" w:color="auto"/>
            </w:tcBorders>
            <w:shd w:val="clear" w:color="auto" w:fill="FFFFFF"/>
            <w:vAlign w:val="center"/>
          </w:tcPr>
          <w:p w14:paraId="3EEE2FC9" w14:textId="77777777" w:rsidR="00BD7258" w:rsidRDefault="00BD7258" w:rsidP="00B5080A">
            <w:pPr>
              <w:pStyle w:val="Header"/>
              <w:jc w:val="center"/>
            </w:pPr>
            <w:r>
              <w:t>Revised Cover Page Language</w:t>
            </w:r>
          </w:p>
        </w:tc>
      </w:tr>
    </w:tbl>
    <w:p w14:paraId="2D408560" w14:textId="2A4AB081" w:rsidR="00BD7258" w:rsidRDefault="008C3B4C" w:rsidP="008C3B4C">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0871CEA" w14:textId="77777777">
        <w:trPr>
          <w:trHeight w:val="350"/>
        </w:trPr>
        <w:tc>
          <w:tcPr>
            <w:tcW w:w="10440" w:type="dxa"/>
            <w:tcBorders>
              <w:bottom w:val="single" w:sz="4" w:space="0" w:color="auto"/>
            </w:tcBorders>
            <w:shd w:val="clear" w:color="auto" w:fill="FFFFFF"/>
            <w:vAlign w:val="center"/>
          </w:tcPr>
          <w:p w14:paraId="1F4977D6" w14:textId="77777777" w:rsidR="00152993" w:rsidRDefault="00152993">
            <w:pPr>
              <w:pStyle w:val="Header"/>
              <w:jc w:val="center"/>
            </w:pPr>
            <w:r>
              <w:t>Revised Proposed Protocol Language</w:t>
            </w:r>
          </w:p>
        </w:tc>
      </w:tr>
    </w:tbl>
    <w:p w14:paraId="081D7CF8" w14:textId="3B4158BF" w:rsidR="00152993" w:rsidRPr="0061486F" w:rsidRDefault="008C3B4C" w:rsidP="008C3B4C">
      <w:pPr>
        <w:pStyle w:val="NormalArial"/>
        <w:spacing w:before="120" w:after="120"/>
      </w:pPr>
      <w:r>
        <w:t>None.</w:t>
      </w:r>
    </w:p>
    <w:sectPr w:rsidR="00152993" w:rsidRPr="0061486F" w:rsidSect="0074209E">
      <w:headerReference w:type="default" r:id="rId10"/>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B89AB" w14:textId="77777777" w:rsidR="00A104B1" w:rsidRDefault="00A104B1">
      <w:r>
        <w:separator/>
      </w:r>
    </w:p>
  </w:endnote>
  <w:endnote w:type="continuationSeparator" w:id="0">
    <w:p w14:paraId="549A5D72" w14:textId="77777777" w:rsidR="00A104B1" w:rsidRDefault="00A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3C76" w14:textId="0DCB17B1"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9A2318">
      <w:rPr>
        <w:rFonts w:ascii="Arial" w:hAnsi="Arial"/>
        <w:noProof/>
        <w:sz w:val="18"/>
      </w:rPr>
      <w:t>1348NPRR-05 Cipher Digital Comments 100826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476071C7"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8880" w14:textId="77777777" w:rsidR="00A104B1" w:rsidRDefault="00A104B1">
      <w:r>
        <w:separator/>
      </w:r>
    </w:p>
  </w:footnote>
  <w:footnote w:type="continuationSeparator" w:id="0">
    <w:p w14:paraId="24A65B85" w14:textId="77777777" w:rsidR="00A104B1" w:rsidRDefault="00A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5561" w14:textId="77777777" w:rsidR="00EE6681" w:rsidRDefault="00EE6681">
    <w:pPr>
      <w:pStyle w:val="Header"/>
      <w:jc w:val="center"/>
      <w:rPr>
        <w:sz w:val="32"/>
      </w:rPr>
    </w:pPr>
    <w:r>
      <w:rPr>
        <w:sz w:val="32"/>
      </w:rPr>
      <w:t>NPRR Comments</w:t>
    </w:r>
  </w:p>
  <w:p w14:paraId="007A3A91"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CF52CBC"/>
    <w:multiLevelType w:val="multilevel"/>
    <w:tmpl w:val="A25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D365AE"/>
    <w:multiLevelType w:val="multilevel"/>
    <w:tmpl w:val="0AD2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10937763">
    <w:abstractNumId w:val="1"/>
  </w:num>
  <w:num w:numId="2" w16cid:durableId="1188055711">
    <w:abstractNumId w:val="4"/>
  </w:num>
  <w:num w:numId="3" w16cid:durableId="1600337363">
    <w:abstractNumId w:val="3"/>
  </w:num>
  <w:num w:numId="4" w16cid:durableId="994921457">
    <w:abstractNumId w:val="2"/>
  </w:num>
  <w:num w:numId="5" w16cid:durableId="356542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75A94"/>
    <w:rsid w:val="00085214"/>
    <w:rsid w:val="000A081C"/>
    <w:rsid w:val="000D70B4"/>
    <w:rsid w:val="000E2793"/>
    <w:rsid w:val="00106F0E"/>
    <w:rsid w:val="00132855"/>
    <w:rsid w:val="00152993"/>
    <w:rsid w:val="00170297"/>
    <w:rsid w:val="00177853"/>
    <w:rsid w:val="00183EE1"/>
    <w:rsid w:val="001A1DB3"/>
    <w:rsid w:val="001A227D"/>
    <w:rsid w:val="001E2032"/>
    <w:rsid w:val="002E113D"/>
    <w:rsid w:val="002E2919"/>
    <w:rsid w:val="003010C0"/>
    <w:rsid w:val="0030721E"/>
    <w:rsid w:val="00332A97"/>
    <w:rsid w:val="00350C00"/>
    <w:rsid w:val="00366113"/>
    <w:rsid w:val="00393D92"/>
    <w:rsid w:val="003C270C"/>
    <w:rsid w:val="003D0994"/>
    <w:rsid w:val="00423824"/>
    <w:rsid w:val="00433A03"/>
    <w:rsid w:val="0043567D"/>
    <w:rsid w:val="00456CDE"/>
    <w:rsid w:val="004B4AE8"/>
    <w:rsid w:val="004B7B90"/>
    <w:rsid w:val="004C1009"/>
    <w:rsid w:val="004D0D02"/>
    <w:rsid w:val="004E2C19"/>
    <w:rsid w:val="004F1E4B"/>
    <w:rsid w:val="004F2192"/>
    <w:rsid w:val="005430B0"/>
    <w:rsid w:val="00546803"/>
    <w:rsid w:val="00585CFC"/>
    <w:rsid w:val="005D284C"/>
    <w:rsid w:val="00604512"/>
    <w:rsid w:val="0061486F"/>
    <w:rsid w:val="00625EDB"/>
    <w:rsid w:val="00633E23"/>
    <w:rsid w:val="00673B94"/>
    <w:rsid w:val="00680AC6"/>
    <w:rsid w:val="006835D8"/>
    <w:rsid w:val="00686EDD"/>
    <w:rsid w:val="006B17EA"/>
    <w:rsid w:val="006B5672"/>
    <w:rsid w:val="006C316E"/>
    <w:rsid w:val="006D0F7C"/>
    <w:rsid w:val="0072531A"/>
    <w:rsid w:val="007269C4"/>
    <w:rsid w:val="0074209E"/>
    <w:rsid w:val="0075302E"/>
    <w:rsid w:val="007869CB"/>
    <w:rsid w:val="007F2CA8"/>
    <w:rsid w:val="007F7161"/>
    <w:rsid w:val="0085559E"/>
    <w:rsid w:val="00896B1B"/>
    <w:rsid w:val="008C1C2E"/>
    <w:rsid w:val="008C3B4C"/>
    <w:rsid w:val="008E559E"/>
    <w:rsid w:val="008F6FE8"/>
    <w:rsid w:val="00916080"/>
    <w:rsid w:val="00921A68"/>
    <w:rsid w:val="009269C7"/>
    <w:rsid w:val="009833C6"/>
    <w:rsid w:val="009A2318"/>
    <w:rsid w:val="009A6E42"/>
    <w:rsid w:val="009D1EA2"/>
    <w:rsid w:val="00A015C4"/>
    <w:rsid w:val="00A104B1"/>
    <w:rsid w:val="00A15172"/>
    <w:rsid w:val="00A355C1"/>
    <w:rsid w:val="00A460A7"/>
    <w:rsid w:val="00A53497"/>
    <w:rsid w:val="00A74D39"/>
    <w:rsid w:val="00A8636D"/>
    <w:rsid w:val="00A86702"/>
    <w:rsid w:val="00A8747D"/>
    <w:rsid w:val="00AB16F1"/>
    <w:rsid w:val="00AC098B"/>
    <w:rsid w:val="00AF3AB6"/>
    <w:rsid w:val="00B04DE6"/>
    <w:rsid w:val="00B22E6B"/>
    <w:rsid w:val="00B404C7"/>
    <w:rsid w:val="00B5080A"/>
    <w:rsid w:val="00B943AE"/>
    <w:rsid w:val="00BD7258"/>
    <w:rsid w:val="00C0598D"/>
    <w:rsid w:val="00C11522"/>
    <w:rsid w:val="00C11956"/>
    <w:rsid w:val="00C35F1E"/>
    <w:rsid w:val="00C602E5"/>
    <w:rsid w:val="00C748FD"/>
    <w:rsid w:val="00C74F86"/>
    <w:rsid w:val="00CA18EA"/>
    <w:rsid w:val="00D00151"/>
    <w:rsid w:val="00D04132"/>
    <w:rsid w:val="00D4046E"/>
    <w:rsid w:val="00D4362F"/>
    <w:rsid w:val="00D74034"/>
    <w:rsid w:val="00DA444F"/>
    <w:rsid w:val="00DD4739"/>
    <w:rsid w:val="00DE5F33"/>
    <w:rsid w:val="00E07B54"/>
    <w:rsid w:val="00E11F78"/>
    <w:rsid w:val="00E46864"/>
    <w:rsid w:val="00E621E1"/>
    <w:rsid w:val="00EC55B3"/>
    <w:rsid w:val="00EE6681"/>
    <w:rsid w:val="00F07D4A"/>
    <w:rsid w:val="00F35573"/>
    <w:rsid w:val="00F42546"/>
    <w:rsid w:val="00F53104"/>
    <w:rsid w:val="00F96FB2"/>
    <w:rsid w:val="00F97DF0"/>
    <w:rsid w:val="00FB51D8"/>
    <w:rsid w:val="00FC2A60"/>
    <w:rsid w:val="00FD08E8"/>
    <w:rsid w:val="00FD498E"/>
    <w:rsid w:val="00FF3E60"/>
    <w:rsid w:val="00FF4FD9"/>
    <w:rsid w:val="3E1B86FD"/>
    <w:rsid w:val="46BCDDF1"/>
    <w:rsid w:val="49639525"/>
    <w:rsid w:val="57A00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0DCC1"/>
  <w15:chartTrackingRefBased/>
  <w15:docId w15:val="{9DC710A5-E773-4594-B898-D4CF58DF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085214"/>
    <w:rPr>
      <w:color w:val="605E5C"/>
      <w:shd w:val="clear" w:color="auto" w:fill="E1DFDD"/>
    </w:rPr>
  </w:style>
  <w:style w:type="paragraph" w:styleId="NormalWeb">
    <w:name w:val="Normal (Web)"/>
    <w:basedOn w:val="Normal"/>
    <w:rsid w:val="00A460A7"/>
  </w:style>
  <w:style w:type="paragraph" w:styleId="FootnoteText">
    <w:name w:val="footnote text"/>
    <w:basedOn w:val="Normal"/>
    <w:link w:val="FootnoteTextChar"/>
    <w:rsid w:val="00A8636D"/>
    <w:rPr>
      <w:sz w:val="20"/>
      <w:szCs w:val="20"/>
    </w:rPr>
  </w:style>
  <w:style w:type="character" w:customStyle="1" w:styleId="FootnoteTextChar">
    <w:name w:val="Footnote Text Char"/>
    <w:basedOn w:val="DefaultParagraphFont"/>
    <w:link w:val="FootnoteText"/>
    <w:rsid w:val="00A8636D"/>
  </w:style>
  <w:style w:type="character" w:styleId="FootnoteReference">
    <w:name w:val="footnote reference"/>
    <w:basedOn w:val="DefaultParagraphFont"/>
    <w:rsid w:val="00A8636D"/>
    <w:rPr>
      <w:vertAlign w:val="superscript"/>
    </w:rPr>
  </w:style>
  <w:style w:type="paragraph" w:styleId="ListBullet">
    <w:name w:val="List Bullet"/>
    <w:basedOn w:val="Normal"/>
    <w:uiPriority w:val="99"/>
    <w:unhideWhenUsed/>
    <w:rsid w:val="0072531A"/>
    <w:pPr>
      <w:numPr>
        <w:numId w:val="5"/>
      </w:numPr>
      <w:tabs>
        <w:tab w:val="clear" w:pos="360"/>
      </w:tabs>
      <w:spacing w:after="100"/>
      <w:ind w:left="0" w:firstLine="0"/>
      <w:contextualSpacing/>
    </w:pPr>
    <w:rPr>
      <w:rFonts w:ascii="Arial" w:eastAsiaTheme="minorEastAsia" w:hAnsi="Arial" w:cstheme="minorBid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sse@globalcapacityal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0032-7039-46CC-B9B3-E46028A5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1242</Words>
  <Characters>8055</Characters>
  <Application>Microsoft Office Word</Application>
  <DocSecurity>0</DocSecurity>
  <Lines>141</Lines>
  <Paragraphs>56</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ERCOT</cp:lastModifiedBy>
  <cp:revision>3</cp:revision>
  <cp:lastPrinted>2001-06-20T16:28:00Z</cp:lastPrinted>
  <dcterms:created xsi:type="dcterms:W3CDTF">2026-10-08T21:15:00Z</dcterms:created>
  <dcterms:modified xsi:type="dcterms:W3CDTF">2026-10-08T21:20:00Z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2026-10-07T14:47:49Z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e5358249-0605-48e2-a06c-62fdf9aedc96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