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1170"/>
        <w:gridCol w:w="6390"/>
      </w:tblGrid>
      <w:tr w:rsidR="00504AE9" w14:paraId="772B5813" w14:textId="77777777" w:rsidTr="009446C3">
        <w:tc>
          <w:tcPr>
            <w:tcW w:w="1620" w:type="dxa"/>
            <w:tcBorders>
              <w:bottom w:val="single" w:sz="4" w:space="0" w:color="auto"/>
            </w:tcBorders>
            <w:shd w:val="clear" w:color="auto" w:fill="FFFFFF"/>
            <w:vAlign w:val="center"/>
          </w:tcPr>
          <w:p w14:paraId="15170E3C" w14:textId="77777777" w:rsidR="00504AE9" w:rsidRDefault="00504AE9" w:rsidP="009446C3">
            <w:pPr>
              <w:pStyle w:val="Header"/>
              <w:spacing w:before="120" w:after="120"/>
            </w:pPr>
            <w:r>
              <w:t>PGRR Number</w:t>
            </w:r>
          </w:p>
        </w:tc>
        <w:tc>
          <w:tcPr>
            <w:tcW w:w="1260" w:type="dxa"/>
            <w:tcBorders>
              <w:bottom w:val="single" w:sz="4" w:space="0" w:color="auto"/>
            </w:tcBorders>
            <w:vAlign w:val="center"/>
          </w:tcPr>
          <w:p w14:paraId="3089CA45" w14:textId="77777777" w:rsidR="00504AE9" w:rsidRDefault="00504AE9" w:rsidP="009446C3">
            <w:pPr>
              <w:pStyle w:val="Header"/>
              <w:spacing w:before="120" w:after="120"/>
              <w:jc w:val="center"/>
            </w:pPr>
            <w:hyperlink r:id="rId11" w:history="1">
              <w:r w:rsidRPr="00460A71">
                <w:rPr>
                  <w:rStyle w:val="Hyperlink"/>
                </w:rPr>
                <w:t>146</w:t>
              </w:r>
            </w:hyperlink>
          </w:p>
        </w:tc>
        <w:tc>
          <w:tcPr>
            <w:tcW w:w="1170" w:type="dxa"/>
            <w:tcBorders>
              <w:bottom w:val="single" w:sz="4" w:space="0" w:color="auto"/>
            </w:tcBorders>
            <w:shd w:val="clear" w:color="auto" w:fill="FFFFFF"/>
            <w:vAlign w:val="center"/>
          </w:tcPr>
          <w:p w14:paraId="312194EE" w14:textId="77777777" w:rsidR="00504AE9" w:rsidRDefault="00504AE9" w:rsidP="009446C3">
            <w:pPr>
              <w:pStyle w:val="Header"/>
              <w:spacing w:before="120" w:after="120"/>
            </w:pPr>
            <w:r>
              <w:t>PGRR Title</w:t>
            </w:r>
          </w:p>
        </w:tc>
        <w:tc>
          <w:tcPr>
            <w:tcW w:w="6390" w:type="dxa"/>
            <w:tcBorders>
              <w:bottom w:val="single" w:sz="4" w:space="0" w:color="auto"/>
            </w:tcBorders>
            <w:vAlign w:val="center"/>
          </w:tcPr>
          <w:p w14:paraId="705B3C75" w14:textId="77777777" w:rsidR="00504AE9" w:rsidRDefault="00504AE9" w:rsidP="009446C3">
            <w:pPr>
              <w:pStyle w:val="Header"/>
              <w:spacing w:before="120" w:after="120"/>
            </w:pPr>
            <w:r>
              <w:t>Rename Quarterly Stability Assessment and Modify the Assessment Schedule</w:t>
            </w:r>
          </w:p>
        </w:tc>
      </w:tr>
      <w:tr w:rsidR="00504AE9" w:rsidRPr="00E01925" w14:paraId="65CF4421" w14:textId="77777777" w:rsidTr="009446C3">
        <w:trPr>
          <w:trHeight w:val="518"/>
        </w:trPr>
        <w:tc>
          <w:tcPr>
            <w:tcW w:w="2880" w:type="dxa"/>
            <w:gridSpan w:val="2"/>
            <w:shd w:val="clear" w:color="auto" w:fill="FFFFFF"/>
            <w:vAlign w:val="center"/>
          </w:tcPr>
          <w:p w14:paraId="54DECF9B" w14:textId="77777777" w:rsidR="00504AE9" w:rsidRPr="00E01925" w:rsidRDefault="00504AE9" w:rsidP="009446C3">
            <w:pPr>
              <w:pStyle w:val="Header"/>
              <w:spacing w:before="120" w:after="120"/>
              <w:rPr>
                <w:bCs w:val="0"/>
              </w:rPr>
            </w:pPr>
            <w:r w:rsidRPr="00E01925">
              <w:rPr>
                <w:bCs w:val="0"/>
              </w:rPr>
              <w:t xml:space="preserve">Date </w:t>
            </w:r>
            <w:r>
              <w:rPr>
                <w:bCs w:val="0"/>
              </w:rPr>
              <w:t>of Decision</w:t>
            </w:r>
          </w:p>
        </w:tc>
        <w:tc>
          <w:tcPr>
            <w:tcW w:w="7560" w:type="dxa"/>
            <w:gridSpan w:val="2"/>
            <w:vAlign w:val="center"/>
          </w:tcPr>
          <w:p w14:paraId="02CF4D25" w14:textId="6EC81D1C" w:rsidR="00504AE9" w:rsidRPr="00E01925" w:rsidRDefault="00A97625" w:rsidP="009446C3">
            <w:pPr>
              <w:pStyle w:val="NormalArial"/>
              <w:spacing w:before="120" w:after="120"/>
            </w:pPr>
            <w:r>
              <w:t>October 1</w:t>
            </w:r>
            <w:r w:rsidR="00504AE9">
              <w:t>, 2026</w:t>
            </w:r>
          </w:p>
        </w:tc>
      </w:tr>
      <w:tr w:rsidR="00504AE9" w:rsidRPr="00E01925" w14:paraId="6EA37489" w14:textId="77777777" w:rsidTr="009446C3">
        <w:trPr>
          <w:trHeight w:val="518"/>
        </w:trPr>
        <w:tc>
          <w:tcPr>
            <w:tcW w:w="2880" w:type="dxa"/>
            <w:gridSpan w:val="2"/>
            <w:shd w:val="clear" w:color="auto" w:fill="FFFFFF"/>
            <w:vAlign w:val="center"/>
          </w:tcPr>
          <w:p w14:paraId="5B758EF7" w14:textId="77777777" w:rsidR="00504AE9" w:rsidRPr="00E01925" w:rsidRDefault="00504AE9" w:rsidP="009446C3">
            <w:pPr>
              <w:pStyle w:val="Header"/>
              <w:spacing w:before="120" w:after="120"/>
              <w:rPr>
                <w:bCs w:val="0"/>
              </w:rPr>
            </w:pPr>
            <w:r>
              <w:rPr>
                <w:bCs w:val="0"/>
              </w:rPr>
              <w:t>Action</w:t>
            </w:r>
          </w:p>
        </w:tc>
        <w:tc>
          <w:tcPr>
            <w:tcW w:w="7560" w:type="dxa"/>
            <w:gridSpan w:val="2"/>
            <w:vAlign w:val="center"/>
          </w:tcPr>
          <w:p w14:paraId="47FA7691" w14:textId="0093CF48" w:rsidR="00504AE9" w:rsidRDefault="00041ECC" w:rsidP="009446C3">
            <w:pPr>
              <w:pStyle w:val="NormalArial"/>
              <w:spacing w:before="120" w:after="120"/>
            </w:pPr>
            <w:r>
              <w:t>Recommended Approval</w:t>
            </w:r>
          </w:p>
        </w:tc>
      </w:tr>
      <w:tr w:rsidR="00504AE9" w:rsidRPr="00E01925" w14:paraId="1CB0ED87" w14:textId="77777777" w:rsidTr="009446C3">
        <w:trPr>
          <w:trHeight w:val="518"/>
        </w:trPr>
        <w:tc>
          <w:tcPr>
            <w:tcW w:w="2880" w:type="dxa"/>
            <w:gridSpan w:val="2"/>
            <w:shd w:val="clear" w:color="auto" w:fill="FFFFFF"/>
            <w:vAlign w:val="center"/>
          </w:tcPr>
          <w:p w14:paraId="0FBAA023" w14:textId="77777777" w:rsidR="00504AE9" w:rsidRPr="00E01925" w:rsidRDefault="00504AE9" w:rsidP="009446C3">
            <w:pPr>
              <w:pStyle w:val="Header"/>
              <w:spacing w:before="120" w:after="120"/>
              <w:rPr>
                <w:bCs w:val="0"/>
              </w:rPr>
            </w:pPr>
            <w:r>
              <w:rPr>
                <w:bCs w:val="0"/>
              </w:rPr>
              <w:t>Timeline</w:t>
            </w:r>
          </w:p>
        </w:tc>
        <w:tc>
          <w:tcPr>
            <w:tcW w:w="7560" w:type="dxa"/>
            <w:gridSpan w:val="2"/>
            <w:vAlign w:val="center"/>
          </w:tcPr>
          <w:p w14:paraId="059E15A4" w14:textId="77777777" w:rsidR="00504AE9" w:rsidRDefault="00504AE9" w:rsidP="009446C3">
            <w:pPr>
              <w:pStyle w:val="NormalArial"/>
              <w:spacing w:before="120" w:after="120"/>
            </w:pPr>
            <w:r w:rsidRPr="003D01D4">
              <w:t>Normal</w:t>
            </w:r>
          </w:p>
        </w:tc>
      </w:tr>
      <w:tr w:rsidR="00A97625" w:rsidRPr="00E01925" w14:paraId="7650F5D4" w14:textId="77777777" w:rsidTr="009446C3">
        <w:trPr>
          <w:trHeight w:val="518"/>
        </w:trPr>
        <w:tc>
          <w:tcPr>
            <w:tcW w:w="2880" w:type="dxa"/>
            <w:gridSpan w:val="2"/>
            <w:shd w:val="clear" w:color="auto" w:fill="FFFFFF"/>
            <w:vAlign w:val="center"/>
          </w:tcPr>
          <w:p w14:paraId="7D8D9F0F" w14:textId="49834474" w:rsidR="00A97625" w:rsidRDefault="0056462B" w:rsidP="009446C3">
            <w:pPr>
              <w:pStyle w:val="Header"/>
              <w:spacing w:before="120" w:after="120"/>
              <w:rPr>
                <w:bCs w:val="0"/>
              </w:rPr>
            </w:pPr>
            <w:r>
              <w:rPr>
                <w:bCs w:val="0"/>
              </w:rPr>
              <w:t>Estimated Impacts</w:t>
            </w:r>
          </w:p>
        </w:tc>
        <w:tc>
          <w:tcPr>
            <w:tcW w:w="7560" w:type="dxa"/>
            <w:gridSpan w:val="2"/>
            <w:vAlign w:val="center"/>
          </w:tcPr>
          <w:p w14:paraId="4318C241" w14:textId="5872C262" w:rsidR="00A97625" w:rsidRDefault="0056462B" w:rsidP="009446C3">
            <w:pPr>
              <w:pStyle w:val="NormalArial"/>
              <w:spacing w:before="120" w:after="120"/>
            </w:pPr>
            <w:r>
              <w:t>Cost/Budgetary:  None</w:t>
            </w:r>
          </w:p>
          <w:p w14:paraId="3D1C00A1" w14:textId="445C52F7" w:rsidR="0056462B" w:rsidRPr="003D01D4" w:rsidRDefault="0056462B" w:rsidP="009446C3">
            <w:pPr>
              <w:pStyle w:val="NormalArial"/>
              <w:spacing w:before="120" w:after="120"/>
            </w:pPr>
            <w:r>
              <w:t>Project Duration:  No project required</w:t>
            </w:r>
          </w:p>
        </w:tc>
      </w:tr>
      <w:tr w:rsidR="00504AE9" w:rsidRPr="00E01925" w14:paraId="773992AC" w14:textId="77777777" w:rsidTr="009446C3">
        <w:trPr>
          <w:trHeight w:val="518"/>
        </w:trPr>
        <w:tc>
          <w:tcPr>
            <w:tcW w:w="2880" w:type="dxa"/>
            <w:gridSpan w:val="2"/>
            <w:shd w:val="clear" w:color="auto" w:fill="FFFFFF"/>
            <w:vAlign w:val="center"/>
          </w:tcPr>
          <w:p w14:paraId="4A950951" w14:textId="77777777" w:rsidR="00504AE9" w:rsidRPr="00E01925" w:rsidRDefault="00504AE9" w:rsidP="009446C3">
            <w:pPr>
              <w:pStyle w:val="Header"/>
              <w:spacing w:before="120" w:after="120"/>
              <w:rPr>
                <w:bCs w:val="0"/>
              </w:rPr>
            </w:pPr>
            <w:r>
              <w:rPr>
                <w:bCs w:val="0"/>
              </w:rPr>
              <w:t>Proposed Effective Date</w:t>
            </w:r>
          </w:p>
        </w:tc>
        <w:tc>
          <w:tcPr>
            <w:tcW w:w="7560" w:type="dxa"/>
            <w:gridSpan w:val="2"/>
            <w:vAlign w:val="center"/>
          </w:tcPr>
          <w:p w14:paraId="529347E2" w14:textId="0E11AFC3" w:rsidR="00504AE9" w:rsidRDefault="00A97625" w:rsidP="009446C3">
            <w:pPr>
              <w:pStyle w:val="NormalArial"/>
              <w:spacing w:before="120" w:after="120"/>
            </w:pPr>
            <w:r>
              <w:t>September 1, 2027</w:t>
            </w:r>
          </w:p>
        </w:tc>
      </w:tr>
      <w:tr w:rsidR="00504AE9" w:rsidRPr="00E01925" w14:paraId="05D5DCF8" w14:textId="77777777" w:rsidTr="009446C3">
        <w:trPr>
          <w:trHeight w:val="518"/>
        </w:trPr>
        <w:tc>
          <w:tcPr>
            <w:tcW w:w="2880" w:type="dxa"/>
            <w:gridSpan w:val="2"/>
            <w:shd w:val="clear" w:color="auto" w:fill="FFFFFF"/>
            <w:vAlign w:val="center"/>
          </w:tcPr>
          <w:p w14:paraId="76BCCE10" w14:textId="77777777" w:rsidR="00504AE9" w:rsidRPr="00E01925" w:rsidRDefault="00504AE9" w:rsidP="009446C3">
            <w:pPr>
              <w:pStyle w:val="Header"/>
              <w:spacing w:before="120" w:after="120"/>
              <w:rPr>
                <w:bCs w:val="0"/>
              </w:rPr>
            </w:pPr>
            <w:r>
              <w:rPr>
                <w:bCs w:val="0"/>
              </w:rPr>
              <w:t>Priority and Rank Assigned</w:t>
            </w:r>
          </w:p>
        </w:tc>
        <w:tc>
          <w:tcPr>
            <w:tcW w:w="7560" w:type="dxa"/>
            <w:gridSpan w:val="2"/>
            <w:vAlign w:val="center"/>
          </w:tcPr>
          <w:p w14:paraId="443A2623" w14:textId="17B97934" w:rsidR="00504AE9" w:rsidRDefault="00A97625" w:rsidP="009446C3">
            <w:pPr>
              <w:pStyle w:val="NormalArial"/>
              <w:spacing w:before="120" w:after="120"/>
            </w:pPr>
            <w:r>
              <w:t>Not Applicable</w:t>
            </w:r>
          </w:p>
        </w:tc>
      </w:tr>
      <w:tr w:rsidR="00504AE9" w14:paraId="6002926F" w14:textId="77777777" w:rsidTr="009446C3">
        <w:trPr>
          <w:trHeight w:val="773"/>
        </w:trPr>
        <w:tc>
          <w:tcPr>
            <w:tcW w:w="2880" w:type="dxa"/>
            <w:gridSpan w:val="2"/>
            <w:tcBorders>
              <w:top w:val="single" w:sz="4" w:space="0" w:color="auto"/>
              <w:bottom w:val="single" w:sz="4" w:space="0" w:color="auto"/>
            </w:tcBorders>
            <w:shd w:val="clear" w:color="auto" w:fill="FFFFFF"/>
            <w:vAlign w:val="center"/>
          </w:tcPr>
          <w:p w14:paraId="788AB7CF" w14:textId="77777777" w:rsidR="00504AE9" w:rsidRDefault="00504AE9" w:rsidP="009446C3">
            <w:pPr>
              <w:pStyle w:val="Header"/>
              <w:spacing w:before="120" w:after="120"/>
            </w:pPr>
            <w:r>
              <w:t xml:space="preserve">Planning Guide Sections Requiring Revision </w:t>
            </w:r>
          </w:p>
        </w:tc>
        <w:tc>
          <w:tcPr>
            <w:tcW w:w="7560" w:type="dxa"/>
            <w:gridSpan w:val="2"/>
            <w:tcBorders>
              <w:top w:val="single" w:sz="4" w:space="0" w:color="auto"/>
            </w:tcBorders>
            <w:vAlign w:val="center"/>
          </w:tcPr>
          <w:p w14:paraId="7CBA765C" w14:textId="77777777" w:rsidR="00504AE9" w:rsidRDefault="00504AE9" w:rsidP="009446C3">
            <w:pPr>
              <w:pStyle w:val="NormalArial"/>
              <w:spacing w:before="120"/>
            </w:pPr>
            <w:r w:rsidRPr="000C6360">
              <w:t>5.3.2.5</w:t>
            </w:r>
            <w:r>
              <w:t>,</w:t>
            </w:r>
            <w:r w:rsidRPr="000C6360">
              <w:t xml:space="preserve"> FIS Report and Follow-up </w:t>
            </w:r>
          </w:p>
          <w:p w14:paraId="185B927F" w14:textId="77777777" w:rsidR="00504AE9" w:rsidRDefault="00504AE9" w:rsidP="009446C3">
            <w:pPr>
              <w:pStyle w:val="NormalArial"/>
            </w:pPr>
            <w:r w:rsidRPr="00725D47">
              <w:t>5.3.4</w:t>
            </w:r>
            <w:r>
              <w:t>,</w:t>
            </w:r>
            <w:r w:rsidRPr="00725D47">
              <w:t xml:space="preserve"> Reactive Study </w:t>
            </w:r>
          </w:p>
          <w:p w14:paraId="0C0FDB58" w14:textId="77777777" w:rsidR="00504AE9" w:rsidRDefault="00504AE9" w:rsidP="009446C3">
            <w:pPr>
              <w:pStyle w:val="NormalArial"/>
            </w:pPr>
            <w:r>
              <w:t xml:space="preserve">5.3.5, </w:t>
            </w:r>
            <w:r w:rsidRPr="004479F6">
              <w:t xml:space="preserve">ERCOT </w:t>
            </w:r>
            <w:r>
              <w:t xml:space="preserve">Quarterly </w:t>
            </w:r>
            <w:r w:rsidRPr="004479F6">
              <w:t>Stability Assessment</w:t>
            </w:r>
          </w:p>
          <w:p w14:paraId="575E8434" w14:textId="77777777" w:rsidR="00504AE9" w:rsidRPr="00FB509B" w:rsidRDefault="00504AE9" w:rsidP="009446C3">
            <w:pPr>
              <w:pStyle w:val="NormalArial"/>
              <w:spacing w:after="120"/>
            </w:pPr>
            <w:r w:rsidRPr="00AA1B28">
              <w:t>5.5</w:t>
            </w:r>
            <w:r>
              <w:t>,</w:t>
            </w:r>
            <w:r w:rsidRPr="00AA1B28">
              <w:t xml:space="preserve"> Generator Commissioning and Continuing Operations</w:t>
            </w:r>
          </w:p>
        </w:tc>
      </w:tr>
      <w:tr w:rsidR="00504AE9" w14:paraId="4EA2FE38" w14:textId="77777777" w:rsidTr="009446C3">
        <w:trPr>
          <w:trHeight w:val="518"/>
        </w:trPr>
        <w:tc>
          <w:tcPr>
            <w:tcW w:w="2880" w:type="dxa"/>
            <w:gridSpan w:val="2"/>
            <w:tcBorders>
              <w:bottom w:val="single" w:sz="4" w:space="0" w:color="auto"/>
            </w:tcBorders>
            <w:shd w:val="clear" w:color="auto" w:fill="FFFFFF"/>
            <w:vAlign w:val="center"/>
          </w:tcPr>
          <w:p w14:paraId="5DB89A78" w14:textId="77777777" w:rsidR="00504AE9" w:rsidRDefault="00504AE9" w:rsidP="009446C3">
            <w:pPr>
              <w:pStyle w:val="Header"/>
              <w:spacing w:before="120" w:after="120"/>
            </w:pPr>
            <w:r>
              <w:t>Related Documents Requiring Revision/Related Revision Requests</w:t>
            </w:r>
          </w:p>
        </w:tc>
        <w:tc>
          <w:tcPr>
            <w:tcW w:w="7560" w:type="dxa"/>
            <w:gridSpan w:val="2"/>
            <w:tcBorders>
              <w:bottom w:val="single" w:sz="4" w:space="0" w:color="auto"/>
            </w:tcBorders>
            <w:vAlign w:val="center"/>
          </w:tcPr>
          <w:p w14:paraId="0E0AC7E3" w14:textId="77777777" w:rsidR="00504AE9" w:rsidRPr="00FB509B" w:rsidRDefault="00504AE9" w:rsidP="009446C3">
            <w:pPr>
              <w:pStyle w:val="NormalArial"/>
            </w:pPr>
            <w:r>
              <w:t>Nodal Protocol Revision Request (NPRR) 1332, Related to PGRR146, Rename Quarterly Stability Assessment and Modify the Assessment Schedule</w:t>
            </w:r>
          </w:p>
        </w:tc>
      </w:tr>
      <w:tr w:rsidR="00504AE9" w14:paraId="2283D589" w14:textId="77777777" w:rsidTr="009446C3">
        <w:trPr>
          <w:trHeight w:val="518"/>
        </w:trPr>
        <w:tc>
          <w:tcPr>
            <w:tcW w:w="2880" w:type="dxa"/>
            <w:gridSpan w:val="2"/>
            <w:tcBorders>
              <w:bottom w:val="single" w:sz="4" w:space="0" w:color="auto"/>
            </w:tcBorders>
            <w:shd w:val="clear" w:color="auto" w:fill="FFFFFF"/>
            <w:vAlign w:val="center"/>
          </w:tcPr>
          <w:p w14:paraId="5DFF915E" w14:textId="77777777" w:rsidR="00504AE9" w:rsidRDefault="00504AE9" w:rsidP="009446C3">
            <w:pPr>
              <w:pStyle w:val="Header"/>
              <w:spacing w:before="120" w:after="120"/>
            </w:pPr>
            <w:r>
              <w:t>Revision Description</w:t>
            </w:r>
          </w:p>
        </w:tc>
        <w:tc>
          <w:tcPr>
            <w:tcW w:w="7560" w:type="dxa"/>
            <w:gridSpan w:val="2"/>
            <w:tcBorders>
              <w:bottom w:val="single" w:sz="4" w:space="0" w:color="auto"/>
            </w:tcBorders>
            <w:vAlign w:val="center"/>
          </w:tcPr>
          <w:p w14:paraId="3078B9FC" w14:textId="77777777" w:rsidR="00504AE9" w:rsidRPr="00FB509B" w:rsidRDefault="00504AE9" w:rsidP="009446C3">
            <w:pPr>
              <w:pStyle w:val="NormalArial"/>
              <w:spacing w:before="120" w:after="120"/>
            </w:pPr>
            <w:r w:rsidRPr="00231934">
              <w:t>This Planning Guide Revision Request (PGRR) modifies the</w:t>
            </w:r>
            <w:r>
              <w:t xml:space="preserve"> </w:t>
            </w:r>
            <w:r w:rsidRPr="00231934">
              <w:t xml:space="preserve">stability assessment schedule for planned large generators and </w:t>
            </w:r>
            <w:r>
              <w:t>L</w:t>
            </w:r>
            <w:r w:rsidRPr="00231934">
              <w:t xml:space="preserve">arge </w:t>
            </w:r>
            <w:r>
              <w:t>L</w:t>
            </w:r>
            <w:r w:rsidRPr="00231934">
              <w:t>oads from every three months to every four months</w:t>
            </w:r>
            <w:r>
              <w:t xml:space="preserve"> and rename the </w:t>
            </w:r>
            <w:r w:rsidRPr="00231934">
              <w:t>stability assessment</w:t>
            </w:r>
            <w:r>
              <w:t xml:space="preserve"> from quarterly stability assessment to qualifying stability assessment.</w:t>
            </w:r>
          </w:p>
        </w:tc>
      </w:tr>
      <w:tr w:rsidR="00504AE9" w14:paraId="439D28B3" w14:textId="77777777" w:rsidTr="009446C3">
        <w:trPr>
          <w:trHeight w:val="518"/>
        </w:trPr>
        <w:tc>
          <w:tcPr>
            <w:tcW w:w="2880" w:type="dxa"/>
            <w:gridSpan w:val="2"/>
            <w:shd w:val="clear" w:color="auto" w:fill="FFFFFF"/>
            <w:vAlign w:val="center"/>
          </w:tcPr>
          <w:p w14:paraId="36A3AC35" w14:textId="77777777" w:rsidR="00504AE9" w:rsidRDefault="00504AE9" w:rsidP="009446C3">
            <w:pPr>
              <w:pStyle w:val="Header"/>
              <w:spacing w:before="120" w:after="120"/>
            </w:pPr>
            <w:r>
              <w:t>Reason for Revision</w:t>
            </w:r>
          </w:p>
        </w:tc>
        <w:tc>
          <w:tcPr>
            <w:tcW w:w="7560" w:type="dxa"/>
            <w:gridSpan w:val="2"/>
            <w:vAlign w:val="center"/>
          </w:tcPr>
          <w:p w14:paraId="40123303" w14:textId="77777777" w:rsidR="00504AE9" w:rsidRDefault="00504AE9" w:rsidP="009446C3">
            <w:pPr>
              <w:pStyle w:val="NormalArial"/>
              <w:tabs>
                <w:tab w:val="left" w:pos="432"/>
              </w:tabs>
              <w:spacing w:before="120"/>
              <w:ind w:left="432" w:hanging="432"/>
              <w:rPr>
                <w:rFonts w:cs="Arial"/>
                <w:color w:val="000000"/>
              </w:rPr>
            </w:pPr>
            <w:r>
              <w:rPr>
                <w:noProof/>
              </w:rPr>
              <w:drawing>
                <wp:inline distT="0" distB="0" distL="0" distR="0" wp14:anchorId="05C89594" wp14:editId="7B1F04EF">
                  <wp:extent cx="196850" cy="19050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850" cy="190500"/>
                          </a:xfrm>
                          <a:prstGeom prst="rect">
                            <a:avLst/>
                          </a:prstGeom>
                          <a:noFill/>
                          <a:ln>
                            <a:noFill/>
                          </a:ln>
                        </pic:spPr>
                      </pic:pic>
                    </a:graphicData>
                  </a:graphic>
                </wp:inline>
              </w:drawing>
            </w:r>
            <w:r w:rsidRPr="006629C8">
              <w:t xml:space="preserve">  </w:t>
            </w:r>
            <w:hyperlink r:id="rId13"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153BD80E" w14:textId="77777777" w:rsidR="00504AE9" w:rsidRPr="00BD53C5" w:rsidRDefault="00504AE9" w:rsidP="009446C3">
            <w:pPr>
              <w:pStyle w:val="NormalArial"/>
              <w:tabs>
                <w:tab w:val="left" w:pos="432"/>
              </w:tabs>
              <w:spacing w:before="120"/>
              <w:ind w:left="432" w:hanging="432"/>
              <w:rPr>
                <w:rFonts w:cs="Arial"/>
                <w:color w:val="000000"/>
              </w:rPr>
            </w:pPr>
            <w:r>
              <w:rPr>
                <w:noProof/>
              </w:rPr>
              <w:drawing>
                <wp:inline distT="0" distB="0" distL="0" distR="0" wp14:anchorId="700D5189" wp14:editId="49FDF9C4">
                  <wp:extent cx="196850" cy="19050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850" cy="190500"/>
                          </a:xfrm>
                          <a:prstGeom prst="rect">
                            <a:avLst/>
                          </a:prstGeom>
                          <a:noFill/>
                          <a:ln>
                            <a:noFill/>
                          </a:ln>
                        </pic:spPr>
                      </pic:pic>
                    </a:graphicData>
                  </a:graphic>
                </wp:inline>
              </w:drawing>
            </w:r>
            <w:r w:rsidRPr="00CD242D">
              <w:t xml:space="preserve">  </w:t>
            </w:r>
            <w:hyperlink r:id="rId14"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33DC3C05" w14:textId="09E253DE" w:rsidR="00504AE9" w:rsidRPr="00BD53C5" w:rsidRDefault="00504AE9" w:rsidP="009446C3">
            <w:pPr>
              <w:pStyle w:val="NormalArial"/>
              <w:spacing w:before="120"/>
              <w:ind w:left="432" w:hanging="432"/>
              <w:rPr>
                <w:rFonts w:cs="Arial"/>
                <w:color w:val="000000"/>
              </w:rPr>
            </w:pPr>
            <w:r>
              <w:rPr>
                <w:noProof/>
              </w:rPr>
              <w:drawing>
                <wp:inline distT="0" distB="0" distL="0" distR="0" wp14:anchorId="29C1C913" wp14:editId="326FE649">
                  <wp:extent cx="198120" cy="190500"/>
                  <wp:effectExtent l="0" t="0" r="0" b="0"/>
                  <wp:docPr id="9398073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hyperlink r:id="rId15"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22F768BB" w14:textId="09BFC909" w:rsidR="00504AE9" w:rsidRDefault="00504AE9" w:rsidP="009446C3">
            <w:pPr>
              <w:pStyle w:val="NormalArial"/>
              <w:spacing w:before="120"/>
              <w:rPr>
                <w:iCs/>
                <w:kern w:val="24"/>
              </w:rPr>
            </w:pPr>
            <w:r>
              <w:rPr>
                <w:noProof/>
              </w:rPr>
              <w:drawing>
                <wp:inline distT="0" distB="0" distL="0" distR="0" wp14:anchorId="0A4BB2CD" wp14:editId="14A14424">
                  <wp:extent cx="198120" cy="190500"/>
                  <wp:effectExtent l="0" t="0" r="0" b="0"/>
                  <wp:docPr id="730272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t xml:space="preserve">  </w:t>
            </w:r>
            <w:r w:rsidRPr="00344591">
              <w:rPr>
                <w:iCs/>
                <w:kern w:val="24"/>
              </w:rPr>
              <w:t>General system and/or process improvement(s)</w:t>
            </w:r>
          </w:p>
          <w:p w14:paraId="08798A68" w14:textId="77777777" w:rsidR="00504AE9" w:rsidRDefault="00504AE9" w:rsidP="009446C3">
            <w:pPr>
              <w:pStyle w:val="NormalArial"/>
              <w:spacing w:before="120"/>
              <w:rPr>
                <w:iCs/>
                <w:kern w:val="24"/>
              </w:rPr>
            </w:pPr>
            <w:r>
              <w:rPr>
                <w:noProof/>
              </w:rPr>
              <w:lastRenderedPageBreak/>
              <w:drawing>
                <wp:inline distT="0" distB="0" distL="0" distR="0" wp14:anchorId="2F63BDEE" wp14:editId="207A1241">
                  <wp:extent cx="196850" cy="1905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850" cy="190500"/>
                          </a:xfrm>
                          <a:prstGeom prst="rect">
                            <a:avLst/>
                          </a:prstGeom>
                          <a:noFill/>
                          <a:ln>
                            <a:noFill/>
                          </a:ln>
                        </pic:spPr>
                      </pic:pic>
                    </a:graphicData>
                  </a:graphic>
                </wp:inline>
              </w:drawing>
            </w:r>
            <w:r w:rsidRPr="006629C8">
              <w:t xml:space="preserve">  </w:t>
            </w:r>
            <w:r>
              <w:rPr>
                <w:iCs/>
                <w:kern w:val="24"/>
              </w:rPr>
              <w:t>Regulatory requirements</w:t>
            </w:r>
          </w:p>
          <w:p w14:paraId="39BF5B4C" w14:textId="77777777" w:rsidR="00504AE9" w:rsidRPr="00CD242D" w:rsidRDefault="00504AE9" w:rsidP="009446C3">
            <w:pPr>
              <w:pStyle w:val="NormalArial"/>
              <w:spacing w:before="120"/>
              <w:rPr>
                <w:rFonts w:cs="Arial"/>
                <w:color w:val="000000"/>
              </w:rPr>
            </w:pPr>
            <w:r>
              <w:rPr>
                <w:noProof/>
              </w:rPr>
              <w:drawing>
                <wp:inline distT="0" distB="0" distL="0" distR="0" wp14:anchorId="061B0356" wp14:editId="555BA4CD">
                  <wp:extent cx="196850" cy="1905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850" cy="190500"/>
                          </a:xfrm>
                          <a:prstGeom prst="rect">
                            <a:avLst/>
                          </a:prstGeom>
                          <a:noFill/>
                          <a:ln>
                            <a:noFill/>
                          </a:ln>
                        </pic:spPr>
                      </pic:pic>
                    </a:graphicData>
                  </a:graphic>
                </wp:inline>
              </w:drawing>
            </w:r>
            <w:r w:rsidRPr="006629C8">
              <w:t xml:space="preserve">  </w:t>
            </w:r>
            <w:r>
              <w:rPr>
                <w:rFonts w:cs="Arial"/>
                <w:color w:val="000000"/>
              </w:rPr>
              <w:t>ERCOT Board/PUCT Directive</w:t>
            </w:r>
          </w:p>
          <w:p w14:paraId="7D1E5031" w14:textId="77777777" w:rsidR="00504AE9" w:rsidRDefault="00504AE9" w:rsidP="009446C3">
            <w:pPr>
              <w:pStyle w:val="NormalArial"/>
              <w:rPr>
                <w:i/>
                <w:sz w:val="20"/>
                <w:szCs w:val="20"/>
              </w:rPr>
            </w:pPr>
          </w:p>
          <w:p w14:paraId="0EF762FC" w14:textId="77777777" w:rsidR="00504AE9" w:rsidRPr="00D710DC" w:rsidRDefault="00504AE9" w:rsidP="009446C3">
            <w:pPr>
              <w:pStyle w:val="NormalArial"/>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504AE9" w14:paraId="2E4CDF8E" w14:textId="77777777" w:rsidTr="009446C3">
        <w:trPr>
          <w:trHeight w:val="518"/>
        </w:trPr>
        <w:tc>
          <w:tcPr>
            <w:tcW w:w="2880" w:type="dxa"/>
            <w:gridSpan w:val="2"/>
            <w:shd w:val="clear" w:color="auto" w:fill="FFFFFF"/>
            <w:vAlign w:val="center"/>
          </w:tcPr>
          <w:p w14:paraId="7F2F3BFB" w14:textId="77777777" w:rsidR="00504AE9" w:rsidRDefault="00504AE9" w:rsidP="009446C3">
            <w:pPr>
              <w:pStyle w:val="Header"/>
              <w:spacing w:before="120" w:after="120"/>
            </w:pPr>
            <w:r>
              <w:lastRenderedPageBreak/>
              <w:t>Justification of Reason for Revision and Market Impacts</w:t>
            </w:r>
          </w:p>
        </w:tc>
        <w:tc>
          <w:tcPr>
            <w:tcW w:w="7560" w:type="dxa"/>
            <w:gridSpan w:val="2"/>
            <w:vAlign w:val="center"/>
          </w:tcPr>
          <w:p w14:paraId="521D0E09" w14:textId="77777777" w:rsidR="00504AE9" w:rsidRDefault="00504AE9" w:rsidP="009446C3">
            <w:pPr>
              <w:spacing w:before="120" w:after="120"/>
              <w:rPr>
                <w:rFonts w:ascii="Arial" w:hAnsi="Arial"/>
                <w:iCs/>
                <w:kern w:val="24"/>
              </w:rPr>
            </w:pPr>
            <w:bookmarkStart w:id="0" w:name="_Hlk206186976"/>
            <w:r w:rsidRPr="00FC1610">
              <w:rPr>
                <w:rFonts w:ascii="Arial" w:hAnsi="Arial"/>
                <w:iCs/>
                <w:kern w:val="24"/>
              </w:rPr>
              <w:t xml:space="preserve">Since 2018, ERCOT has conducted an </w:t>
            </w:r>
            <w:r>
              <w:rPr>
                <w:rFonts w:ascii="Arial" w:hAnsi="Arial"/>
                <w:iCs/>
                <w:kern w:val="24"/>
              </w:rPr>
              <w:t xml:space="preserve">operational </w:t>
            </w:r>
            <w:r w:rsidRPr="00FC1610">
              <w:rPr>
                <w:rFonts w:ascii="Arial" w:hAnsi="Arial"/>
                <w:iCs/>
                <w:kern w:val="24"/>
              </w:rPr>
              <w:t>stability assessment every three months (</w:t>
            </w:r>
            <w:r>
              <w:rPr>
                <w:rFonts w:ascii="Arial" w:hAnsi="Arial"/>
                <w:iCs/>
                <w:kern w:val="24"/>
              </w:rPr>
              <w:t>known as the q</w:t>
            </w:r>
            <w:r w:rsidRPr="00FC1610">
              <w:rPr>
                <w:rFonts w:ascii="Arial" w:hAnsi="Arial"/>
                <w:iCs/>
                <w:kern w:val="24"/>
              </w:rPr>
              <w:t xml:space="preserve">uarterly </w:t>
            </w:r>
            <w:r>
              <w:rPr>
                <w:rFonts w:ascii="Arial" w:hAnsi="Arial"/>
                <w:iCs/>
                <w:kern w:val="24"/>
              </w:rPr>
              <w:t>s</w:t>
            </w:r>
            <w:r w:rsidRPr="00FC1610">
              <w:rPr>
                <w:rFonts w:ascii="Arial" w:hAnsi="Arial"/>
                <w:iCs/>
                <w:kern w:val="24"/>
              </w:rPr>
              <w:t xml:space="preserve">tability </w:t>
            </w:r>
            <w:r>
              <w:rPr>
                <w:rFonts w:ascii="Arial" w:hAnsi="Arial"/>
                <w:iCs/>
                <w:kern w:val="24"/>
              </w:rPr>
              <w:t>a</w:t>
            </w:r>
            <w:r w:rsidRPr="00FC1610">
              <w:rPr>
                <w:rFonts w:ascii="Arial" w:hAnsi="Arial"/>
                <w:iCs/>
                <w:kern w:val="24"/>
              </w:rPr>
              <w:t xml:space="preserve">ssessment, or </w:t>
            </w:r>
            <w:r>
              <w:rPr>
                <w:rFonts w:ascii="Arial" w:hAnsi="Arial"/>
                <w:iCs/>
                <w:kern w:val="24"/>
              </w:rPr>
              <w:t>“</w:t>
            </w:r>
            <w:r w:rsidRPr="00FC1610">
              <w:rPr>
                <w:rFonts w:ascii="Arial" w:hAnsi="Arial"/>
                <w:iCs/>
                <w:kern w:val="24"/>
              </w:rPr>
              <w:t>QSA</w:t>
            </w:r>
            <w:r>
              <w:rPr>
                <w:rFonts w:ascii="Arial" w:hAnsi="Arial"/>
                <w:iCs/>
                <w:kern w:val="24"/>
              </w:rPr>
              <w:t>”</w:t>
            </w:r>
            <w:r w:rsidRPr="00FC1610">
              <w:rPr>
                <w:rFonts w:ascii="Arial" w:hAnsi="Arial"/>
                <w:iCs/>
                <w:kern w:val="24"/>
              </w:rPr>
              <w:t>) to assess the impact of planned large generators connecting to the ERCOT System. By 2025, both the number and total capacity of large generators included in the QSA ha</w:t>
            </w:r>
            <w:r>
              <w:rPr>
                <w:rFonts w:ascii="Arial" w:hAnsi="Arial"/>
                <w:iCs/>
                <w:kern w:val="24"/>
              </w:rPr>
              <w:t>d</w:t>
            </w:r>
            <w:r w:rsidRPr="00FC1610">
              <w:rPr>
                <w:rFonts w:ascii="Arial" w:hAnsi="Arial"/>
                <w:iCs/>
                <w:kern w:val="24"/>
              </w:rPr>
              <w:t xml:space="preserve"> </w:t>
            </w:r>
            <w:r>
              <w:rPr>
                <w:rFonts w:ascii="Arial" w:hAnsi="Arial"/>
                <w:iCs/>
                <w:kern w:val="24"/>
              </w:rPr>
              <w:t xml:space="preserve">approximately </w:t>
            </w:r>
            <w:r w:rsidRPr="00FC1610">
              <w:rPr>
                <w:rFonts w:ascii="Arial" w:hAnsi="Arial"/>
                <w:iCs/>
                <w:kern w:val="24"/>
              </w:rPr>
              <w:t>doubled compared to 2018</w:t>
            </w:r>
            <w:r>
              <w:rPr>
                <w:rFonts w:ascii="Arial" w:hAnsi="Arial"/>
                <w:iCs/>
                <w:kern w:val="24"/>
              </w:rPr>
              <w:t>, as shown in Fig. 1</w:t>
            </w:r>
            <w:r w:rsidRPr="00FC1610">
              <w:rPr>
                <w:rFonts w:ascii="Arial" w:hAnsi="Arial"/>
                <w:iCs/>
                <w:kern w:val="24"/>
              </w:rPr>
              <w:t xml:space="preserve">. </w:t>
            </w:r>
            <w:r>
              <w:rPr>
                <w:rFonts w:ascii="Arial" w:hAnsi="Arial"/>
                <w:iCs/>
                <w:kern w:val="24"/>
              </w:rPr>
              <w:t xml:space="preserve"> </w:t>
            </w:r>
          </w:p>
          <w:p w14:paraId="3FB040DE" w14:textId="77777777" w:rsidR="00504AE9" w:rsidRDefault="00504AE9" w:rsidP="009446C3">
            <w:pPr>
              <w:spacing w:before="120" w:after="120"/>
              <w:rPr>
                <w:rFonts w:ascii="Arial" w:hAnsi="Arial"/>
                <w:iCs/>
                <w:kern w:val="24"/>
              </w:rPr>
            </w:pPr>
          </w:p>
          <w:p w14:paraId="67B55711" w14:textId="77777777" w:rsidR="00504AE9" w:rsidRDefault="00504AE9" w:rsidP="009446C3">
            <w:pPr>
              <w:spacing w:before="120" w:after="120"/>
              <w:rPr>
                <w:rFonts w:ascii="Arial" w:hAnsi="Arial"/>
                <w:iCs/>
                <w:kern w:val="24"/>
              </w:rPr>
            </w:pPr>
          </w:p>
          <w:p w14:paraId="32DA1FE3" w14:textId="77777777" w:rsidR="00504AE9" w:rsidRDefault="00504AE9" w:rsidP="009446C3">
            <w:pPr>
              <w:spacing w:before="120" w:after="120"/>
              <w:rPr>
                <w:rFonts w:ascii="Arial" w:hAnsi="Arial"/>
                <w:iCs/>
                <w:kern w:val="24"/>
              </w:rPr>
            </w:pPr>
            <w:r>
              <w:rPr>
                <w:rFonts w:ascii="Arial" w:hAnsi="Arial"/>
                <w:iCs/>
                <w:noProof/>
                <w:kern w:val="24"/>
              </w:rPr>
              <w:drawing>
                <wp:inline distT="0" distB="0" distL="0" distR="0" wp14:anchorId="37CE2CE8" wp14:editId="7B9D915A">
                  <wp:extent cx="4541060" cy="2468880"/>
                  <wp:effectExtent l="0" t="0" r="0" b="7620"/>
                  <wp:docPr id="11895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67460" cy="2483233"/>
                          </a:xfrm>
                          <a:prstGeom prst="rect">
                            <a:avLst/>
                          </a:prstGeom>
                          <a:noFill/>
                        </pic:spPr>
                      </pic:pic>
                    </a:graphicData>
                  </a:graphic>
                </wp:inline>
              </w:drawing>
            </w:r>
          </w:p>
          <w:p w14:paraId="750612D7" w14:textId="77777777" w:rsidR="00504AE9" w:rsidRDefault="00504AE9" w:rsidP="009446C3">
            <w:pPr>
              <w:spacing w:before="120" w:after="120"/>
              <w:rPr>
                <w:rFonts w:ascii="Arial" w:hAnsi="Arial"/>
                <w:iCs/>
                <w:kern w:val="24"/>
              </w:rPr>
            </w:pPr>
            <w:r>
              <w:rPr>
                <w:rFonts w:ascii="Arial" w:hAnsi="Arial"/>
                <w:iCs/>
                <w:kern w:val="24"/>
              </w:rPr>
              <w:t xml:space="preserve">Fig. 1 </w:t>
            </w:r>
            <w:r w:rsidRPr="00F87BF1">
              <w:rPr>
                <w:rFonts w:ascii="Arial" w:hAnsi="Arial"/>
                <w:iCs/>
                <w:kern w:val="24"/>
              </w:rPr>
              <w:t>QSA Project Count and Capacity (MW), 2018–2025</w:t>
            </w:r>
          </w:p>
          <w:p w14:paraId="050DB7F9" w14:textId="77777777" w:rsidR="00504AE9" w:rsidRDefault="00504AE9" w:rsidP="009446C3">
            <w:pPr>
              <w:spacing w:before="120" w:after="120"/>
              <w:rPr>
                <w:rFonts w:ascii="Arial" w:hAnsi="Arial"/>
                <w:iCs/>
                <w:kern w:val="24"/>
              </w:rPr>
            </w:pPr>
          </w:p>
          <w:p w14:paraId="7A57744A" w14:textId="77777777" w:rsidR="00504AE9" w:rsidRDefault="00504AE9" w:rsidP="009446C3">
            <w:pPr>
              <w:spacing w:before="120" w:after="120"/>
              <w:rPr>
                <w:rFonts w:ascii="Arial" w:hAnsi="Arial"/>
                <w:iCs/>
                <w:kern w:val="24"/>
              </w:rPr>
            </w:pPr>
            <w:r w:rsidRPr="00885232">
              <w:rPr>
                <w:rFonts w:ascii="Arial" w:hAnsi="Arial"/>
                <w:iCs/>
                <w:kern w:val="24"/>
              </w:rPr>
              <w:t xml:space="preserve">Consistent with the growth in </w:t>
            </w:r>
            <w:r>
              <w:rPr>
                <w:rFonts w:ascii="Arial" w:hAnsi="Arial"/>
                <w:iCs/>
                <w:kern w:val="24"/>
              </w:rPr>
              <w:t xml:space="preserve">generators assessed in the </w:t>
            </w:r>
            <w:r w:rsidRPr="00885232">
              <w:rPr>
                <w:rFonts w:ascii="Arial" w:hAnsi="Arial"/>
                <w:iCs/>
                <w:kern w:val="24"/>
              </w:rPr>
              <w:t>QSA</w:t>
            </w:r>
            <w:r>
              <w:rPr>
                <w:rFonts w:ascii="Arial" w:hAnsi="Arial"/>
                <w:iCs/>
                <w:kern w:val="24"/>
              </w:rPr>
              <w:t>s</w:t>
            </w:r>
            <w:r w:rsidRPr="00885232">
              <w:rPr>
                <w:rFonts w:ascii="Arial" w:hAnsi="Arial"/>
                <w:iCs/>
                <w:kern w:val="24"/>
              </w:rPr>
              <w:t>, the number of Generic Transmission Constraints (GTCs) enforced in Real-Time Operations has increased from 4 in 2014 to 26 in 2025 to maintain grid stability.</w:t>
            </w:r>
            <w:r>
              <w:rPr>
                <w:rFonts w:ascii="Arial" w:hAnsi="Arial"/>
                <w:iCs/>
                <w:kern w:val="24"/>
              </w:rPr>
              <w:t xml:space="preserve"> </w:t>
            </w:r>
            <w:r w:rsidRPr="00FC1610">
              <w:rPr>
                <w:rFonts w:ascii="Arial" w:hAnsi="Arial"/>
                <w:iCs/>
                <w:kern w:val="24"/>
              </w:rPr>
              <w:t xml:space="preserve">The majority of these planned large generators </w:t>
            </w:r>
            <w:r>
              <w:rPr>
                <w:rFonts w:ascii="Arial" w:hAnsi="Arial"/>
                <w:iCs/>
                <w:kern w:val="24"/>
              </w:rPr>
              <w:t xml:space="preserve">in recent years </w:t>
            </w:r>
            <w:r w:rsidRPr="00FC1610">
              <w:rPr>
                <w:rFonts w:ascii="Arial" w:hAnsi="Arial"/>
                <w:iCs/>
                <w:kern w:val="24"/>
              </w:rPr>
              <w:t xml:space="preserve">are Inverter-Based Resources (IBRs) including </w:t>
            </w:r>
            <w:r>
              <w:rPr>
                <w:rFonts w:ascii="Arial" w:hAnsi="Arial"/>
                <w:iCs/>
                <w:kern w:val="24"/>
              </w:rPr>
              <w:t>W</w:t>
            </w:r>
            <w:r w:rsidRPr="00FC1610">
              <w:rPr>
                <w:rFonts w:ascii="Arial" w:hAnsi="Arial"/>
                <w:iCs/>
                <w:kern w:val="24"/>
              </w:rPr>
              <w:t>ind</w:t>
            </w:r>
            <w:r>
              <w:rPr>
                <w:rFonts w:ascii="Arial" w:hAnsi="Arial"/>
                <w:iCs/>
                <w:kern w:val="24"/>
              </w:rPr>
              <w:t>, S</w:t>
            </w:r>
            <w:r w:rsidRPr="00FC1610">
              <w:rPr>
                <w:rFonts w:ascii="Arial" w:hAnsi="Arial"/>
                <w:iCs/>
                <w:kern w:val="24"/>
              </w:rPr>
              <w:t xml:space="preserve">olar </w:t>
            </w:r>
            <w:r>
              <w:rPr>
                <w:rFonts w:ascii="Arial" w:hAnsi="Arial"/>
                <w:iCs/>
                <w:kern w:val="24"/>
              </w:rPr>
              <w:t xml:space="preserve">, </w:t>
            </w:r>
            <w:r w:rsidRPr="00FC1610">
              <w:rPr>
                <w:rFonts w:ascii="Arial" w:hAnsi="Arial"/>
                <w:iCs/>
                <w:kern w:val="24"/>
              </w:rPr>
              <w:t>and Energy Storage Resources (ESRs).</w:t>
            </w:r>
            <w:r>
              <w:rPr>
                <w:rFonts w:ascii="Arial" w:hAnsi="Arial"/>
                <w:iCs/>
                <w:kern w:val="24"/>
              </w:rPr>
              <w:t xml:space="preserve"> </w:t>
            </w:r>
            <w:r w:rsidRPr="00A90DBD">
              <w:rPr>
                <w:rFonts w:ascii="Arial" w:hAnsi="Arial"/>
                <w:iCs/>
                <w:kern w:val="24"/>
              </w:rPr>
              <w:t>ESRs often require evaluation under both charging and discharging conditions, increasing the number of study scenarios and associated analytical effort</w:t>
            </w:r>
            <w:r w:rsidRPr="007C5EC8">
              <w:rPr>
                <w:rFonts w:ascii="Arial" w:hAnsi="Arial"/>
                <w:iCs/>
                <w:kern w:val="24"/>
              </w:rPr>
              <w:t xml:space="preserve">. </w:t>
            </w:r>
            <w:r w:rsidRPr="001D56E5">
              <w:rPr>
                <w:rFonts w:ascii="Arial" w:hAnsi="Arial"/>
                <w:iCs/>
                <w:kern w:val="24"/>
              </w:rPr>
              <w:t>As a result, the scope, complexity, and resource requirements of the QSA have increased substantially.</w:t>
            </w:r>
          </w:p>
          <w:p w14:paraId="08153ADD" w14:textId="77777777" w:rsidR="00504AE9" w:rsidRDefault="00504AE9" w:rsidP="009446C3">
            <w:pPr>
              <w:spacing w:before="120" w:after="120"/>
              <w:rPr>
                <w:rFonts w:ascii="Arial" w:hAnsi="Arial"/>
                <w:iCs/>
                <w:kern w:val="24"/>
              </w:rPr>
            </w:pPr>
            <w:r>
              <w:rPr>
                <w:rFonts w:ascii="Arial" w:hAnsi="Arial"/>
                <w:iCs/>
                <w:kern w:val="24"/>
              </w:rPr>
              <w:t xml:space="preserve">Starting in February 2026, </w:t>
            </w:r>
            <w:r w:rsidRPr="00FC1610">
              <w:rPr>
                <w:rFonts w:ascii="Arial" w:hAnsi="Arial"/>
                <w:iCs/>
                <w:kern w:val="24"/>
              </w:rPr>
              <w:t xml:space="preserve">all </w:t>
            </w:r>
            <w:r>
              <w:rPr>
                <w:rFonts w:ascii="Arial" w:hAnsi="Arial"/>
                <w:iCs/>
                <w:kern w:val="24"/>
              </w:rPr>
              <w:t xml:space="preserve">planned </w:t>
            </w:r>
            <w:r w:rsidRPr="00FC1610">
              <w:rPr>
                <w:rFonts w:ascii="Arial" w:hAnsi="Arial"/>
                <w:iCs/>
                <w:kern w:val="24"/>
              </w:rPr>
              <w:t>Large Loads must be included in QSA prior to being eligible for Initial Energization.</w:t>
            </w:r>
            <w:r>
              <w:rPr>
                <w:rFonts w:ascii="Arial" w:hAnsi="Arial"/>
                <w:iCs/>
                <w:kern w:val="24"/>
              </w:rPr>
              <w:t xml:space="preserve"> According to Section 5.3.5, Large Loads could be assessed across multiple QSAs </w:t>
            </w:r>
            <w:r>
              <w:rPr>
                <w:rFonts w:ascii="Arial" w:hAnsi="Arial"/>
                <w:iCs/>
                <w:kern w:val="24"/>
              </w:rPr>
              <w:lastRenderedPageBreak/>
              <w:t>based on their Load Commissioning Plan (LCP), further increasing the study workload and coordination complexity. These factors</w:t>
            </w:r>
            <w:r w:rsidRPr="001279B7">
              <w:rPr>
                <w:rFonts w:ascii="Arial" w:hAnsi="Arial"/>
                <w:iCs/>
                <w:kern w:val="24"/>
              </w:rPr>
              <w:t xml:space="preserve"> collectively</w:t>
            </w:r>
            <w:r>
              <w:rPr>
                <w:rFonts w:ascii="Arial" w:hAnsi="Arial"/>
                <w:iCs/>
                <w:kern w:val="24"/>
              </w:rPr>
              <w:t xml:space="preserve"> increase challenges for ERCOT to conduct assessments and identify constraints and its limits while meeting the existing timeline.</w:t>
            </w:r>
          </w:p>
          <w:p w14:paraId="317FED0E" w14:textId="77777777" w:rsidR="00504AE9" w:rsidRDefault="00504AE9" w:rsidP="009446C3">
            <w:pPr>
              <w:spacing w:before="120" w:after="120"/>
              <w:rPr>
                <w:rFonts w:ascii="Arial" w:hAnsi="Arial"/>
                <w:iCs/>
                <w:kern w:val="24"/>
              </w:rPr>
            </w:pPr>
            <w:r w:rsidRPr="006342A0">
              <w:rPr>
                <w:rFonts w:ascii="Arial" w:hAnsi="Arial"/>
                <w:iCs/>
                <w:kern w:val="24"/>
              </w:rPr>
              <w:t xml:space="preserve">Additionally, the ERCOT Generator Interconnection Status Report and Large Load Interconnection Status Update indicate continued growth in both planned </w:t>
            </w:r>
            <w:r>
              <w:rPr>
                <w:rFonts w:ascii="Arial" w:hAnsi="Arial"/>
                <w:iCs/>
                <w:kern w:val="24"/>
              </w:rPr>
              <w:t xml:space="preserve">large generators </w:t>
            </w:r>
            <w:r w:rsidRPr="006342A0">
              <w:rPr>
                <w:rFonts w:ascii="Arial" w:hAnsi="Arial"/>
                <w:iCs/>
                <w:kern w:val="24"/>
              </w:rPr>
              <w:t>and Large Load interconnections, which will further increase the demands on future QSAs.</w:t>
            </w:r>
            <w:r>
              <w:rPr>
                <w:rFonts w:ascii="Arial" w:hAnsi="Arial"/>
                <w:iCs/>
                <w:kern w:val="24"/>
              </w:rPr>
              <w:t xml:space="preserve"> </w:t>
            </w:r>
          </w:p>
          <w:p w14:paraId="13B5F17A" w14:textId="77777777" w:rsidR="00504AE9" w:rsidRPr="00CA56B3" w:rsidRDefault="00504AE9" w:rsidP="009446C3">
            <w:pPr>
              <w:spacing w:before="120" w:after="120"/>
              <w:rPr>
                <w:iCs/>
                <w:kern w:val="24"/>
              </w:rPr>
            </w:pPr>
            <w:r w:rsidRPr="00CA56B3">
              <w:rPr>
                <w:rFonts w:ascii="Arial" w:hAnsi="Arial"/>
                <w:iCs/>
                <w:kern w:val="24"/>
              </w:rPr>
              <w:t>To ensure the appropriate operational limits are accurately identified and established to reliably connect new Generation Resources and Large Loads, ERCOT submits this PGRR to modify the quarterly stability assessment frequency from once every three months to once every four months and to rename the process as the Qualifying Stability Assessment (QSA).</w:t>
            </w:r>
            <w:bookmarkEnd w:id="0"/>
            <w:r w:rsidRPr="00CA56B3">
              <w:rPr>
                <w:rFonts w:ascii="Arial" w:hAnsi="Arial"/>
                <w:iCs/>
                <w:kern w:val="24"/>
              </w:rPr>
              <w:t xml:space="preserve"> This change will provide additional time to accommodate the increased scope and complexity of the operational stability assessments.</w:t>
            </w:r>
          </w:p>
          <w:p w14:paraId="45FDA26C" w14:textId="77777777" w:rsidR="00504AE9" w:rsidRPr="00625E5D" w:rsidRDefault="00504AE9" w:rsidP="009446C3">
            <w:pPr>
              <w:pStyle w:val="NormalArial"/>
              <w:spacing w:before="120" w:after="120"/>
              <w:rPr>
                <w:iCs/>
                <w:kern w:val="24"/>
              </w:rPr>
            </w:pPr>
            <w:r>
              <w:rPr>
                <w:iCs/>
                <w:kern w:val="24"/>
              </w:rPr>
              <w:t>T</w:t>
            </w:r>
            <w:r w:rsidRPr="00F34BEB">
              <w:rPr>
                <w:iCs/>
                <w:kern w:val="24"/>
              </w:rPr>
              <w:t xml:space="preserve">his PGRR also establishes a 45-day dynamic load model submission deadline applicable to Large Loads, consistent with the existing requirement for large generators. </w:t>
            </w:r>
          </w:p>
        </w:tc>
      </w:tr>
      <w:tr w:rsidR="00504AE9" w14:paraId="40BAC971" w14:textId="77777777" w:rsidTr="009446C3">
        <w:trPr>
          <w:trHeight w:val="518"/>
        </w:trPr>
        <w:tc>
          <w:tcPr>
            <w:tcW w:w="2880" w:type="dxa"/>
            <w:gridSpan w:val="2"/>
            <w:shd w:val="clear" w:color="auto" w:fill="FFFFFF"/>
            <w:vAlign w:val="center"/>
          </w:tcPr>
          <w:p w14:paraId="562907A7" w14:textId="77777777" w:rsidR="00504AE9" w:rsidRPr="00D710DC" w:rsidRDefault="00504AE9" w:rsidP="009446C3">
            <w:pPr>
              <w:pStyle w:val="Header"/>
              <w:spacing w:before="120" w:after="120"/>
              <w:rPr>
                <w:rFonts w:cs="Arial"/>
              </w:rPr>
            </w:pPr>
            <w:r w:rsidRPr="00D710DC">
              <w:rPr>
                <w:rFonts w:cs="Arial"/>
              </w:rPr>
              <w:lastRenderedPageBreak/>
              <w:t>ROS Decision</w:t>
            </w:r>
          </w:p>
        </w:tc>
        <w:tc>
          <w:tcPr>
            <w:tcW w:w="7560" w:type="dxa"/>
            <w:gridSpan w:val="2"/>
            <w:vAlign w:val="center"/>
          </w:tcPr>
          <w:p w14:paraId="00318D46" w14:textId="77777777" w:rsidR="00504AE9" w:rsidRDefault="00504AE9" w:rsidP="009446C3">
            <w:pPr>
              <w:spacing w:before="120" w:after="120"/>
              <w:rPr>
                <w:rFonts w:ascii="Arial" w:hAnsi="Arial" w:cs="Arial"/>
              </w:rPr>
            </w:pPr>
            <w:r w:rsidRPr="00D710DC">
              <w:rPr>
                <w:rFonts w:ascii="Arial" w:hAnsi="Arial" w:cs="Arial"/>
              </w:rPr>
              <w:t xml:space="preserve">On </w:t>
            </w:r>
            <w:r>
              <w:rPr>
                <w:rFonts w:ascii="Arial" w:hAnsi="Arial" w:cs="Arial"/>
              </w:rPr>
              <w:t>6/4/26</w:t>
            </w:r>
            <w:r w:rsidRPr="00D710DC">
              <w:rPr>
                <w:rFonts w:ascii="Arial" w:hAnsi="Arial" w:cs="Arial"/>
              </w:rPr>
              <w:t>, ROS voted unanimously to table PGRR</w:t>
            </w:r>
            <w:r>
              <w:rPr>
                <w:rFonts w:ascii="Arial" w:hAnsi="Arial" w:cs="Arial"/>
              </w:rPr>
              <w:t>146</w:t>
            </w:r>
            <w:r w:rsidRPr="00D710DC">
              <w:rPr>
                <w:rFonts w:ascii="Arial" w:hAnsi="Arial" w:cs="Arial"/>
              </w:rPr>
              <w:t xml:space="preserve"> for further review by the Planning Working Group (PLWG).  All Market Segments participated in the vote.</w:t>
            </w:r>
          </w:p>
          <w:p w14:paraId="1DC6B7B2" w14:textId="77777777" w:rsidR="00041ECC" w:rsidRDefault="00041ECC" w:rsidP="009446C3">
            <w:pPr>
              <w:spacing w:before="120" w:after="120"/>
              <w:rPr>
                <w:rFonts w:ascii="Arial" w:hAnsi="Arial" w:cs="Arial"/>
              </w:rPr>
            </w:pPr>
            <w:r>
              <w:rPr>
                <w:rFonts w:ascii="Arial" w:hAnsi="Arial" w:cs="Arial"/>
              </w:rPr>
              <w:t xml:space="preserve">On 8/6/26, ROS voted unanimously to </w:t>
            </w:r>
            <w:r w:rsidRPr="00041ECC">
              <w:rPr>
                <w:rFonts w:ascii="Arial" w:hAnsi="Arial" w:cs="Arial"/>
              </w:rPr>
              <w:t xml:space="preserve">recommend approval of PGRR146 as amended by the 6/15/26 Southern Power </w:t>
            </w:r>
            <w:r w:rsidR="00FA7DC2">
              <w:rPr>
                <w:rFonts w:ascii="Arial" w:hAnsi="Arial" w:cs="Arial"/>
              </w:rPr>
              <w:t>c</w:t>
            </w:r>
            <w:r w:rsidRPr="00041ECC">
              <w:rPr>
                <w:rFonts w:ascii="Arial" w:hAnsi="Arial" w:cs="Arial"/>
              </w:rPr>
              <w:t>omments with a recommended effective date of September 1, 2027</w:t>
            </w:r>
            <w:r>
              <w:rPr>
                <w:rFonts w:ascii="Arial" w:hAnsi="Arial" w:cs="Arial"/>
              </w:rPr>
              <w:t>.  All Market Segments participated in the vote.</w:t>
            </w:r>
          </w:p>
          <w:p w14:paraId="7F176CED" w14:textId="56D047D5" w:rsidR="00A97625" w:rsidRPr="00D710DC" w:rsidRDefault="00A97625" w:rsidP="009446C3">
            <w:pPr>
              <w:spacing w:before="120" w:after="120"/>
              <w:rPr>
                <w:rFonts w:ascii="Arial" w:hAnsi="Arial" w:cs="Arial"/>
                <w:iCs/>
                <w:kern w:val="24"/>
              </w:rPr>
            </w:pPr>
            <w:r>
              <w:rPr>
                <w:rFonts w:ascii="Arial" w:hAnsi="Arial" w:cs="Arial"/>
              </w:rPr>
              <w:t>On 10/1/26, ROS voted unanimously to</w:t>
            </w:r>
            <w:r>
              <w:t xml:space="preserve"> </w:t>
            </w:r>
            <w:r w:rsidRPr="00A97625">
              <w:rPr>
                <w:rFonts w:ascii="Arial" w:hAnsi="Arial" w:cs="Arial"/>
              </w:rPr>
              <w:t>endorse and forward to TAC the 8/6/26 ROS Report and the 5/20/26 Impact Analysis for PGRR146 with a recommended effective date of September 1, 2027</w:t>
            </w:r>
            <w:r>
              <w:rPr>
                <w:rFonts w:ascii="Arial" w:hAnsi="Arial" w:cs="Arial"/>
              </w:rPr>
              <w:t>.  All Market Segments participated in the vote.</w:t>
            </w:r>
          </w:p>
        </w:tc>
      </w:tr>
      <w:tr w:rsidR="00504AE9" w14:paraId="1C2AC7BC" w14:textId="77777777" w:rsidTr="009446C3">
        <w:trPr>
          <w:trHeight w:val="518"/>
        </w:trPr>
        <w:tc>
          <w:tcPr>
            <w:tcW w:w="2880" w:type="dxa"/>
            <w:gridSpan w:val="2"/>
            <w:tcBorders>
              <w:bottom w:val="single" w:sz="4" w:space="0" w:color="auto"/>
            </w:tcBorders>
            <w:shd w:val="clear" w:color="auto" w:fill="FFFFFF"/>
            <w:vAlign w:val="center"/>
          </w:tcPr>
          <w:p w14:paraId="58CECBF1" w14:textId="77777777" w:rsidR="00504AE9" w:rsidRPr="00D710DC" w:rsidRDefault="00504AE9" w:rsidP="009446C3">
            <w:pPr>
              <w:pStyle w:val="Header"/>
              <w:spacing w:before="120" w:after="120"/>
              <w:rPr>
                <w:rFonts w:cs="Arial"/>
              </w:rPr>
            </w:pPr>
            <w:r w:rsidRPr="00D710DC">
              <w:rPr>
                <w:rFonts w:cs="Arial"/>
              </w:rPr>
              <w:t>Summary of ROS Discussion</w:t>
            </w:r>
          </w:p>
        </w:tc>
        <w:tc>
          <w:tcPr>
            <w:tcW w:w="7560" w:type="dxa"/>
            <w:gridSpan w:val="2"/>
            <w:tcBorders>
              <w:bottom w:val="single" w:sz="4" w:space="0" w:color="auto"/>
            </w:tcBorders>
            <w:vAlign w:val="center"/>
          </w:tcPr>
          <w:p w14:paraId="6E32B33B" w14:textId="77777777" w:rsidR="00504AE9" w:rsidRDefault="00504AE9" w:rsidP="009446C3">
            <w:pPr>
              <w:spacing w:before="120" w:after="120"/>
              <w:rPr>
                <w:rFonts w:ascii="Arial" w:hAnsi="Arial" w:cs="Arial"/>
                <w:iCs/>
                <w:kern w:val="24"/>
              </w:rPr>
            </w:pPr>
            <w:r>
              <w:rPr>
                <w:rFonts w:ascii="Arial" w:hAnsi="Arial" w:cs="Arial"/>
                <w:iCs/>
                <w:kern w:val="24"/>
              </w:rPr>
              <w:t xml:space="preserve">On 6/4/26, ERCOT Staff presented PGRR146.  Participants expressed concern for fewer assessment periods in light of increased interconnection requests; that increased complexity of the assessments will </w:t>
            </w:r>
            <w:r w:rsidRPr="00D710DC">
              <w:rPr>
                <w:rFonts w:ascii="Arial" w:hAnsi="Arial" w:cs="Arial"/>
                <w:iCs/>
                <w:kern w:val="24"/>
              </w:rPr>
              <w:t xml:space="preserve">require additional time; that portions of the assessment cannot be sped by adding more computing; and </w:t>
            </w:r>
            <w:r>
              <w:rPr>
                <w:rFonts w:ascii="Arial" w:hAnsi="Arial" w:cs="Arial"/>
                <w:iCs/>
                <w:kern w:val="24"/>
              </w:rPr>
              <w:t xml:space="preserve">discussed </w:t>
            </w:r>
            <w:r w:rsidRPr="00D710DC">
              <w:rPr>
                <w:rFonts w:ascii="Arial" w:hAnsi="Arial" w:cs="Arial"/>
                <w:iCs/>
                <w:kern w:val="24"/>
              </w:rPr>
              <w:t xml:space="preserve">the confluence of PGRR145, </w:t>
            </w:r>
            <w:r w:rsidRPr="00D710DC">
              <w:rPr>
                <w:rFonts w:ascii="Arial" w:hAnsi="Arial" w:cs="Arial"/>
              </w:rPr>
              <w:t>Batch Zero Process for Large Load Interconnections,</w:t>
            </w:r>
            <w:r w:rsidRPr="00D710DC">
              <w:rPr>
                <w:rFonts w:ascii="Arial" w:hAnsi="Arial" w:cs="Arial"/>
                <w:iCs/>
                <w:kern w:val="24"/>
              </w:rPr>
              <w:t xml:space="preserve"> and PGRR146.</w:t>
            </w:r>
            <w:r>
              <w:rPr>
                <w:rFonts w:ascii="Arial" w:hAnsi="Arial" w:cs="Arial"/>
                <w:iCs/>
                <w:kern w:val="24"/>
              </w:rPr>
              <w:t xml:space="preserve">  Participants noted needed corrections to the table in Section 5.3.5.  Participants requested additional discussion at PLWG.</w:t>
            </w:r>
          </w:p>
          <w:p w14:paraId="53D9C7C0" w14:textId="25C90A6B" w:rsidR="00FA7DC2" w:rsidRDefault="00A97625" w:rsidP="009446C3">
            <w:pPr>
              <w:spacing w:before="120" w:after="120"/>
              <w:rPr>
                <w:rFonts w:ascii="Arial" w:hAnsi="Arial" w:cs="Arial"/>
                <w:iCs/>
                <w:kern w:val="24"/>
              </w:rPr>
            </w:pPr>
            <w:r>
              <w:rPr>
                <w:rFonts w:ascii="Arial" w:hAnsi="Arial" w:cs="Arial"/>
                <w:iCs/>
                <w:kern w:val="24"/>
              </w:rPr>
              <w:lastRenderedPageBreak/>
              <w:t xml:space="preserve">On 8/6/26, </w:t>
            </w:r>
            <w:r w:rsidR="00FA7DC2">
              <w:rPr>
                <w:rFonts w:ascii="Arial" w:hAnsi="Arial" w:cs="Arial"/>
                <w:iCs/>
                <w:kern w:val="24"/>
              </w:rPr>
              <w:t>Participants reviewed the 6/15/26 Southern Power comments, and the 7/31/26 APA ACP comments.  ERCOT Staff expressed concern that timelines proposed in the 7/31/26 APA ACP comments would further stress the study duration, and noted stakeholder concerns for a longer cadence.</w:t>
            </w:r>
          </w:p>
          <w:p w14:paraId="1072B8DE" w14:textId="4DC34634" w:rsidR="00A97625" w:rsidRPr="00D710DC" w:rsidRDefault="00A97625" w:rsidP="009446C3">
            <w:pPr>
              <w:spacing w:before="120" w:after="120"/>
              <w:rPr>
                <w:rFonts w:ascii="Arial" w:hAnsi="Arial" w:cs="Arial"/>
                <w:iCs/>
                <w:kern w:val="24"/>
              </w:rPr>
            </w:pPr>
            <w:r>
              <w:rPr>
                <w:rFonts w:ascii="Arial" w:hAnsi="Arial" w:cs="Arial"/>
                <w:iCs/>
                <w:kern w:val="24"/>
              </w:rPr>
              <w:t>On 10/1/26, participants confirmed the application of the 6/15/26 Southern Power comments and discussed whether the timeline table should be reconfigured with specific dates.</w:t>
            </w:r>
            <w:r w:rsidR="001806BE">
              <w:rPr>
                <w:rFonts w:ascii="Arial" w:hAnsi="Arial" w:cs="Arial"/>
                <w:iCs/>
                <w:kern w:val="24"/>
              </w:rPr>
              <w:t xml:space="preserve">  Participants reiterated that PGRR146 should not be effective until September 1, 2027.</w:t>
            </w:r>
          </w:p>
        </w:tc>
      </w:tr>
    </w:tbl>
    <w:p w14:paraId="303D3BC8" w14:textId="77777777" w:rsidR="00504AE9" w:rsidRDefault="00504AE9" w:rsidP="00504AE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504AE9" w:rsidRPr="00362738" w14:paraId="6E993583" w14:textId="77777777" w:rsidTr="009446C3">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82B423F" w14:textId="77777777" w:rsidR="00504AE9" w:rsidRPr="00362738" w:rsidRDefault="00504AE9" w:rsidP="009446C3">
            <w:pPr>
              <w:pStyle w:val="NormalArial"/>
              <w:spacing w:before="120" w:after="120"/>
              <w:jc w:val="center"/>
              <w:rPr>
                <w:b/>
              </w:rPr>
            </w:pPr>
            <w:r w:rsidRPr="00362738">
              <w:rPr>
                <w:b/>
              </w:rPr>
              <w:t>Opinions</w:t>
            </w:r>
          </w:p>
        </w:tc>
      </w:tr>
      <w:tr w:rsidR="00504AE9" w:rsidRPr="00362738" w14:paraId="7CAA29F0" w14:textId="77777777" w:rsidTr="009446C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A6DF80" w14:textId="77777777" w:rsidR="00504AE9" w:rsidRPr="00362738" w:rsidRDefault="00504AE9" w:rsidP="009446C3">
            <w:pPr>
              <w:pStyle w:val="NormalArial"/>
              <w:spacing w:before="120" w:after="120"/>
              <w:rPr>
                <w:b/>
                <w:bCs/>
              </w:rPr>
            </w:pPr>
            <w:r w:rsidRPr="00362738">
              <w:rPr>
                <w:b/>
                <w:bCs/>
              </w:rPr>
              <w:t>Credit Review</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AD8DD2F" w14:textId="3A217852" w:rsidR="00504AE9" w:rsidRPr="00362738" w:rsidRDefault="00A97625" w:rsidP="009446C3">
            <w:pPr>
              <w:pStyle w:val="NormalArial"/>
              <w:spacing w:before="120" w:after="120"/>
            </w:pPr>
            <w:r>
              <w:t>Not applicable</w:t>
            </w:r>
          </w:p>
        </w:tc>
      </w:tr>
      <w:tr w:rsidR="00504AE9" w:rsidRPr="00362738" w14:paraId="5A73364B" w14:textId="77777777" w:rsidTr="009446C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17E289" w14:textId="77777777" w:rsidR="00504AE9" w:rsidRPr="00362738" w:rsidRDefault="00504AE9" w:rsidP="009446C3">
            <w:pPr>
              <w:pStyle w:val="NormalArial"/>
              <w:spacing w:before="120" w:after="120"/>
              <w:rPr>
                <w:b/>
                <w:bCs/>
              </w:rPr>
            </w:pPr>
            <w:r w:rsidRPr="00362738">
              <w:rPr>
                <w:b/>
                <w:bCs/>
              </w:rPr>
              <w:t>Independent Market Monitor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5A5A6F78" w14:textId="77777777" w:rsidR="00504AE9" w:rsidRPr="00362738" w:rsidRDefault="00504AE9" w:rsidP="009446C3">
            <w:pPr>
              <w:pStyle w:val="NormalArial"/>
              <w:spacing w:before="120" w:after="120"/>
              <w:rPr>
                <w:b/>
                <w:bCs/>
              </w:rPr>
            </w:pPr>
            <w:r w:rsidRPr="00362738">
              <w:t>To be determined</w:t>
            </w:r>
          </w:p>
        </w:tc>
      </w:tr>
      <w:tr w:rsidR="00504AE9" w:rsidRPr="00362738" w14:paraId="7BA6B347" w14:textId="77777777" w:rsidTr="009446C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F6C413" w14:textId="77777777" w:rsidR="00504AE9" w:rsidRPr="00C24868" w:rsidRDefault="00504AE9" w:rsidP="009446C3">
            <w:pPr>
              <w:pStyle w:val="NormalArial"/>
              <w:spacing w:before="120" w:after="120"/>
              <w:rPr>
                <w:b/>
                <w:bCs/>
              </w:rPr>
            </w:pPr>
            <w:r w:rsidRPr="00C24868">
              <w:rPr>
                <w:b/>
                <w:bCs/>
              </w:rPr>
              <w:t>ERCOT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5CCC4CC" w14:textId="77777777" w:rsidR="00504AE9" w:rsidRPr="00C24868" w:rsidRDefault="00504AE9" w:rsidP="009446C3">
            <w:pPr>
              <w:pStyle w:val="NormalArial"/>
              <w:spacing w:before="120" w:after="120"/>
            </w:pPr>
            <w:r w:rsidRPr="00C24868">
              <w:t>ERCOT supports approval of PGRR146.</w:t>
            </w:r>
          </w:p>
        </w:tc>
      </w:tr>
      <w:tr w:rsidR="00504AE9" w:rsidRPr="00362738" w14:paraId="799607A8" w14:textId="77777777" w:rsidTr="009446C3">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389D95" w14:textId="77777777" w:rsidR="00504AE9" w:rsidRPr="00C24868" w:rsidRDefault="00504AE9" w:rsidP="009446C3">
            <w:pPr>
              <w:pStyle w:val="NormalArial"/>
              <w:spacing w:before="120" w:after="120"/>
              <w:rPr>
                <w:b/>
                <w:bCs/>
              </w:rPr>
            </w:pPr>
            <w:r w:rsidRPr="00C24868">
              <w:rPr>
                <w:b/>
                <w:bCs/>
              </w:rPr>
              <w:t>ERCOT Market Impact Statement</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8024176" w14:textId="77777777" w:rsidR="00504AE9" w:rsidRPr="00C24868" w:rsidRDefault="00504AE9" w:rsidP="009446C3">
            <w:pPr>
              <w:pStyle w:val="NormalArial"/>
              <w:spacing w:before="120" w:after="120"/>
            </w:pPr>
            <w:r w:rsidRPr="00C24868">
              <w:t xml:space="preserve">ERCOT Staff has reviewed PGRR146 and believes it has a positive market impact because it </w:t>
            </w:r>
            <w:r w:rsidRPr="00C24868">
              <w:rPr>
                <w:iCs/>
                <w:kern w:val="24"/>
              </w:rPr>
              <w:t>provides additional time to accommodate the increased scope and complexity of operational stability assessments.</w:t>
            </w:r>
          </w:p>
        </w:tc>
      </w:tr>
    </w:tbl>
    <w:p w14:paraId="0BB0B64A" w14:textId="77777777" w:rsidR="00504AE9" w:rsidRPr="0030232A" w:rsidRDefault="00504AE9" w:rsidP="00504AE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3"/>
        <w:gridCol w:w="7447"/>
      </w:tblGrid>
      <w:tr w:rsidR="00504AE9" w14:paraId="69399EB2" w14:textId="77777777" w:rsidTr="009446C3">
        <w:trPr>
          <w:cantSplit/>
          <w:trHeight w:val="432"/>
        </w:trPr>
        <w:tc>
          <w:tcPr>
            <w:tcW w:w="10440" w:type="dxa"/>
            <w:gridSpan w:val="2"/>
            <w:tcBorders>
              <w:top w:val="single" w:sz="4" w:space="0" w:color="auto"/>
            </w:tcBorders>
            <w:shd w:val="clear" w:color="auto" w:fill="FFFFFF"/>
            <w:vAlign w:val="center"/>
          </w:tcPr>
          <w:p w14:paraId="154DEAE9" w14:textId="77777777" w:rsidR="00504AE9" w:rsidRPr="00A04783" w:rsidRDefault="00504AE9" w:rsidP="009446C3">
            <w:pPr>
              <w:pStyle w:val="Header"/>
              <w:jc w:val="center"/>
              <w:rPr>
                <w:bCs w:val="0"/>
              </w:rPr>
            </w:pPr>
            <w:r>
              <w:t>Sponsor</w:t>
            </w:r>
          </w:p>
        </w:tc>
      </w:tr>
      <w:tr w:rsidR="00504AE9" w14:paraId="353C84FF" w14:textId="77777777" w:rsidTr="009446C3">
        <w:trPr>
          <w:cantSplit/>
          <w:trHeight w:val="432"/>
        </w:trPr>
        <w:tc>
          <w:tcPr>
            <w:tcW w:w="2993" w:type="dxa"/>
            <w:shd w:val="clear" w:color="auto" w:fill="FFFFFF"/>
            <w:vAlign w:val="center"/>
          </w:tcPr>
          <w:p w14:paraId="6289F964" w14:textId="77777777" w:rsidR="00504AE9" w:rsidRDefault="00504AE9" w:rsidP="009446C3">
            <w:pPr>
              <w:pStyle w:val="Header"/>
              <w:rPr>
                <w:bCs w:val="0"/>
              </w:rPr>
            </w:pPr>
            <w:r w:rsidRPr="00B93CA0">
              <w:rPr>
                <w:bCs w:val="0"/>
              </w:rPr>
              <w:t>Name</w:t>
            </w:r>
          </w:p>
          <w:p w14:paraId="62314C4A" w14:textId="77777777" w:rsidR="00504AE9" w:rsidRPr="00342163" w:rsidRDefault="00504AE9" w:rsidP="009446C3"/>
        </w:tc>
        <w:tc>
          <w:tcPr>
            <w:tcW w:w="7447" w:type="dxa"/>
            <w:vAlign w:val="center"/>
          </w:tcPr>
          <w:p w14:paraId="1848A05B" w14:textId="77777777" w:rsidR="00504AE9" w:rsidRDefault="00504AE9" w:rsidP="009446C3">
            <w:pPr>
              <w:pStyle w:val="NormalArial"/>
            </w:pPr>
            <w:r>
              <w:t>Yunzhi Cheng; Atiqul Islam</w:t>
            </w:r>
          </w:p>
        </w:tc>
      </w:tr>
      <w:tr w:rsidR="00504AE9" w14:paraId="386A0B8F" w14:textId="77777777" w:rsidTr="009446C3">
        <w:trPr>
          <w:cantSplit/>
          <w:trHeight w:val="432"/>
        </w:trPr>
        <w:tc>
          <w:tcPr>
            <w:tcW w:w="2993" w:type="dxa"/>
            <w:shd w:val="clear" w:color="auto" w:fill="FFFFFF"/>
            <w:vAlign w:val="center"/>
          </w:tcPr>
          <w:p w14:paraId="6DC6FE7B" w14:textId="77777777" w:rsidR="00504AE9" w:rsidRPr="00B93CA0" w:rsidRDefault="00504AE9" w:rsidP="009446C3">
            <w:pPr>
              <w:pStyle w:val="Header"/>
              <w:rPr>
                <w:bCs w:val="0"/>
              </w:rPr>
            </w:pPr>
            <w:r w:rsidRPr="00B93CA0">
              <w:rPr>
                <w:bCs w:val="0"/>
              </w:rPr>
              <w:t>E-mail Address</w:t>
            </w:r>
          </w:p>
        </w:tc>
        <w:tc>
          <w:tcPr>
            <w:tcW w:w="7447" w:type="dxa"/>
            <w:vAlign w:val="center"/>
          </w:tcPr>
          <w:p w14:paraId="061D9858" w14:textId="77777777" w:rsidR="00504AE9" w:rsidRDefault="00504AE9" w:rsidP="009446C3">
            <w:pPr>
              <w:pStyle w:val="NormalArial"/>
            </w:pPr>
            <w:hyperlink r:id="rId18" w:history="1">
              <w:r w:rsidRPr="004A75CE">
                <w:rPr>
                  <w:rStyle w:val="Hyperlink"/>
                </w:rPr>
                <w:t>yunzhi.cheng@ercot.com</w:t>
              </w:r>
            </w:hyperlink>
            <w:r>
              <w:t xml:space="preserve">; </w:t>
            </w:r>
            <w:r w:rsidRPr="00AF558B">
              <w:t>atiqul.islam@ercot.com</w:t>
            </w:r>
          </w:p>
        </w:tc>
      </w:tr>
      <w:tr w:rsidR="00504AE9" w14:paraId="117469D8" w14:textId="77777777" w:rsidTr="009446C3">
        <w:trPr>
          <w:cantSplit/>
          <w:trHeight w:val="432"/>
        </w:trPr>
        <w:tc>
          <w:tcPr>
            <w:tcW w:w="2993" w:type="dxa"/>
            <w:shd w:val="clear" w:color="auto" w:fill="FFFFFF"/>
            <w:vAlign w:val="center"/>
          </w:tcPr>
          <w:p w14:paraId="574A5180" w14:textId="77777777" w:rsidR="00504AE9" w:rsidRPr="00B93CA0" w:rsidRDefault="00504AE9" w:rsidP="009446C3">
            <w:pPr>
              <w:pStyle w:val="Header"/>
              <w:rPr>
                <w:bCs w:val="0"/>
              </w:rPr>
            </w:pPr>
            <w:r w:rsidRPr="00B93CA0">
              <w:rPr>
                <w:bCs w:val="0"/>
              </w:rPr>
              <w:t>Company</w:t>
            </w:r>
          </w:p>
        </w:tc>
        <w:tc>
          <w:tcPr>
            <w:tcW w:w="7447" w:type="dxa"/>
            <w:vAlign w:val="center"/>
          </w:tcPr>
          <w:p w14:paraId="5925928F" w14:textId="77777777" w:rsidR="00504AE9" w:rsidRDefault="00504AE9" w:rsidP="009446C3">
            <w:pPr>
              <w:pStyle w:val="NormalArial"/>
            </w:pPr>
            <w:r>
              <w:t>ERCOT</w:t>
            </w:r>
          </w:p>
        </w:tc>
      </w:tr>
      <w:tr w:rsidR="00504AE9" w14:paraId="118735A3" w14:textId="77777777" w:rsidTr="009446C3">
        <w:trPr>
          <w:cantSplit/>
          <w:trHeight w:val="432"/>
        </w:trPr>
        <w:tc>
          <w:tcPr>
            <w:tcW w:w="2993" w:type="dxa"/>
            <w:tcBorders>
              <w:bottom w:val="single" w:sz="4" w:space="0" w:color="auto"/>
            </w:tcBorders>
            <w:shd w:val="clear" w:color="auto" w:fill="FFFFFF"/>
            <w:vAlign w:val="center"/>
          </w:tcPr>
          <w:p w14:paraId="3A0D3A8B" w14:textId="77777777" w:rsidR="00504AE9" w:rsidRPr="00B93CA0" w:rsidRDefault="00504AE9" w:rsidP="009446C3">
            <w:pPr>
              <w:pStyle w:val="Header"/>
              <w:rPr>
                <w:bCs w:val="0"/>
              </w:rPr>
            </w:pPr>
            <w:r w:rsidRPr="00B93CA0">
              <w:rPr>
                <w:bCs w:val="0"/>
              </w:rPr>
              <w:t>Phone Number</w:t>
            </w:r>
          </w:p>
        </w:tc>
        <w:tc>
          <w:tcPr>
            <w:tcW w:w="7447" w:type="dxa"/>
            <w:tcBorders>
              <w:bottom w:val="single" w:sz="4" w:space="0" w:color="auto"/>
            </w:tcBorders>
            <w:vAlign w:val="center"/>
          </w:tcPr>
          <w:p w14:paraId="288BAD61" w14:textId="77777777" w:rsidR="00504AE9" w:rsidRDefault="00504AE9" w:rsidP="009446C3">
            <w:pPr>
              <w:pStyle w:val="NormalArial"/>
            </w:pPr>
            <w:r>
              <w:t>512-248-3130; 512-248-6668</w:t>
            </w:r>
          </w:p>
        </w:tc>
      </w:tr>
      <w:tr w:rsidR="00504AE9" w14:paraId="2D9A168E" w14:textId="77777777" w:rsidTr="009446C3">
        <w:trPr>
          <w:cantSplit/>
          <w:trHeight w:val="432"/>
        </w:trPr>
        <w:tc>
          <w:tcPr>
            <w:tcW w:w="2993" w:type="dxa"/>
            <w:shd w:val="clear" w:color="auto" w:fill="FFFFFF"/>
            <w:vAlign w:val="center"/>
          </w:tcPr>
          <w:p w14:paraId="0B216810" w14:textId="77777777" w:rsidR="00504AE9" w:rsidRPr="00B93CA0" w:rsidRDefault="00504AE9" w:rsidP="009446C3">
            <w:pPr>
              <w:pStyle w:val="Header"/>
              <w:rPr>
                <w:bCs w:val="0"/>
              </w:rPr>
            </w:pPr>
            <w:r>
              <w:rPr>
                <w:bCs w:val="0"/>
              </w:rPr>
              <w:t>Cell</w:t>
            </w:r>
            <w:r w:rsidRPr="00B93CA0">
              <w:rPr>
                <w:bCs w:val="0"/>
              </w:rPr>
              <w:t xml:space="preserve"> Number</w:t>
            </w:r>
          </w:p>
        </w:tc>
        <w:tc>
          <w:tcPr>
            <w:tcW w:w="7447" w:type="dxa"/>
            <w:vAlign w:val="center"/>
          </w:tcPr>
          <w:p w14:paraId="1BA1E9FC" w14:textId="77777777" w:rsidR="00504AE9" w:rsidRDefault="00504AE9" w:rsidP="009446C3">
            <w:pPr>
              <w:pStyle w:val="NormalArial"/>
            </w:pPr>
          </w:p>
        </w:tc>
      </w:tr>
      <w:tr w:rsidR="00504AE9" w14:paraId="104398EB" w14:textId="77777777" w:rsidTr="009446C3">
        <w:trPr>
          <w:cantSplit/>
          <w:trHeight w:val="432"/>
        </w:trPr>
        <w:tc>
          <w:tcPr>
            <w:tcW w:w="2993" w:type="dxa"/>
            <w:tcBorders>
              <w:bottom w:val="single" w:sz="4" w:space="0" w:color="auto"/>
            </w:tcBorders>
            <w:shd w:val="clear" w:color="auto" w:fill="FFFFFF"/>
            <w:vAlign w:val="center"/>
          </w:tcPr>
          <w:p w14:paraId="0B600D4C" w14:textId="77777777" w:rsidR="00504AE9" w:rsidRPr="00B93CA0" w:rsidRDefault="00504AE9" w:rsidP="009446C3">
            <w:pPr>
              <w:pStyle w:val="Header"/>
              <w:rPr>
                <w:bCs w:val="0"/>
              </w:rPr>
            </w:pPr>
            <w:r>
              <w:rPr>
                <w:bCs w:val="0"/>
              </w:rPr>
              <w:t>Market Segment</w:t>
            </w:r>
          </w:p>
        </w:tc>
        <w:tc>
          <w:tcPr>
            <w:tcW w:w="7447" w:type="dxa"/>
            <w:tcBorders>
              <w:bottom w:val="single" w:sz="4" w:space="0" w:color="auto"/>
            </w:tcBorders>
            <w:vAlign w:val="center"/>
          </w:tcPr>
          <w:p w14:paraId="7EEAC990" w14:textId="77777777" w:rsidR="00504AE9" w:rsidRDefault="00504AE9" w:rsidP="009446C3">
            <w:pPr>
              <w:pStyle w:val="NormalArial"/>
            </w:pPr>
            <w:r>
              <w:t>Not applicable</w:t>
            </w:r>
          </w:p>
        </w:tc>
      </w:tr>
    </w:tbl>
    <w:p w14:paraId="0C4E2FBD" w14:textId="77777777" w:rsidR="00504AE9" w:rsidRPr="00D56D61" w:rsidRDefault="00504AE9" w:rsidP="00504AE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504AE9" w:rsidRPr="00D56D61" w14:paraId="031E4373" w14:textId="77777777" w:rsidTr="009446C3">
        <w:trPr>
          <w:cantSplit/>
          <w:trHeight w:val="432"/>
        </w:trPr>
        <w:tc>
          <w:tcPr>
            <w:tcW w:w="10440" w:type="dxa"/>
            <w:gridSpan w:val="2"/>
            <w:vAlign w:val="center"/>
          </w:tcPr>
          <w:p w14:paraId="2E8A1A43" w14:textId="77777777" w:rsidR="00504AE9" w:rsidRPr="007C199B" w:rsidRDefault="00504AE9" w:rsidP="009446C3">
            <w:pPr>
              <w:pStyle w:val="NormalArial"/>
              <w:jc w:val="center"/>
              <w:rPr>
                <w:b/>
              </w:rPr>
            </w:pPr>
            <w:r w:rsidRPr="007C199B">
              <w:rPr>
                <w:b/>
              </w:rPr>
              <w:t>Market Rules Staff Contact</w:t>
            </w:r>
          </w:p>
        </w:tc>
      </w:tr>
      <w:tr w:rsidR="00504AE9" w:rsidRPr="00D56D61" w14:paraId="107C9ED0" w14:textId="77777777" w:rsidTr="009446C3">
        <w:trPr>
          <w:cantSplit/>
          <w:trHeight w:val="432"/>
        </w:trPr>
        <w:tc>
          <w:tcPr>
            <w:tcW w:w="2880" w:type="dxa"/>
            <w:vAlign w:val="center"/>
          </w:tcPr>
          <w:p w14:paraId="3B0E54B7" w14:textId="77777777" w:rsidR="00504AE9" w:rsidRPr="007C199B" w:rsidRDefault="00504AE9" w:rsidP="009446C3">
            <w:pPr>
              <w:pStyle w:val="NormalArial"/>
              <w:rPr>
                <w:b/>
              </w:rPr>
            </w:pPr>
            <w:r w:rsidRPr="007C199B">
              <w:rPr>
                <w:b/>
              </w:rPr>
              <w:t>Name</w:t>
            </w:r>
          </w:p>
        </w:tc>
        <w:tc>
          <w:tcPr>
            <w:tcW w:w="7560" w:type="dxa"/>
            <w:vAlign w:val="center"/>
          </w:tcPr>
          <w:p w14:paraId="2FD4C454" w14:textId="77777777" w:rsidR="00504AE9" w:rsidRPr="00D56D61" w:rsidRDefault="00504AE9" w:rsidP="009446C3">
            <w:pPr>
              <w:pStyle w:val="NormalArial"/>
            </w:pPr>
            <w:r>
              <w:t>Brittney Albracht</w:t>
            </w:r>
          </w:p>
        </w:tc>
      </w:tr>
      <w:tr w:rsidR="00504AE9" w:rsidRPr="00D56D61" w14:paraId="4FF55A5F" w14:textId="77777777" w:rsidTr="009446C3">
        <w:trPr>
          <w:cantSplit/>
          <w:trHeight w:val="432"/>
        </w:trPr>
        <w:tc>
          <w:tcPr>
            <w:tcW w:w="2880" w:type="dxa"/>
            <w:vAlign w:val="center"/>
          </w:tcPr>
          <w:p w14:paraId="17E5524E" w14:textId="77777777" w:rsidR="00504AE9" w:rsidRPr="007C199B" w:rsidRDefault="00504AE9" w:rsidP="009446C3">
            <w:pPr>
              <w:pStyle w:val="NormalArial"/>
              <w:rPr>
                <w:b/>
              </w:rPr>
            </w:pPr>
            <w:r w:rsidRPr="007C199B">
              <w:rPr>
                <w:b/>
              </w:rPr>
              <w:t>E-Mail Address</w:t>
            </w:r>
          </w:p>
        </w:tc>
        <w:tc>
          <w:tcPr>
            <w:tcW w:w="7560" w:type="dxa"/>
            <w:vAlign w:val="center"/>
          </w:tcPr>
          <w:p w14:paraId="53932B6A" w14:textId="77777777" w:rsidR="00504AE9" w:rsidRPr="00D56D61" w:rsidRDefault="00504AE9" w:rsidP="009446C3">
            <w:pPr>
              <w:pStyle w:val="NormalArial"/>
            </w:pPr>
            <w:hyperlink r:id="rId19" w:history="1">
              <w:r w:rsidRPr="00E55532">
                <w:rPr>
                  <w:rStyle w:val="Hyperlink"/>
                </w:rPr>
                <w:t>Brittney.Albracht@ercot.com</w:t>
              </w:r>
            </w:hyperlink>
            <w:r>
              <w:t xml:space="preserve"> </w:t>
            </w:r>
          </w:p>
        </w:tc>
      </w:tr>
      <w:tr w:rsidR="00504AE9" w:rsidRPr="005370B5" w14:paraId="60D079B3" w14:textId="77777777" w:rsidTr="009446C3">
        <w:trPr>
          <w:cantSplit/>
          <w:trHeight w:val="432"/>
        </w:trPr>
        <w:tc>
          <w:tcPr>
            <w:tcW w:w="2880" w:type="dxa"/>
            <w:vAlign w:val="center"/>
          </w:tcPr>
          <w:p w14:paraId="1298D8B0" w14:textId="77777777" w:rsidR="00504AE9" w:rsidRPr="007C199B" w:rsidRDefault="00504AE9" w:rsidP="009446C3">
            <w:pPr>
              <w:pStyle w:val="NormalArial"/>
              <w:rPr>
                <w:b/>
              </w:rPr>
            </w:pPr>
            <w:r w:rsidRPr="007C199B">
              <w:rPr>
                <w:b/>
              </w:rPr>
              <w:t>Phone Number</w:t>
            </w:r>
          </w:p>
        </w:tc>
        <w:tc>
          <w:tcPr>
            <w:tcW w:w="7560" w:type="dxa"/>
            <w:vAlign w:val="center"/>
          </w:tcPr>
          <w:p w14:paraId="0CBD9A2D" w14:textId="77777777" w:rsidR="00504AE9" w:rsidRDefault="00504AE9" w:rsidP="009446C3">
            <w:pPr>
              <w:pStyle w:val="NormalArial"/>
            </w:pPr>
            <w:r>
              <w:t>512-225-7027</w:t>
            </w:r>
          </w:p>
        </w:tc>
      </w:tr>
    </w:tbl>
    <w:p w14:paraId="38D9C190" w14:textId="77777777" w:rsidR="00504AE9" w:rsidRDefault="00504AE9" w:rsidP="00504AE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504AE9" w:rsidRPr="00403314" w14:paraId="763081ED" w14:textId="77777777" w:rsidTr="009446C3">
        <w:trPr>
          <w:cantSplit/>
          <w:trHeight w:val="432"/>
        </w:trPr>
        <w:tc>
          <w:tcPr>
            <w:tcW w:w="10440" w:type="dxa"/>
            <w:gridSpan w:val="2"/>
            <w:vAlign w:val="center"/>
          </w:tcPr>
          <w:p w14:paraId="14E37C9E" w14:textId="77777777" w:rsidR="00504AE9" w:rsidRPr="00403314" w:rsidRDefault="00504AE9" w:rsidP="009446C3">
            <w:pPr>
              <w:jc w:val="center"/>
              <w:rPr>
                <w:rFonts w:ascii="Arial" w:eastAsiaTheme="minorEastAsia" w:hAnsi="Arial"/>
                <w:b/>
                <w:bCs/>
              </w:rPr>
            </w:pPr>
            <w:r w:rsidRPr="00403314">
              <w:rPr>
                <w:rFonts w:ascii="Arial" w:eastAsiaTheme="minorEastAsia" w:hAnsi="Arial"/>
                <w:b/>
                <w:bCs/>
              </w:rPr>
              <w:lastRenderedPageBreak/>
              <w:t>Comments Received</w:t>
            </w:r>
          </w:p>
        </w:tc>
      </w:tr>
      <w:tr w:rsidR="00504AE9" w:rsidRPr="00403314" w14:paraId="559544D2" w14:textId="77777777" w:rsidTr="009446C3">
        <w:trPr>
          <w:cantSplit/>
          <w:trHeight w:val="432"/>
        </w:trPr>
        <w:tc>
          <w:tcPr>
            <w:tcW w:w="2880" w:type="dxa"/>
            <w:vAlign w:val="center"/>
          </w:tcPr>
          <w:p w14:paraId="3DF55AB5" w14:textId="77777777" w:rsidR="00504AE9" w:rsidRPr="00403314" w:rsidRDefault="00504AE9" w:rsidP="009446C3">
            <w:pPr>
              <w:rPr>
                <w:rFonts w:ascii="Arial" w:eastAsiaTheme="minorEastAsia" w:hAnsi="Arial"/>
                <w:b/>
              </w:rPr>
            </w:pPr>
            <w:r w:rsidRPr="00403314">
              <w:rPr>
                <w:rFonts w:ascii="Arial" w:eastAsiaTheme="minorEastAsia" w:hAnsi="Arial"/>
                <w:b/>
              </w:rPr>
              <w:t>Comment Author</w:t>
            </w:r>
          </w:p>
        </w:tc>
        <w:tc>
          <w:tcPr>
            <w:tcW w:w="7560" w:type="dxa"/>
            <w:vAlign w:val="center"/>
          </w:tcPr>
          <w:p w14:paraId="08A5A41B" w14:textId="77777777" w:rsidR="00504AE9" w:rsidRPr="00403314" w:rsidRDefault="00504AE9" w:rsidP="009446C3">
            <w:pPr>
              <w:rPr>
                <w:rFonts w:ascii="Arial" w:eastAsiaTheme="minorEastAsia" w:hAnsi="Arial"/>
              </w:rPr>
            </w:pPr>
            <w:r w:rsidRPr="00403314">
              <w:rPr>
                <w:rFonts w:ascii="Arial" w:eastAsiaTheme="minorEastAsia" w:hAnsi="Arial"/>
                <w:b/>
              </w:rPr>
              <w:t>Comment Summary</w:t>
            </w:r>
          </w:p>
        </w:tc>
      </w:tr>
      <w:tr w:rsidR="00504AE9" w:rsidRPr="00403314" w14:paraId="3FCB6CE4" w14:textId="77777777" w:rsidTr="0023371D">
        <w:trPr>
          <w:cantSplit/>
          <w:trHeight w:val="432"/>
        </w:trPr>
        <w:tc>
          <w:tcPr>
            <w:tcW w:w="2880" w:type="dxa"/>
            <w:vAlign w:val="center"/>
          </w:tcPr>
          <w:p w14:paraId="5A7E2226" w14:textId="2D76B5BB" w:rsidR="00504AE9" w:rsidRPr="00403314" w:rsidRDefault="0023371D" w:rsidP="0023371D">
            <w:pPr>
              <w:spacing w:before="120" w:after="120"/>
              <w:rPr>
                <w:rFonts w:ascii="Arial" w:eastAsiaTheme="minorEastAsia" w:hAnsi="Arial"/>
                <w:bCs/>
              </w:rPr>
            </w:pPr>
            <w:r>
              <w:rPr>
                <w:rFonts w:ascii="Arial" w:eastAsiaTheme="minorEastAsia" w:hAnsi="Arial"/>
                <w:bCs/>
              </w:rPr>
              <w:t>Pattern Energy 061526</w:t>
            </w:r>
          </w:p>
        </w:tc>
        <w:tc>
          <w:tcPr>
            <w:tcW w:w="7560" w:type="dxa"/>
            <w:vAlign w:val="center"/>
          </w:tcPr>
          <w:p w14:paraId="33F1014B" w14:textId="6A1094B8" w:rsidR="00504AE9" w:rsidRPr="00320C17" w:rsidRDefault="00993C8E" w:rsidP="00320C17">
            <w:pPr>
              <w:pStyle w:val="NormalArial"/>
              <w:spacing w:before="120" w:after="120"/>
            </w:pPr>
            <w:r>
              <w:t>Noted stakeholder preference for a more rapid qualifying stability assessment cadence, expressed support for PGRR146 in that ERCOT has made the correct near-term choice in PGRR146 to slow the study cadence in order to produce more reliable results and maximize the value of existing resources and transmission infrastructure</w:t>
            </w:r>
          </w:p>
        </w:tc>
      </w:tr>
      <w:tr w:rsidR="0023371D" w:rsidRPr="00403314" w14:paraId="345EE8CF" w14:textId="77777777" w:rsidTr="0023371D">
        <w:trPr>
          <w:cantSplit/>
          <w:trHeight w:val="432"/>
        </w:trPr>
        <w:tc>
          <w:tcPr>
            <w:tcW w:w="2880" w:type="dxa"/>
            <w:vAlign w:val="center"/>
          </w:tcPr>
          <w:p w14:paraId="7A5EA287" w14:textId="6374B832" w:rsidR="0023371D" w:rsidRPr="00403314" w:rsidDel="0023371D" w:rsidRDefault="0023371D" w:rsidP="0023371D">
            <w:pPr>
              <w:spacing w:before="120" w:after="120"/>
              <w:rPr>
                <w:rFonts w:ascii="Arial" w:eastAsiaTheme="minorEastAsia" w:hAnsi="Arial"/>
                <w:bCs/>
              </w:rPr>
            </w:pPr>
            <w:r>
              <w:rPr>
                <w:rFonts w:ascii="Arial" w:eastAsiaTheme="minorEastAsia" w:hAnsi="Arial"/>
                <w:bCs/>
              </w:rPr>
              <w:t>Southern Power 061526</w:t>
            </w:r>
          </w:p>
        </w:tc>
        <w:tc>
          <w:tcPr>
            <w:tcW w:w="7560" w:type="dxa"/>
            <w:vAlign w:val="center"/>
          </w:tcPr>
          <w:p w14:paraId="1B8E1240" w14:textId="524D1F58" w:rsidR="0023371D" w:rsidRPr="00403314" w:rsidRDefault="00FA7DC2" w:rsidP="0023371D">
            <w:pPr>
              <w:spacing w:before="120" w:after="120"/>
              <w:rPr>
                <w:rFonts w:ascii="Arial" w:eastAsiaTheme="minorEastAsia" w:hAnsi="Arial"/>
              </w:rPr>
            </w:pPr>
            <w:r>
              <w:rPr>
                <w:rFonts w:ascii="Arial" w:eastAsiaTheme="minorEastAsia" w:hAnsi="Arial"/>
              </w:rPr>
              <w:t>Expressed preference for the three month assessment cycle; provided revisions to delete extra months in the timeline table</w:t>
            </w:r>
          </w:p>
        </w:tc>
      </w:tr>
      <w:tr w:rsidR="0023371D" w:rsidRPr="00403314" w14:paraId="182725B4" w14:textId="77777777" w:rsidTr="0023371D">
        <w:trPr>
          <w:cantSplit/>
          <w:trHeight w:val="432"/>
        </w:trPr>
        <w:tc>
          <w:tcPr>
            <w:tcW w:w="2880" w:type="dxa"/>
            <w:vAlign w:val="center"/>
          </w:tcPr>
          <w:p w14:paraId="4867CF51" w14:textId="7808A311" w:rsidR="0023371D" w:rsidRPr="00403314" w:rsidDel="0023371D" w:rsidRDefault="0023371D" w:rsidP="0023371D">
            <w:pPr>
              <w:spacing w:before="120" w:after="120"/>
              <w:rPr>
                <w:rFonts w:ascii="Arial" w:eastAsiaTheme="minorEastAsia" w:hAnsi="Arial"/>
                <w:bCs/>
              </w:rPr>
            </w:pPr>
            <w:r>
              <w:rPr>
                <w:rFonts w:ascii="Arial" w:eastAsiaTheme="minorEastAsia" w:hAnsi="Arial"/>
                <w:bCs/>
              </w:rPr>
              <w:t>APA ACP 073126</w:t>
            </w:r>
          </w:p>
        </w:tc>
        <w:tc>
          <w:tcPr>
            <w:tcW w:w="7560" w:type="dxa"/>
            <w:vAlign w:val="center"/>
          </w:tcPr>
          <w:p w14:paraId="5189379B" w14:textId="65BCF5CF" w:rsidR="0023371D" w:rsidRPr="00403314" w:rsidRDefault="00FA7DC2" w:rsidP="0023371D">
            <w:pPr>
              <w:spacing w:before="120" w:after="120"/>
              <w:rPr>
                <w:rFonts w:ascii="Arial" w:eastAsiaTheme="minorEastAsia" w:hAnsi="Arial"/>
              </w:rPr>
            </w:pPr>
            <w:r>
              <w:rPr>
                <w:rFonts w:ascii="Arial" w:eastAsiaTheme="minorEastAsia" w:hAnsi="Arial"/>
              </w:rPr>
              <w:t>Proposed revisions to transition from four to three assessment periods</w:t>
            </w:r>
          </w:p>
        </w:tc>
      </w:tr>
      <w:tr w:rsidR="0023371D" w:rsidRPr="00403314" w14:paraId="7AB58E05" w14:textId="77777777" w:rsidTr="0023371D">
        <w:trPr>
          <w:cantSplit/>
          <w:trHeight w:val="432"/>
        </w:trPr>
        <w:tc>
          <w:tcPr>
            <w:tcW w:w="2880" w:type="dxa"/>
            <w:vAlign w:val="center"/>
          </w:tcPr>
          <w:p w14:paraId="77D2845F" w14:textId="38C5B212" w:rsidR="0023371D" w:rsidRPr="00403314" w:rsidDel="0023371D" w:rsidRDefault="0023371D" w:rsidP="0023371D">
            <w:pPr>
              <w:spacing w:before="120" w:after="120"/>
              <w:rPr>
                <w:rFonts w:ascii="Arial" w:eastAsiaTheme="minorEastAsia" w:hAnsi="Arial"/>
                <w:bCs/>
              </w:rPr>
            </w:pPr>
            <w:r>
              <w:rPr>
                <w:rFonts w:ascii="Arial" w:eastAsiaTheme="minorEastAsia" w:hAnsi="Arial"/>
                <w:bCs/>
              </w:rPr>
              <w:t>ERCOT 080326</w:t>
            </w:r>
          </w:p>
        </w:tc>
        <w:tc>
          <w:tcPr>
            <w:tcW w:w="7560" w:type="dxa"/>
            <w:vAlign w:val="center"/>
          </w:tcPr>
          <w:p w14:paraId="622D30CA" w14:textId="5048725B" w:rsidR="0023371D" w:rsidRPr="00403314" w:rsidRDefault="00FA7DC2" w:rsidP="0023371D">
            <w:pPr>
              <w:spacing w:before="120" w:after="120"/>
              <w:rPr>
                <w:rFonts w:ascii="Arial" w:eastAsiaTheme="minorEastAsia" w:hAnsi="Arial"/>
              </w:rPr>
            </w:pPr>
            <w:r>
              <w:rPr>
                <w:rFonts w:ascii="Arial" w:eastAsiaTheme="minorEastAsia" w:hAnsi="Arial"/>
              </w:rPr>
              <w:t>Opposed revisions proposed in the 7/31/26 APA ACP comments</w:t>
            </w:r>
          </w:p>
        </w:tc>
      </w:tr>
      <w:tr w:rsidR="0023371D" w:rsidRPr="00403314" w14:paraId="1E91DAAE" w14:textId="77777777" w:rsidTr="0023371D">
        <w:trPr>
          <w:cantSplit/>
          <w:trHeight w:val="432"/>
        </w:trPr>
        <w:tc>
          <w:tcPr>
            <w:tcW w:w="2880" w:type="dxa"/>
            <w:vAlign w:val="center"/>
          </w:tcPr>
          <w:p w14:paraId="16D94C37" w14:textId="2614A10A" w:rsidR="0023371D" w:rsidRPr="00403314" w:rsidDel="0023371D" w:rsidRDefault="0023371D" w:rsidP="0023371D">
            <w:pPr>
              <w:spacing w:before="120" w:after="120"/>
              <w:rPr>
                <w:rFonts w:ascii="Arial" w:eastAsiaTheme="minorEastAsia" w:hAnsi="Arial"/>
                <w:bCs/>
              </w:rPr>
            </w:pPr>
            <w:r>
              <w:rPr>
                <w:rFonts w:ascii="Arial" w:eastAsiaTheme="minorEastAsia" w:hAnsi="Arial"/>
                <w:bCs/>
              </w:rPr>
              <w:t>APA ACP 080526</w:t>
            </w:r>
          </w:p>
        </w:tc>
        <w:tc>
          <w:tcPr>
            <w:tcW w:w="7560" w:type="dxa"/>
            <w:vAlign w:val="center"/>
          </w:tcPr>
          <w:p w14:paraId="294D891D" w14:textId="31F296B3" w:rsidR="0023371D" w:rsidRPr="00403314" w:rsidRDefault="00FA7DC2" w:rsidP="0023371D">
            <w:pPr>
              <w:spacing w:before="120" w:after="120"/>
              <w:rPr>
                <w:rFonts w:ascii="Arial" w:eastAsiaTheme="minorEastAsia" w:hAnsi="Arial"/>
              </w:rPr>
            </w:pPr>
            <w:r>
              <w:rPr>
                <w:rFonts w:ascii="Arial" w:eastAsiaTheme="minorEastAsia" w:hAnsi="Arial"/>
              </w:rPr>
              <w:t>Asserted that objections noted in the 8/3/26 ERCOT comments reflect current implementation challenges rather than flaws in the proposals offered in the 7/31/26 APA ACP comments</w:t>
            </w:r>
          </w:p>
        </w:tc>
      </w:tr>
    </w:tbl>
    <w:p w14:paraId="7A1D4E13" w14:textId="77777777" w:rsidR="00504AE9" w:rsidRDefault="00504AE9" w:rsidP="00504AE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504AE9" w14:paraId="015B9CA5" w14:textId="77777777" w:rsidTr="009446C3">
        <w:trPr>
          <w:cantSplit/>
          <w:trHeight w:val="432"/>
        </w:trPr>
        <w:tc>
          <w:tcPr>
            <w:tcW w:w="10440" w:type="dxa"/>
            <w:vAlign w:val="center"/>
          </w:tcPr>
          <w:p w14:paraId="51493AA5" w14:textId="77777777" w:rsidR="00504AE9" w:rsidRDefault="00504AE9" w:rsidP="009446C3">
            <w:pPr>
              <w:pStyle w:val="NormalArial"/>
              <w:jc w:val="center"/>
            </w:pPr>
            <w:r>
              <w:rPr>
                <w:b/>
              </w:rPr>
              <w:t>Market Rules Notes</w:t>
            </w:r>
          </w:p>
        </w:tc>
      </w:tr>
    </w:tbl>
    <w:p w14:paraId="3992191B" w14:textId="77777777" w:rsidR="00041ECC" w:rsidRDefault="00041ECC" w:rsidP="00041ECC">
      <w:pPr>
        <w:tabs>
          <w:tab w:val="num" w:pos="0"/>
        </w:tabs>
        <w:spacing w:before="120" w:after="120"/>
        <w:rPr>
          <w:rFonts w:ascii="Arial" w:hAnsi="Arial" w:cs="Arial"/>
        </w:rPr>
      </w:pPr>
      <w:r>
        <w:rPr>
          <w:rFonts w:ascii="Arial" w:hAnsi="Arial" w:cs="Arial"/>
        </w:rPr>
        <w:t>Please note the baseline Planning Guide language in the following section(s) has been updated to reflect the incorporation of the following PGRR(s) into the Planning Guide:</w:t>
      </w:r>
    </w:p>
    <w:p w14:paraId="4124244A" w14:textId="77777777" w:rsidR="00041ECC" w:rsidRDefault="00041ECC" w:rsidP="00041ECC">
      <w:pPr>
        <w:numPr>
          <w:ilvl w:val="0"/>
          <w:numId w:val="21"/>
        </w:numPr>
        <w:rPr>
          <w:rFonts w:ascii="Arial" w:hAnsi="Arial" w:cs="Arial"/>
        </w:rPr>
      </w:pPr>
      <w:r>
        <w:rPr>
          <w:rFonts w:ascii="Arial" w:hAnsi="Arial" w:cs="Arial"/>
        </w:rPr>
        <w:t xml:space="preserve">PGRR145, </w:t>
      </w:r>
      <w:r w:rsidRPr="00C41781">
        <w:rPr>
          <w:rFonts w:ascii="Arial" w:hAnsi="Arial" w:cs="Arial"/>
        </w:rPr>
        <w:t xml:space="preserve">Batch Zero Process for Large Load Interconnections </w:t>
      </w:r>
      <w:r>
        <w:rPr>
          <w:rFonts w:ascii="Arial" w:hAnsi="Arial" w:cs="Arial"/>
        </w:rPr>
        <w:t>(incorporated 7/11/26)</w:t>
      </w:r>
    </w:p>
    <w:p w14:paraId="2291077F" w14:textId="77777777" w:rsidR="00041ECC" w:rsidRPr="00043092" w:rsidRDefault="00041ECC" w:rsidP="00041ECC">
      <w:pPr>
        <w:numPr>
          <w:ilvl w:val="1"/>
          <w:numId w:val="21"/>
        </w:numPr>
        <w:spacing w:after="120"/>
        <w:rPr>
          <w:rFonts w:ascii="Arial" w:hAnsi="Arial" w:cs="Arial"/>
        </w:rPr>
      </w:pPr>
      <w:r>
        <w:rPr>
          <w:rFonts w:ascii="Arial" w:hAnsi="Arial" w:cs="Arial"/>
        </w:rPr>
        <w:t>Section 5.3.5</w:t>
      </w:r>
    </w:p>
    <w:p w14:paraId="32950B1B" w14:textId="77777777" w:rsidR="00504AE9" w:rsidRDefault="00504AE9" w:rsidP="00504AE9">
      <w:pPr>
        <w:tabs>
          <w:tab w:val="num" w:pos="0"/>
        </w:tabs>
        <w:spacing w:before="120" w:after="120"/>
        <w:rPr>
          <w:rFonts w:ascii="Arial" w:hAnsi="Arial" w:cs="Arial"/>
        </w:rPr>
      </w:pPr>
      <w:r>
        <w:rPr>
          <w:rFonts w:ascii="Arial" w:hAnsi="Arial" w:cs="Arial"/>
        </w:rPr>
        <w:t>Please note that the following PGRR(s) also propose revisions to the following Section(s):</w:t>
      </w:r>
    </w:p>
    <w:p w14:paraId="1AD7E83F" w14:textId="77777777" w:rsidR="00504AE9" w:rsidRPr="00383A02" w:rsidRDefault="00504AE9" w:rsidP="00504AE9">
      <w:pPr>
        <w:numPr>
          <w:ilvl w:val="0"/>
          <w:numId w:val="21"/>
        </w:numPr>
        <w:rPr>
          <w:rFonts w:ascii="Arial" w:hAnsi="Arial" w:cs="Arial"/>
        </w:rPr>
      </w:pPr>
      <w:r w:rsidRPr="00383A02">
        <w:rPr>
          <w:rFonts w:ascii="Arial" w:hAnsi="Arial" w:cs="Arial"/>
        </w:rPr>
        <w:t>PGRR1</w:t>
      </w:r>
      <w:r>
        <w:rPr>
          <w:rFonts w:ascii="Arial" w:hAnsi="Arial" w:cs="Arial"/>
        </w:rPr>
        <w:t xml:space="preserve">40, </w:t>
      </w:r>
      <w:r w:rsidRPr="002960C3">
        <w:rPr>
          <w:rFonts w:ascii="Arial" w:hAnsi="Arial" w:cs="Arial"/>
        </w:rPr>
        <w:t>Related to NPRR1317, Creation of Non-Settled Generator (NSG) and Clarification of the Types, Usage, and Registration of Distributed Generation</w:t>
      </w:r>
    </w:p>
    <w:p w14:paraId="67F58B45" w14:textId="77777777" w:rsidR="00504AE9" w:rsidRDefault="00504AE9" w:rsidP="00504AE9">
      <w:pPr>
        <w:numPr>
          <w:ilvl w:val="1"/>
          <w:numId w:val="21"/>
        </w:numPr>
        <w:rPr>
          <w:rFonts w:ascii="Arial" w:hAnsi="Arial" w:cs="Arial"/>
        </w:rPr>
      </w:pPr>
      <w:r>
        <w:rPr>
          <w:rFonts w:ascii="Arial" w:hAnsi="Arial" w:cs="Arial"/>
        </w:rPr>
        <w:t>Section 5.3.4</w:t>
      </w:r>
    </w:p>
    <w:p w14:paraId="51ECB81C" w14:textId="77777777" w:rsidR="00504AE9" w:rsidRDefault="00504AE9" w:rsidP="00504AE9">
      <w:pPr>
        <w:numPr>
          <w:ilvl w:val="1"/>
          <w:numId w:val="21"/>
        </w:numPr>
        <w:rPr>
          <w:rFonts w:ascii="Arial" w:hAnsi="Arial" w:cs="Arial"/>
        </w:rPr>
      </w:pPr>
      <w:r>
        <w:rPr>
          <w:rFonts w:ascii="Arial" w:hAnsi="Arial" w:cs="Arial"/>
        </w:rPr>
        <w:t>Section 5.3.5</w:t>
      </w:r>
    </w:p>
    <w:p w14:paraId="695BED28" w14:textId="01E3FE1F" w:rsidR="00FC590C" w:rsidRPr="00041ECC" w:rsidRDefault="00504AE9" w:rsidP="00041ECC">
      <w:pPr>
        <w:numPr>
          <w:ilvl w:val="1"/>
          <w:numId w:val="21"/>
        </w:numPr>
        <w:spacing w:after="120"/>
        <w:rPr>
          <w:rFonts w:ascii="Arial" w:hAnsi="Arial" w:cs="Arial"/>
        </w:rPr>
      </w:pPr>
      <w:r>
        <w:rPr>
          <w:rFonts w:ascii="Arial" w:hAnsi="Arial" w:cs="Arial"/>
        </w:rPr>
        <w:t>Section 5.5</w:t>
      </w:r>
      <w:r w:rsidR="00FC590C">
        <w:t xml:space="preserve"> </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FC590C" w14:paraId="7475712D" w14:textId="77777777" w:rsidTr="001F35EC">
        <w:trPr>
          <w:trHeight w:val="350"/>
        </w:trPr>
        <w:tc>
          <w:tcPr>
            <w:tcW w:w="10440" w:type="dxa"/>
            <w:tcBorders>
              <w:bottom w:val="single" w:sz="4" w:space="0" w:color="auto"/>
            </w:tcBorders>
            <w:shd w:val="clear" w:color="auto" w:fill="FFFFFF"/>
            <w:vAlign w:val="center"/>
          </w:tcPr>
          <w:p w14:paraId="6F824A9E" w14:textId="00904279" w:rsidR="00FC590C" w:rsidRDefault="00FC590C" w:rsidP="001F35EC">
            <w:pPr>
              <w:pStyle w:val="Header"/>
              <w:jc w:val="center"/>
            </w:pPr>
            <w:r>
              <w:t>Proposed Guide Language</w:t>
            </w:r>
            <w:r w:rsidR="00504AE9">
              <w:t xml:space="preserve"> Revision</w:t>
            </w:r>
          </w:p>
        </w:tc>
      </w:tr>
    </w:tbl>
    <w:p w14:paraId="689C4566" w14:textId="77777777" w:rsidR="00CF3451" w:rsidRPr="005E1072" w:rsidRDefault="00CF3451" w:rsidP="00FC590C">
      <w:pPr>
        <w:pStyle w:val="H3"/>
        <w:ind w:left="0" w:firstLine="0"/>
        <w:outlineLvl w:val="3"/>
        <w:rPr>
          <w:i w:val="0"/>
          <w:iCs/>
        </w:rPr>
      </w:pPr>
      <w:bookmarkStart w:id="1" w:name="_Toc220592718"/>
      <w:bookmarkStart w:id="2" w:name="_Toc532803580"/>
      <w:bookmarkStart w:id="3" w:name="_Toc221086132"/>
      <w:bookmarkStart w:id="4" w:name="_Toc257809874"/>
      <w:bookmarkStart w:id="5" w:name="_Toc307384182"/>
      <w:bookmarkStart w:id="6" w:name="_Toc427581426"/>
      <w:bookmarkStart w:id="7" w:name="_Toc220592721"/>
      <w:bookmarkStart w:id="8" w:name="_Hlk216087786"/>
      <w:r w:rsidRPr="005E1072">
        <w:rPr>
          <w:i w:val="0"/>
          <w:iCs/>
          <w:szCs w:val="24"/>
        </w:rPr>
        <w:t>5.3.2.5</w:t>
      </w:r>
      <w:r w:rsidRPr="005E1072">
        <w:rPr>
          <w:i w:val="0"/>
          <w:iCs/>
          <w:szCs w:val="24"/>
        </w:rPr>
        <w:tab/>
        <w:t>FIS Report and Follow-up</w:t>
      </w:r>
      <w:bookmarkEnd w:id="1"/>
    </w:p>
    <w:p w14:paraId="4E1F3B16" w14:textId="77777777" w:rsidR="00CF3451" w:rsidRDefault="00CF3451" w:rsidP="00CF3451">
      <w:pPr>
        <w:pStyle w:val="BodyTextNumbered"/>
      </w:pPr>
      <w:r w:rsidRPr="006D2F69">
        <w:rPr>
          <w:szCs w:val="24"/>
        </w:rPr>
        <w:t>(1)</w:t>
      </w:r>
      <w:r w:rsidRPr="006D2F69">
        <w:rPr>
          <w:szCs w:val="24"/>
        </w:rPr>
        <w:tab/>
        <w:t>The TSP(s) will submit to ERCOT and to the other TSP(s) via the online RIOO system a preliminary report of findings and recommendations for each of the FIS elements.</w:t>
      </w:r>
    </w:p>
    <w:p w14:paraId="1F2A9D73" w14:textId="77777777" w:rsidR="00CF3451" w:rsidRDefault="00CF3451" w:rsidP="00CF3451">
      <w:pPr>
        <w:pStyle w:val="BodyTextNumbered"/>
      </w:pPr>
      <w:r w:rsidRPr="00DF4AA8">
        <w:rPr>
          <w:szCs w:val="24"/>
        </w:rPr>
        <w:lastRenderedPageBreak/>
        <w:t>(2)</w:t>
      </w:r>
      <w:r w:rsidRPr="00DF4AA8">
        <w:rPr>
          <w:szCs w:val="24"/>
        </w:rPr>
        <w:tab/>
      </w:r>
      <w:r w:rsidRPr="00AF6B57">
        <w:rPr>
          <w:szCs w:val="24"/>
        </w:rPr>
        <w:t>Any questions, comments, proposed revisions, or clarifications by any party shall be made in writing to the TSP(s) within ten Business Days after the issuance of each study report, which may cover one or more study elements.</w:t>
      </w:r>
      <w:r w:rsidRPr="00DF4AA8">
        <w:rPr>
          <w:szCs w:val="24"/>
        </w:rPr>
        <w:t xml:space="preserve">  ERCOT can extend this review period by an additional 20 Business Days </w:t>
      </w:r>
      <w:r>
        <w:rPr>
          <w:szCs w:val="24"/>
        </w:rPr>
        <w:t xml:space="preserve">and an email will be sent to </w:t>
      </w:r>
      <w:r w:rsidRPr="00DF4AA8">
        <w:rPr>
          <w:szCs w:val="24"/>
        </w:rPr>
        <w:t>notify the affected TSP(s) and the IE that it needs additional time to review the report.</w:t>
      </w:r>
    </w:p>
    <w:p w14:paraId="40E7122E" w14:textId="77777777" w:rsidR="00CF3451" w:rsidRDefault="00CF3451" w:rsidP="00CF3451">
      <w:pPr>
        <w:pStyle w:val="BodyTextNumbered"/>
        <w:rPr>
          <w:szCs w:val="24"/>
        </w:rPr>
      </w:pPr>
      <w:r>
        <w:t>(3)</w:t>
      </w:r>
      <w:r>
        <w:tab/>
      </w:r>
      <w:r w:rsidRPr="00AF6B57">
        <w:rPr>
          <w:szCs w:val="24"/>
        </w:rPr>
        <w:t>After considering the information received from ERCOT and other TSPs, the study element(s) report will be deemed complete and a final report</w:t>
      </w:r>
      <w:r>
        <w:rPr>
          <w:szCs w:val="24"/>
        </w:rPr>
        <w:t xml:space="preserve"> shall be provided, via the online RIOO system,</w:t>
      </w:r>
      <w:r w:rsidRPr="00AF6B57">
        <w:rPr>
          <w:szCs w:val="24"/>
        </w:rPr>
        <w:t xml:space="preserve"> to ERCOT and all TSPs.  </w:t>
      </w:r>
      <w:r>
        <w:rPr>
          <w:szCs w:val="24"/>
        </w:rPr>
        <w:t xml:space="preserve">The TSP(s) conducting the FIS shall submit via the online RIOO system, the </w:t>
      </w:r>
      <w:r w:rsidRPr="007625F7">
        <w:rPr>
          <w:szCs w:val="24"/>
        </w:rPr>
        <w:t>SSR</w:t>
      </w:r>
      <w:r w:rsidRPr="00686544">
        <w:rPr>
          <w:szCs w:val="24"/>
        </w:rPr>
        <w:t xml:space="preserve"> </w:t>
      </w:r>
      <w:r>
        <w:rPr>
          <w:szCs w:val="24"/>
        </w:rPr>
        <w:t>analysis, if required, as a separate document from the remainder of the report.</w:t>
      </w:r>
    </w:p>
    <w:p w14:paraId="7BB13A89" w14:textId="77777777" w:rsidR="00CF3451" w:rsidRDefault="00CF3451" w:rsidP="00CF3451">
      <w:pPr>
        <w:pStyle w:val="BodyTextNumbered"/>
        <w:rPr>
          <w:szCs w:val="24"/>
        </w:rPr>
      </w:pPr>
      <w:r w:rsidRPr="0046027E">
        <w:rPr>
          <w:szCs w:val="24"/>
        </w:rPr>
        <w:t>(4)</w:t>
      </w:r>
      <w:r w:rsidRPr="0046027E">
        <w:rPr>
          <w:szCs w:val="24"/>
        </w:rPr>
        <w:tab/>
      </w:r>
      <w:r>
        <w:rPr>
          <w:szCs w:val="24"/>
        </w:rPr>
        <w:t>Each</w:t>
      </w:r>
      <w:r w:rsidRPr="0046027E">
        <w:rPr>
          <w:szCs w:val="24"/>
        </w:rPr>
        <w:t xml:space="preserve"> final study element report will be available via the online RIOO system after the report has been deemed complete and marked “final”</w:t>
      </w:r>
      <w:r>
        <w:rPr>
          <w:szCs w:val="24"/>
        </w:rPr>
        <w:t xml:space="preserve"> and</w:t>
      </w:r>
      <w:r w:rsidRPr="0046027E">
        <w:rPr>
          <w:szCs w:val="24"/>
        </w:rPr>
        <w:t xml:space="preserve"> will be posted to the MIS Secure Area within ten Business Days.  Coincident with posting of the final FIS study element reports to the MIS Secure Area, ERCOT will notify the TSP and the IE when each study element report is posted.  The TSP shall provide a copy of each final report to the IE upon request.</w:t>
      </w:r>
      <w:r>
        <w:rPr>
          <w:szCs w:val="24"/>
        </w:rPr>
        <w:t xml:space="preserve">   </w:t>
      </w:r>
    </w:p>
    <w:p w14:paraId="591F9314" w14:textId="77777777" w:rsidR="00CF3451" w:rsidRDefault="00CF3451" w:rsidP="00CF3451">
      <w:pPr>
        <w:pStyle w:val="BodyTextNumbered"/>
        <w:rPr>
          <w:szCs w:val="24"/>
        </w:rPr>
      </w:pPr>
      <w:r>
        <w:rPr>
          <w:szCs w:val="24"/>
        </w:rPr>
        <w:t>(5)</w:t>
      </w:r>
      <w:r>
        <w:rPr>
          <w:szCs w:val="24"/>
        </w:rPr>
        <w:tab/>
        <w:t>The study element(s) report shall not contain sensitive information including, but not limited to, confidential plant design information including stability study model data and parameters and contingencies causing instability.  The TSP(s) shall provide this information to ERCOT and other TSP(s) upon request.</w:t>
      </w:r>
    </w:p>
    <w:p w14:paraId="2B5A431A" w14:textId="77777777" w:rsidR="00CF3451" w:rsidRDefault="00CF3451" w:rsidP="00CF3451">
      <w:pPr>
        <w:pStyle w:val="BodyTextNumbered"/>
        <w:rPr>
          <w:szCs w:val="24"/>
        </w:rPr>
      </w:pPr>
      <w:r w:rsidRPr="00DF4AA8">
        <w:rPr>
          <w:szCs w:val="24"/>
        </w:rPr>
        <w:t>(</w:t>
      </w:r>
      <w:r>
        <w:rPr>
          <w:szCs w:val="24"/>
        </w:rPr>
        <w:t>6</w:t>
      </w:r>
      <w:r w:rsidRPr="00DF4AA8">
        <w:rPr>
          <w:szCs w:val="24"/>
        </w:rPr>
        <w:t>)</w:t>
      </w:r>
      <w:r w:rsidRPr="00DF4AA8">
        <w:rPr>
          <w:szCs w:val="24"/>
        </w:rPr>
        <w:tab/>
        <w:t>T</w:t>
      </w:r>
      <w:r w:rsidRPr="00AF6B57">
        <w:rPr>
          <w:szCs w:val="24"/>
        </w:rPr>
        <w:t xml:space="preserve">he TSP issuing </w:t>
      </w:r>
      <w:r w:rsidRPr="00DF4AA8">
        <w:rPr>
          <w:szCs w:val="24"/>
        </w:rPr>
        <w:t>the final FIS element</w:t>
      </w:r>
      <w:r>
        <w:rPr>
          <w:szCs w:val="24"/>
        </w:rPr>
        <w:t>(s)</w:t>
      </w:r>
      <w:r w:rsidRPr="00AF6B57">
        <w:rPr>
          <w:szCs w:val="24"/>
        </w:rPr>
        <w:t xml:space="preserve"> report </w:t>
      </w:r>
      <w:r w:rsidRPr="00DF4AA8">
        <w:rPr>
          <w:szCs w:val="24"/>
        </w:rPr>
        <w:t>shall</w:t>
      </w:r>
      <w:r w:rsidRPr="00AF6B57">
        <w:rPr>
          <w:szCs w:val="24"/>
        </w:rPr>
        <w:t xml:space="preserve"> indicate that </w:t>
      </w:r>
      <w:r w:rsidRPr="00DF4AA8">
        <w:rPr>
          <w:szCs w:val="24"/>
        </w:rPr>
        <w:t>the</w:t>
      </w:r>
      <w:r w:rsidRPr="00AF6B57">
        <w:rPr>
          <w:szCs w:val="24"/>
        </w:rPr>
        <w:t xml:space="preserve"> report is the final report </w:t>
      </w:r>
      <w:r w:rsidRPr="00DF4AA8">
        <w:rPr>
          <w:szCs w:val="24"/>
        </w:rPr>
        <w:t>required by the FIS</w:t>
      </w:r>
      <w:r w:rsidRPr="00AF6B57">
        <w:rPr>
          <w:szCs w:val="24"/>
        </w:rPr>
        <w:t>.  At the end of the ten Business Day review period following the issuance of the final FIS element</w:t>
      </w:r>
      <w:r>
        <w:rPr>
          <w:szCs w:val="24"/>
        </w:rPr>
        <w:t>(s)</w:t>
      </w:r>
      <w:r w:rsidRPr="00AF6B57">
        <w:rPr>
          <w:szCs w:val="24"/>
        </w:rPr>
        <w:t xml:space="preserve"> report, the FIS will be deemed complete and the </w:t>
      </w:r>
      <w:r w:rsidRPr="00DF4AA8">
        <w:rPr>
          <w:szCs w:val="24"/>
        </w:rPr>
        <w:t>IE</w:t>
      </w:r>
      <w:r w:rsidRPr="00AF6B57">
        <w:rPr>
          <w:szCs w:val="24"/>
        </w:rPr>
        <w:t xml:space="preserve"> and TSP </w:t>
      </w:r>
      <w:r w:rsidRPr="00DF4AA8">
        <w:rPr>
          <w:szCs w:val="24"/>
        </w:rPr>
        <w:t>may execute</w:t>
      </w:r>
      <w:r w:rsidRPr="00AF6B57">
        <w:rPr>
          <w:szCs w:val="24"/>
        </w:rPr>
        <w:t xml:space="preserve"> an </w:t>
      </w:r>
      <w:r w:rsidRPr="00DF4AA8">
        <w:rPr>
          <w:szCs w:val="24"/>
        </w:rPr>
        <w:t>SGIA</w:t>
      </w:r>
      <w:r w:rsidRPr="00AF6B57">
        <w:rPr>
          <w:szCs w:val="24"/>
        </w:rPr>
        <w:t>.</w:t>
      </w:r>
    </w:p>
    <w:p w14:paraId="40CD184F" w14:textId="3C4E32BE" w:rsidR="00CF3451" w:rsidRDefault="00CF3451" w:rsidP="00CF3451">
      <w:pPr>
        <w:pStyle w:val="BodyTextNumbered"/>
        <w:rPr>
          <w:szCs w:val="24"/>
        </w:rPr>
      </w:pPr>
      <w:r>
        <w:rPr>
          <w:iCs w:val="0"/>
        </w:rPr>
        <w:t>(7)</w:t>
      </w:r>
      <w:r>
        <w:rPr>
          <w:iCs w:val="0"/>
        </w:rPr>
        <w:tab/>
      </w:r>
      <w:r w:rsidRPr="00456150">
        <w:rPr>
          <w:szCs w:val="24"/>
        </w:rPr>
        <w:t xml:space="preserve">The final FIS element(s) report shall be deemed complete and marked “final” via the online RIOO system </w:t>
      </w:r>
      <w:r>
        <w:rPr>
          <w:szCs w:val="24"/>
        </w:rPr>
        <w:t xml:space="preserve">at least </w:t>
      </w:r>
      <w:r w:rsidRPr="00456150">
        <w:rPr>
          <w:szCs w:val="24"/>
        </w:rPr>
        <w:t xml:space="preserve">45 days prior to the </w:t>
      </w:r>
      <w:del w:id="9" w:author="ERCOT" w:date="2026-05-01T07:42:00Z" w16du:dateUtc="2026-05-01T12:42:00Z">
        <w:r w:rsidRPr="00456150" w:rsidDel="00903080">
          <w:rPr>
            <w:szCs w:val="24"/>
          </w:rPr>
          <w:delText xml:space="preserve">quarterly </w:delText>
        </w:r>
      </w:del>
      <w:ins w:id="10" w:author="ERCOT" w:date="2026-05-01T07:42:00Z" w16du:dateUtc="2026-05-01T12:42:00Z">
        <w:r w:rsidR="00903080">
          <w:rPr>
            <w:szCs w:val="24"/>
          </w:rPr>
          <w:t>qualifying</w:t>
        </w:r>
        <w:r w:rsidR="00903080" w:rsidRPr="00456150">
          <w:rPr>
            <w:szCs w:val="24"/>
          </w:rPr>
          <w:t xml:space="preserve"> </w:t>
        </w:r>
      </w:ins>
      <w:r w:rsidRPr="00456150">
        <w:rPr>
          <w:szCs w:val="24"/>
        </w:rPr>
        <w:t>stability assessment deadline defined in paragraph (</w:t>
      </w:r>
      <w:r>
        <w:rPr>
          <w:szCs w:val="24"/>
        </w:rPr>
        <w:t>2</w:t>
      </w:r>
      <w:r w:rsidRPr="00456150">
        <w:rPr>
          <w:szCs w:val="24"/>
        </w:rPr>
        <w:t xml:space="preserve">) of Section 5.3.5, ERCOT </w:t>
      </w:r>
      <w:del w:id="11" w:author="ERCOT" w:date="2026-05-01T07:42:00Z" w16du:dateUtc="2026-05-01T12:42:00Z">
        <w:r w:rsidRPr="00456150" w:rsidDel="00903080">
          <w:rPr>
            <w:szCs w:val="24"/>
          </w:rPr>
          <w:delText xml:space="preserve">Quarterly </w:delText>
        </w:r>
      </w:del>
      <w:ins w:id="12" w:author="ERCOT" w:date="2026-05-01T07:42:00Z" w16du:dateUtc="2026-05-01T12:42:00Z">
        <w:r w:rsidR="00903080">
          <w:rPr>
            <w:szCs w:val="24"/>
          </w:rPr>
          <w:t>Qualifying</w:t>
        </w:r>
        <w:r w:rsidR="00903080" w:rsidRPr="00456150">
          <w:rPr>
            <w:szCs w:val="24"/>
          </w:rPr>
          <w:t xml:space="preserve"> </w:t>
        </w:r>
      </w:ins>
      <w:r w:rsidRPr="00456150">
        <w:rPr>
          <w:szCs w:val="24"/>
        </w:rPr>
        <w:t>Stability Assessment.</w:t>
      </w:r>
    </w:p>
    <w:p w14:paraId="172A5CB4" w14:textId="77777777" w:rsidR="00CF3451" w:rsidRDefault="00CF3451" w:rsidP="00CF3451">
      <w:pPr>
        <w:pStyle w:val="BodyTextNumbered"/>
        <w:rPr>
          <w:szCs w:val="24"/>
        </w:rPr>
      </w:pPr>
      <w:r w:rsidRPr="00DF4AA8">
        <w:rPr>
          <w:szCs w:val="24"/>
        </w:rPr>
        <w:t>(</w:t>
      </w:r>
      <w:r>
        <w:rPr>
          <w:szCs w:val="24"/>
        </w:rPr>
        <w:t>8</w:t>
      </w:r>
      <w:r w:rsidRPr="00DF4AA8">
        <w:rPr>
          <w:szCs w:val="24"/>
        </w:rPr>
        <w:t>)</w:t>
      </w:r>
      <w:r w:rsidRPr="00DF4AA8">
        <w:rPr>
          <w:szCs w:val="24"/>
        </w:rPr>
        <w:tab/>
      </w:r>
      <w:r w:rsidRPr="00AF6B57">
        <w:rPr>
          <w:szCs w:val="24"/>
        </w:rPr>
        <w:t xml:space="preserve">Should the </w:t>
      </w:r>
      <w:r w:rsidRPr="00DF4AA8">
        <w:rPr>
          <w:szCs w:val="24"/>
        </w:rPr>
        <w:t>IE</w:t>
      </w:r>
      <w:r w:rsidRPr="00AF6B57">
        <w:rPr>
          <w:szCs w:val="24"/>
        </w:rPr>
        <w:t xml:space="preserve"> wish to proceed with </w:t>
      </w:r>
      <w:r>
        <w:rPr>
          <w:szCs w:val="24"/>
        </w:rPr>
        <w:t>any</w:t>
      </w:r>
      <w:r w:rsidRPr="00AF6B57">
        <w:rPr>
          <w:szCs w:val="24"/>
        </w:rPr>
        <w:t xml:space="preserve"> proposed </w:t>
      </w:r>
      <w:r>
        <w:rPr>
          <w:szCs w:val="24"/>
        </w:rPr>
        <w:t xml:space="preserve">transmission-connected </w:t>
      </w:r>
      <w:r w:rsidRPr="00ED1A35">
        <w:rPr>
          <w:szCs w:val="24"/>
        </w:rPr>
        <w:t>project</w:t>
      </w:r>
      <w:r w:rsidRPr="00AF6B57">
        <w:rPr>
          <w:szCs w:val="24"/>
        </w:rPr>
        <w:t xml:space="preserve">, the </w:t>
      </w:r>
      <w:r w:rsidRPr="00DF4AA8">
        <w:rPr>
          <w:szCs w:val="24"/>
        </w:rPr>
        <w:t>IE</w:t>
      </w:r>
      <w:r w:rsidRPr="00AF6B57">
        <w:rPr>
          <w:szCs w:val="24"/>
        </w:rPr>
        <w:t xml:space="preserve"> must execute </w:t>
      </w:r>
      <w:r>
        <w:rPr>
          <w:szCs w:val="24"/>
        </w:rPr>
        <w:t>a new or amended</w:t>
      </w:r>
      <w:r w:rsidRPr="00DF4AA8">
        <w:rPr>
          <w:szCs w:val="24"/>
        </w:rPr>
        <w:t xml:space="preserve"> SGIA</w:t>
      </w:r>
      <w:r w:rsidRPr="00AF6B57">
        <w:rPr>
          <w:szCs w:val="24"/>
        </w:rPr>
        <w:t xml:space="preserve"> with the </w:t>
      </w:r>
      <w:r>
        <w:rPr>
          <w:szCs w:val="24"/>
        </w:rPr>
        <w:t>appropriate</w:t>
      </w:r>
      <w:r w:rsidRPr="00AF6B57">
        <w:rPr>
          <w:szCs w:val="24"/>
        </w:rPr>
        <w:t xml:space="preserve"> TSP within 180 days following the completion of the FIS (includes all major study element</w:t>
      </w:r>
      <w:r>
        <w:rPr>
          <w:szCs w:val="24"/>
        </w:rPr>
        <w:t>(s)</w:t>
      </w:r>
      <w:r w:rsidRPr="00AF6B57">
        <w:rPr>
          <w:szCs w:val="24"/>
        </w:rPr>
        <w:t xml:space="preserve"> reports).</w:t>
      </w:r>
      <w:r>
        <w:rPr>
          <w:szCs w:val="24"/>
        </w:rPr>
        <w:t xml:space="preserve">  Failure to do so may result in a cancellation as described in Section 5.2.6, Project Cancellation Due to Failure to Comply with Requirements.</w:t>
      </w:r>
    </w:p>
    <w:p w14:paraId="4F331C3D" w14:textId="77777777" w:rsidR="00CF3451" w:rsidRDefault="00CF3451" w:rsidP="00CF3451">
      <w:pPr>
        <w:pStyle w:val="BodyTextNumbered"/>
        <w:rPr>
          <w:szCs w:val="24"/>
        </w:rPr>
      </w:pPr>
      <w:bookmarkStart w:id="13" w:name="_Hlk173146621"/>
      <w:r w:rsidRPr="00E656EC">
        <w:rPr>
          <w:szCs w:val="24"/>
        </w:rPr>
        <w:t>(</w:t>
      </w:r>
      <w:r>
        <w:rPr>
          <w:szCs w:val="24"/>
        </w:rPr>
        <w:t>9</w:t>
      </w:r>
      <w:r w:rsidRPr="00E656EC">
        <w:rPr>
          <w:szCs w:val="24"/>
        </w:rPr>
        <w:t>)</w:t>
      </w:r>
      <w:r w:rsidRPr="00E656EC">
        <w:rPr>
          <w:szCs w:val="24"/>
        </w:rPr>
        <w:tab/>
      </w:r>
      <w:r>
        <w:rPr>
          <w:iCs w:val="0"/>
        </w:rPr>
        <w:t>D</w:t>
      </w:r>
      <w:r w:rsidRPr="00456150">
        <w:rPr>
          <w:iCs w:val="0"/>
        </w:rPr>
        <w:t xml:space="preserve">uring the time after the FIS is completed and before Initial Synchronization, </w:t>
      </w:r>
      <w:r>
        <w:rPr>
          <w:iCs w:val="0"/>
        </w:rPr>
        <w:t xml:space="preserve">the </w:t>
      </w:r>
      <w:r w:rsidRPr="00456150">
        <w:t xml:space="preserve">IE </w:t>
      </w:r>
      <w:r>
        <w:t>shall</w:t>
      </w:r>
      <w:r w:rsidRPr="00456150">
        <w:t xml:space="preserve"> notify both ERCOT and the lead TSP(s) of any</w:t>
      </w:r>
      <w:r w:rsidRPr="00456150">
        <w:rPr>
          <w:iCs w:val="0"/>
        </w:rPr>
        <w:t xml:space="preserve"> changes </w:t>
      </w:r>
      <w:r w:rsidRPr="00456150">
        <w:t xml:space="preserve">to the assumptions used for the FIS along with a detailed </w:t>
      </w:r>
      <w:r>
        <w:t xml:space="preserve">written </w:t>
      </w:r>
      <w:r w:rsidRPr="00456150">
        <w:t>explanation of why the changes were made</w:t>
      </w:r>
      <w:r>
        <w:rPr>
          <w:iCs w:val="0"/>
        </w:rPr>
        <w:t>.  If the changes</w:t>
      </w:r>
      <w:r w:rsidRPr="00456150">
        <w:rPr>
          <w:iCs w:val="0"/>
        </w:rPr>
        <w:t xml:space="preserve"> substantially differ from the assumptions used for the FIS, ERCOT and the TSP(s) shall determine the impact of the changes on the results of the FIS and, if applicable, SSR studies.  If the changes are determined by ERCOT and lead TSP(s) to have the potential to materially alter the conclusions documented in the FIS, the lead </w:t>
      </w:r>
      <w:r w:rsidRPr="00456150">
        <w:rPr>
          <w:iCs w:val="0"/>
        </w:rPr>
        <w:lastRenderedPageBreak/>
        <w:t>TSP(s) will make appropriate modifications to one or more FIS study elements.  The updated FIS reports will be submitted via the online RIOO system.  Any questions, comments, proposed revisions, or clarifications by any party shall be made in writing to the TSP(s) within ten Business Days after the issuance of an updated study report.  Initial Synchronization of the generator may be delayed pending completion of these modifications to the FIS.</w:t>
      </w:r>
    </w:p>
    <w:p w14:paraId="614DAFB1" w14:textId="77777777" w:rsidR="00526E2E" w:rsidRDefault="00526E2E" w:rsidP="00526E2E">
      <w:pPr>
        <w:pStyle w:val="H3"/>
        <w:rPr>
          <w:szCs w:val="24"/>
        </w:rPr>
      </w:pPr>
      <w:bookmarkStart w:id="14" w:name="_Toc220592720"/>
      <w:bookmarkEnd w:id="2"/>
      <w:bookmarkEnd w:id="3"/>
      <w:bookmarkEnd w:id="4"/>
      <w:bookmarkEnd w:id="5"/>
      <w:bookmarkEnd w:id="6"/>
      <w:bookmarkEnd w:id="13"/>
      <w:commentRangeStart w:id="15"/>
      <w:r>
        <w:rPr>
          <w:szCs w:val="24"/>
        </w:rPr>
        <w:t>5.3.4</w:t>
      </w:r>
      <w:commentRangeEnd w:id="15"/>
      <w:r w:rsidR="00344376">
        <w:rPr>
          <w:rStyle w:val="CommentReference"/>
          <w:sz w:val="24"/>
          <w:szCs w:val="24"/>
        </w:rPr>
        <w:commentReference w:id="15"/>
      </w:r>
      <w:r>
        <w:rPr>
          <w:szCs w:val="24"/>
        </w:rPr>
        <w:tab/>
        <w:t>Reactive Study</w:t>
      </w:r>
      <w:bookmarkEnd w:id="14"/>
    </w:p>
    <w:p w14:paraId="7C5A12D5" w14:textId="77777777" w:rsidR="00526E2E" w:rsidRDefault="00526E2E" w:rsidP="00526E2E">
      <w:pPr>
        <w:spacing w:after="240"/>
        <w:ind w:left="720" w:hanging="720"/>
      </w:pPr>
      <w:r>
        <w:t>(1)</w:t>
      </w:r>
      <w:r>
        <w:tab/>
        <w:t>The IE and the TSP shall coordinate with one another for the IE to complete the reactive study and for the TSP to have the needed data to start the FIS stability study.</w:t>
      </w:r>
    </w:p>
    <w:p w14:paraId="2691670C" w14:textId="77777777" w:rsidR="00526E2E" w:rsidRDefault="00526E2E" w:rsidP="00526E2E">
      <w:pPr>
        <w:spacing w:after="240"/>
        <w:ind w:left="1440" w:hanging="720"/>
      </w:pPr>
      <w:r>
        <w:t>(a)</w:t>
      </w:r>
      <w:r>
        <w:tab/>
        <w:t>The TSP shall send the preliminary short circuit current for the proposed POI based on the most recent System Protection Working Group (SPWG) base case to the IE within 15 Business Days of an IE request after the FIS study agreement has been signed.</w:t>
      </w:r>
    </w:p>
    <w:p w14:paraId="332AFFF7" w14:textId="77777777" w:rsidR="00526E2E" w:rsidRDefault="00526E2E" w:rsidP="00526E2E">
      <w:pPr>
        <w:spacing w:after="240"/>
        <w:ind w:left="1440" w:hanging="720"/>
      </w:pPr>
      <w:r>
        <w:t>(b)</w:t>
      </w:r>
      <w:r>
        <w:tab/>
        <w:t>The IE shall complete a preliminary reactive study to determine the reactive devices that will be needed to meet ERCOT requirements.  Once determined, the IE shall add the reactive devices, if any, to the Resource Registration data and make the updated data available to ERCOT and the TSP via the online RIOO system.</w:t>
      </w:r>
    </w:p>
    <w:p w14:paraId="13AA80F2" w14:textId="77777777" w:rsidR="00526E2E" w:rsidRDefault="00526E2E" w:rsidP="00526E2E">
      <w:pPr>
        <w:spacing w:after="240"/>
        <w:ind w:left="1440" w:hanging="720"/>
      </w:pPr>
      <w:r>
        <w:t>(c)</w:t>
      </w:r>
      <w:r>
        <w:tab/>
        <w:t>The TSP shall start the FIS stability study after all the required data is available via the online RIOO system.</w:t>
      </w:r>
    </w:p>
    <w:p w14:paraId="0F219211" w14:textId="77777777" w:rsidR="00526E2E" w:rsidRDefault="00526E2E" w:rsidP="00526E2E">
      <w:pPr>
        <w:spacing w:after="240"/>
        <w:ind w:left="720" w:hanging="720"/>
        <w:rPr>
          <w:szCs w:val="20"/>
        </w:rPr>
      </w:pPr>
      <w:r>
        <w:rPr>
          <w:szCs w:val="20"/>
        </w:rPr>
        <w:t>(2)</w:t>
      </w:r>
      <w:r>
        <w:rPr>
          <w:szCs w:val="20"/>
        </w:rPr>
        <w:tab/>
        <w:t>Once the TSP has completed the FIS short circuit study and it is approved by ERCOT and posted to the MIS Secure Area, the IE shall complete and submit the final reactive study via the online RIOO system.</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6"/>
      </w:tblGrid>
      <w:tr w:rsidR="00526E2E" w14:paraId="36EB07DF" w14:textId="77777777" w:rsidTr="00B4220F">
        <w:tc>
          <w:tcPr>
            <w:tcW w:w="9766" w:type="dxa"/>
            <w:tcBorders>
              <w:top w:val="single" w:sz="4" w:space="0" w:color="auto"/>
              <w:left w:val="single" w:sz="4" w:space="0" w:color="auto"/>
              <w:bottom w:val="single" w:sz="4" w:space="0" w:color="auto"/>
              <w:right w:val="single" w:sz="4" w:space="0" w:color="auto"/>
            </w:tcBorders>
            <w:shd w:val="pct12" w:color="auto" w:fill="auto"/>
            <w:hideMark/>
          </w:tcPr>
          <w:p w14:paraId="15ED5AF6" w14:textId="77777777" w:rsidR="00526E2E" w:rsidRDefault="00526E2E" w:rsidP="00B4220F">
            <w:pPr>
              <w:spacing w:before="120" w:after="240"/>
              <w:rPr>
                <w:b/>
                <w:i/>
                <w:iCs/>
                <w:szCs w:val="20"/>
              </w:rPr>
            </w:pPr>
            <w:bookmarkStart w:id="16" w:name="_Hlk99000817"/>
            <w:r>
              <w:rPr>
                <w:b/>
                <w:i/>
                <w:iCs/>
                <w:szCs w:val="20"/>
              </w:rPr>
              <w:t>[PGRR076:  Insert paragraph (3) below upon system implementation:]</w:t>
            </w:r>
          </w:p>
          <w:p w14:paraId="4DC75F77" w14:textId="1BF84B4F" w:rsidR="00526E2E" w:rsidRDefault="00526E2E" w:rsidP="00B4220F">
            <w:pPr>
              <w:spacing w:after="240"/>
              <w:ind w:left="720" w:hanging="720"/>
              <w:rPr>
                <w:szCs w:val="20"/>
              </w:rPr>
            </w:pPr>
            <w:r>
              <w:rPr>
                <w:szCs w:val="20"/>
              </w:rPr>
              <w:t>(3)</w:t>
            </w:r>
            <w:r>
              <w:rPr>
                <w:szCs w:val="20"/>
              </w:rPr>
              <w:tab/>
              <w:t xml:space="preserve">For GINR projects attempting to meet the next </w:t>
            </w:r>
            <w:ins w:id="17" w:author="ERCOT" w:date="2026-05-01T07:42:00Z" w16du:dateUtc="2026-05-01T12:42:00Z">
              <w:r w:rsidR="00903080">
                <w:t>qualifying</w:t>
              </w:r>
            </w:ins>
            <w:del w:id="18" w:author="ERCOT" w:date="2026-05-01T07:42:00Z" w16du:dateUtc="2026-05-01T12:42:00Z">
              <w:r w:rsidDel="00903080">
                <w:rPr>
                  <w:szCs w:val="20"/>
                </w:rPr>
                <w:delText>quarterly</w:delText>
              </w:r>
            </w:del>
            <w:r>
              <w:rPr>
                <w:szCs w:val="20"/>
              </w:rPr>
              <w:t xml:space="preserve"> stability assessment deadline, pursuant to Section 5.3.5, ERCOT </w:t>
            </w:r>
            <w:ins w:id="19" w:author="ERCOT" w:date="2026-05-01T07:42:00Z" w16du:dateUtc="2026-05-01T12:42:00Z">
              <w:r w:rsidR="00903080">
                <w:t>Qualifying</w:t>
              </w:r>
            </w:ins>
            <w:del w:id="20" w:author="ERCOT" w:date="2026-05-01T07:42:00Z" w16du:dateUtc="2026-05-01T12:42:00Z">
              <w:r w:rsidDel="00903080">
                <w:rPr>
                  <w:szCs w:val="20"/>
                </w:rPr>
                <w:delText>Quarterly</w:delText>
              </w:r>
            </w:del>
            <w:r>
              <w:rPr>
                <w:szCs w:val="20"/>
              </w:rPr>
              <w:t xml:space="preserve"> Stability Assessment, ERCOT shall approve or comment on the final reactive study according to the following timeline:</w:t>
            </w:r>
          </w:p>
          <w:p w14:paraId="74A638BC" w14:textId="2565890A" w:rsidR="00526E2E" w:rsidRDefault="00526E2E" w:rsidP="00B4220F">
            <w:pPr>
              <w:spacing w:after="240"/>
              <w:ind w:left="1440" w:hanging="720"/>
            </w:pPr>
            <w:r>
              <w:t>(a)</w:t>
            </w:r>
            <w:r>
              <w:tab/>
              <w:t xml:space="preserve">Within 15 days if submitted at least 45 days before the </w:t>
            </w:r>
            <w:ins w:id="21" w:author="ERCOT" w:date="2026-05-01T07:43:00Z" w16du:dateUtc="2026-05-01T12:43:00Z">
              <w:r w:rsidR="00903080">
                <w:t>qualifying</w:t>
              </w:r>
            </w:ins>
            <w:del w:id="22" w:author="ERCOT" w:date="2026-05-01T07:43:00Z" w16du:dateUtc="2026-05-01T12:43:00Z">
              <w:r w:rsidDel="00903080">
                <w:delText>quarterly</w:delText>
              </w:r>
            </w:del>
            <w:r>
              <w:t xml:space="preserve"> stability assessment deadline.  Resubmissions submitted 30 days or more before the </w:t>
            </w:r>
            <w:ins w:id="23" w:author="ERCOT" w:date="2026-05-01T07:43:00Z" w16du:dateUtc="2026-05-01T12:43:00Z">
              <w:r w:rsidR="00903080">
                <w:t>qualifying</w:t>
              </w:r>
            </w:ins>
            <w:del w:id="24" w:author="ERCOT" w:date="2026-05-01T07:43:00Z" w16du:dateUtc="2026-05-01T12:43:00Z">
              <w:r w:rsidDel="00903080">
                <w:delText>quarterly</w:delText>
              </w:r>
            </w:del>
            <w:r>
              <w:t xml:space="preserve"> stability assessment deadline will be reviewed and returned within ten days;</w:t>
            </w:r>
          </w:p>
          <w:p w14:paraId="27DB82B4" w14:textId="396BC5B6" w:rsidR="00526E2E" w:rsidRDefault="00526E2E" w:rsidP="00B4220F">
            <w:pPr>
              <w:spacing w:after="240"/>
              <w:ind w:left="1440" w:hanging="720"/>
            </w:pPr>
            <w:r>
              <w:t>(b)</w:t>
            </w:r>
            <w:r>
              <w:tab/>
              <w:t xml:space="preserve">On the day of the </w:t>
            </w:r>
            <w:ins w:id="25" w:author="ERCOT" w:date="2026-05-01T07:43:00Z" w16du:dateUtc="2026-05-01T12:43:00Z">
              <w:r w:rsidR="00903080">
                <w:t>qualifying</w:t>
              </w:r>
            </w:ins>
            <w:del w:id="26" w:author="ERCOT" w:date="2026-05-01T07:43:00Z" w16du:dateUtc="2026-05-01T12:43:00Z">
              <w:r w:rsidDel="00903080">
                <w:delText>quarterly</w:delText>
              </w:r>
            </w:del>
            <w:r>
              <w:t xml:space="preserve"> stability assessment deadline if submitted 30 to 44 days prior to the </w:t>
            </w:r>
            <w:ins w:id="27" w:author="ERCOT" w:date="2026-05-01T07:43:00Z" w16du:dateUtc="2026-05-01T12:43:00Z">
              <w:r w:rsidR="00903080">
                <w:t>qualifying</w:t>
              </w:r>
            </w:ins>
            <w:del w:id="28" w:author="ERCOT" w:date="2026-05-01T07:43:00Z" w16du:dateUtc="2026-05-01T12:43:00Z">
              <w:r w:rsidDel="00903080">
                <w:delText>quarterly</w:delText>
              </w:r>
            </w:del>
            <w:r>
              <w:t xml:space="preserve"> stability assessment deadline; or</w:t>
            </w:r>
          </w:p>
          <w:p w14:paraId="2B31F75A" w14:textId="76A810EE" w:rsidR="00526E2E" w:rsidRDefault="00526E2E" w:rsidP="00B4220F">
            <w:pPr>
              <w:spacing w:after="240"/>
              <w:ind w:left="1440" w:hanging="720"/>
            </w:pPr>
            <w:r>
              <w:lastRenderedPageBreak/>
              <w:t>(c)</w:t>
            </w:r>
            <w:r>
              <w:tab/>
              <w:t xml:space="preserve">Without guarantee that it will be reviewed prior to the </w:t>
            </w:r>
            <w:ins w:id="29" w:author="ERCOT" w:date="2026-05-01T07:43:00Z" w16du:dateUtc="2026-05-01T12:43:00Z">
              <w:r w:rsidR="00903080">
                <w:t>qualifying</w:t>
              </w:r>
            </w:ins>
            <w:del w:id="30" w:author="ERCOT" w:date="2026-05-01T07:43:00Z" w16du:dateUtc="2026-05-01T12:43:00Z">
              <w:r w:rsidDel="00903080">
                <w:delText>quarterly</w:delText>
              </w:r>
            </w:del>
            <w:r>
              <w:t xml:space="preserve"> stability assessment deadline if submitted less than 30 days prior to the </w:t>
            </w:r>
            <w:ins w:id="31" w:author="ERCOT" w:date="2026-05-01T07:43:00Z" w16du:dateUtc="2026-05-01T12:43:00Z">
              <w:r w:rsidR="00903080">
                <w:t>qualifying</w:t>
              </w:r>
            </w:ins>
            <w:del w:id="32" w:author="ERCOT" w:date="2026-05-01T07:43:00Z" w16du:dateUtc="2026-05-01T12:43:00Z">
              <w:r w:rsidDel="00903080">
                <w:delText>quarterly</w:delText>
              </w:r>
            </w:del>
            <w:r>
              <w:t xml:space="preserve"> stability assessment deadline.</w:t>
            </w:r>
          </w:p>
        </w:tc>
      </w:tr>
      <w:bookmarkEnd w:id="16"/>
    </w:tbl>
    <w:p w14:paraId="7199B71F" w14:textId="77777777" w:rsidR="00526E2E" w:rsidRDefault="00526E2E" w:rsidP="00526E2E">
      <w:pPr>
        <w:pStyle w:val="BodyText"/>
        <w:spacing w:after="0"/>
      </w:pPr>
    </w:p>
    <w:p w14:paraId="3B58DEC5" w14:textId="4B506F7B" w:rsidR="00146470" w:rsidRPr="00564842" w:rsidRDefault="00146470" w:rsidP="00146470">
      <w:pPr>
        <w:pStyle w:val="H3"/>
      </w:pPr>
      <w:bookmarkStart w:id="33" w:name="_Toc232581929"/>
      <w:r w:rsidRPr="004479F6">
        <w:rPr>
          <w:szCs w:val="24"/>
        </w:rPr>
        <w:t>5.3.5</w:t>
      </w:r>
      <w:r w:rsidRPr="004479F6">
        <w:rPr>
          <w:szCs w:val="24"/>
        </w:rPr>
        <w:tab/>
      </w:r>
      <w:bookmarkEnd w:id="33"/>
      <w:r w:rsidR="000B7F8B" w:rsidRPr="004479F6">
        <w:rPr>
          <w:szCs w:val="24"/>
        </w:rPr>
        <w:t xml:space="preserve">ERCOT </w:t>
      </w:r>
      <w:del w:id="34" w:author="ERCOT" w:date="2026-05-01T07:38:00Z" w16du:dateUtc="2026-05-01T12:38:00Z">
        <w:r w:rsidR="000B7F8B" w:rsidRPr="004479F6" w:rsidDel="00E71115">
          <w:rPr>
            <w:szCs w:val="24"/>
          </w:rPr>
          <w:delText xml:space="preserve">Quarterly </w:delText>
        </w:r>
      </w:del>
      <w:ins w:id="35" w:author="ERCOT" w:date="2026-05-01T07:38:00Z" w16du:dateUtc="2026-05-01T12:38:00Z">
        <w:r w:rsidR="000B7F8B">
          <w:rPr>
            <w:szCs w:val="24"/>
          </w:rPr>
          <w:t xml:space="preserve">Qualifying </w:t>
        </w:r>
      </w:ins>
      <w:r w:rsidR="000B7F8B" w:rsidRPr="004479F6">
        <w:rPr>
          <w:szCs w:val="24"/>
        </w:rPr>
        <w:t>Stability Assessment</w:t>
      </w:r>
    </w:p>
    <w:p w14:paraId="5B670002" w14:textId="107E6EB2" w:rsidR="00146470" w:rsidRPr="00B66C9A" w:rsidRDefault="00146470" w:rsidP="00146470">
      <w:pPr>
        <w:spacing w:after="240"/>
        <w:ind w:left="720" w:hanging="720"/>
        <w:rPr>
          <w:iCs/>
        </w:rPr>
      </w:pPr>
      <w:r w:rsidRPr="002C111D">
        <w:t>(1)</w:t>
      </w:r>
      <w:r w:rsidRPr="002C111D">
        <w:tab/>
      </w:r>
      <w:r w:rsidRPr="00B66C9A">
        <w:t xml:space="preserve">ERCOT shall conduct a stability </w:t>
      </w:r>
      <w:r w:rsidR="000B7F8B" w:rsidRPr="002C111D">
        <w:t xml:space="preserve">assessment </w:t>
      </w:r>
      <w:del w:id="36" w:author="ERCOT" w:date="2026-05-01T07:39:00Z" w16du:dateUtc="2026-05-01T12:39:00Z">
        <w:r w:rsidR="000B7F8B" w:rsidRPr="002C111D" w:rsidDel="00BE3BBE">
          <w:delText xml:space="preserve">every three months </w:delText>
        </w:r>
      </w:del>
      <w:r w:rsidR="000B7F8B" w:rsidRPr="002C111D">
        <w:t xml:space="preserve">to </w:t>
      </w:r>
      <w:r w:rsidRPr="00B66C9A">
        <w:t>assess the</w:t>
      </w:r>
      <w:r w:rsidRPr="00B66C9A">
        <w:rPr>
          <w:iCs/>
        </w:rPr>
        <w:t xml:space="preserve"> impact of planned large generators and Large Loads</w:t>
      </w:r>
      <w:r w:rsidRPr="00B66C9A">
        <w:t xml:space="preserve"> subject to the requirements of Section 9.2.1, </w:t>
      </w:r>
      <w:r w:rsidRPr="00B66C9A">
        <w:rPr>
          <w:bCs/>
          <w:iCs/>
        </w:rPr>
        <w:t>Applicability of the Batch Zero Process,</w:t>
      </w:r>
      <w:r w:rsidRPr="00B66C9A">
        <w:rPr>
          <w:iCs/>
        </w:rPr>
        <w:t xml:space="preserve"> connecting to the ERCOT System.</w:t>
      </w:r>
    </w:p>
    <w:p w14:paraId="197841C4" w14:textId="77777777" w:rsidR="00146470" w:rsidRPr="00B66C9A" w:rsidRDefault="00146470" w:rsidP="00146470">
      <w:pPr>
        <w:spacing w:after="240"/>
        <w:ind w:left="1440" w:hanging="720"/>
      </w:pPr>
      <w:r w:rsidRPr="00B66C9A">
        <w:t>(a)</w:t>
      </w:r>
      <w:r w:rsidRPr="00B66C9A">
        <w:tab/>
      </w:r>
      <w:r w:rsidRPr="00B66C9A" w:rsidDel="00E66A18">
        <w:t>For large generators</w:t>
      </w:r>
      <w:r w:rsidRPr="00B66C9A" w:rsidDel="00E13669">
        <w:t xml:space="preserve"> with planned Initial Synchronization in the period under study</w:t>
      </w:r>
      <w:r w:rsidRPr="00B66C9A" w:rsidDel="00E66A18">
        <w:t>, the assessment shall derive the conditions to be studied with consideration given to the results of the FIS stability studies</w:t>
      </w:r>
      <w:r w:rsidRPr="00B66C9A" w:rsidDel="00E13669">
        <w:t>.</w:t>
      </w:r>
    </w:p>
    <w:p w14:paraId="357FCB67" w14:textId="77777777" w:rsidR="00146470" w:rsidRPr="00B66C9A" w:rsidRDefault="00146470" w:rsidP="00146470">
      <w:pPr>
        <w:spacing w:after="240"/>
        <w:ind w:left="1440" w:hanging="720"/>
      </w:pPr>
      <w:r w:rsidRPr="00B66C9A">
        <w:t>(b)</w:t>
      </w:r>
      <w:r w:rsidRPr="00B66C9A">
        <w:tab/>
        <w:t>For new Large Loads and Load modifications subject to the requirements of Section 9.2.1</w:t>
      </w:r>
      <w:r w:rsidRPr="00B66C9A">
        <w:rPr>
          <w:bCs/>
          <w:iCs/>
        </w:rPr>
        <w:t xml:space="preserve">, </w:t>
      </w:r>
      <w:r w:rsidRPr="00B66C9A">
        <w:t>with planned Initial Energization in the period under study, the assessment shall derive the conditions to be studied from the most current Load Commissioning Plan</w:t>
      </w:r>
      <w:r>
        <w:t xml:space="preserve"> (LCP)</w:t>
      </w:r>
      <w:r w:rsidRPr="00B66C9A">
        <w:t xml:space="preserve"> and with consideration given to the results of the Large Load Interconnection Study (LLIS) stability studies performed according to Section 9.8.4.3, Legacy Dynamic and Transient Stability Analysis, or stability studies performed as part of the Batch Zero Interconnection Study as described in Section 9.3, Batch Zero Interconnection Study.</w:t>
      </w:r>
    </w:p>
    <w:p w14:paraId="02AB0809" w14:textId="77777777" w:rsidR="00146470" w:rsidRPr="005A669F" w:rsidRDefault="00146470" w:rsidP="00146470">
      <w:pPr>
        <w:spacing w:after="240"/>
        <w:ind w:left="1440" w:hanging="720"/>
      </w:pPr>
      <w:r w:rsidRPr="00B66C9A">
        <w:t>(c)</w:t>
      </w:r>
      <w:r w:rsidRPr="00B66C9A">
        <w:tab/>
        <w:t>ERCOT may study conditions other than those identified in the FIS, LLIS stability studies, or Batch Zero Interconnection Studies.</w:t>
      </w:r>
    </w:p>
    <w:p w14:paraId="61F71D3F" w14:textId="76849012" w:rsidR="000B7F8B" w:rsidRPr="00CD7014" w:rsidRDefault="00146470" w:rsidP="000B7F8B">
      <w:pPr>
        <w:spacing w:after="240"/>
        <w:ind w:left="720" w:hanging="720"/>
        <w:rPr>
          <w:iCs/>
        </w:rPr>
      </w:pPr>
      <w:r w:rsidRPr="00CD7014">
        <w:rPr>
          <w:iCs/>
        </w:rPr>
        <w:t>(2)</w:t>
      </w:r>
      <w:r w:rsidRPr="00CD7014">
        <w:rPr>
          <w:iCs/>
        </w:rPr>
        <w:tab/>
      </w:r>
      <w:r w:rsidR="000D3CFA">
        <w:rPr>
          <w:iCs/>
        </w:rPr>
        <w:t xml:space="preserve">Large generators </w:t>
      </w:r>
      <w:r w:rsidR="000D3CFA" w:rsidRPr="00CD7014">
        <w:rPr>
          <w:iCs/>
        </w:rPr>
        <w:t xml:space="preserve">that are not included in the assessment as described in this Section as result of the </w:t>
      </w:r>
      <w:r w:rsidR="000D3CFA" w:rsidRPr="00B35D2D">
        <w:rPr>
          <w:iCs/>
        </w:rPr>
        <w:t>IE</w:t>
      </w:r>
      <w:r w:rsidR="000D3CFA" w:rsidRPr="00CD7014">
        <w:rPr>
          <w:iCs/>
        </w:rPr>
        <w:t xml:space="preserve"> failing to meet the prerequisites by the deadlines as listed in the table below will not be eligible for Initial Synchronization during that </w:t>
      </w:r>
      <w:del w:id="37" w:author="ERCOT" w:date="2026-05-01T07:39:00Z" w16du:dateUtc="2026-05-01T12:39:00Z">
        <w:r w:rsidR="000D3CFA" w:rsidRPr="00CD7014" w:rsidDel="00BE3BBE">
          <w:rPr>
            <w:iCs/>
          </w:rPr>
          <w:delText>three</w:delText>
        </w:r>
        <w:r w:rsidR="000D3CFA" w:rsidDel="00BE3BBE">
          <w:rPr>
            <w:iCs/>
          </w:rPr>
          <w:delText>-</w:delText>
        </w:r>
        <w:r w:rsidR="000D3CFA" w:rsidRPr="00CD7014" w:rsidDel="00BE3BBE">
          <w:rPr>
            <w:iCs/>
          </w:rPr>
          <w:delText>month</w:delText>
        </w:r>
      </w:del>
      <w:ins w:id="38" w:author="ERCOT" w:date="2026-05-01T07:39:00Z" w16du:dateUtc="2026-05-01T12:39:00Z">
        <w:r w:rsidR="000D3CFA">
          <w:rPr>
            <w:iCs/>
          </w:rPr>
          <w:t xml:space="preserve">assessment </w:t>
        </w:r>
      </w:ins>
      <w:del w:id="39" w:author="ERCOT" w:date="2026-05-01T07:39:00Z" w16du:dateUtc="2026-05-01T12:39:00Z">
        <w:r w:rsidR="000D3CFA" w:rsidRPr="00CD7014" w:rsidDel="00BE3BBE">
          <w:rPr>
            <w:iCs/>
          </w:rPr>
          <w:delText xml:space="preserve"> </w:delText>
        </w:r>
      </w:del>
      <w:r w:rsidR="000D3CFA" w:rsidRPr="00CD7014">
        <w:rPr>
          <w:iCs/>
        </w:rPr>
        <w:t xml:space="preserve">period.  </w:t>
      </w:r>
      <w:r w:rsidRPr="002C111D">
        <w:t xml:space="preserve">Loads described in paragraph (1)(b) above that are not included in the assessment as a result of failing to meet the prerequisites by the deadlines as listed in the table below will not be eligible for Initial Energization during that </w:t>
      </w:r>
      <w:del w:id="40" w:author="ERCOT" w:date="2026-08-10T22:40:00Z" w16du:dateUtc="2026-08-11T03:40:00Z">
        <w:r w:rsidRPr="002C111D" w:rsidDel="000B7F8B">
          <w:delText>three-month</w:delText>
        </w:r>
      </w:del>
      <w:ins w:id="41" w:author="ERCOT" w:date="2026-08-10T22:40:00Z" w16du:dateUtc="2026-08-11T03:40:00Z">
        <w:r w:rsidR="000B7F8B">
          <w:t>assessment</w:t>
        </w:r>
      </w:ins>
      <w:r w:rsidRPr="002C111D">
        <w:t xml:space="preserve"> period.</w:t>
      </w:r>
      <w:r>
        <w:t xml:space="preserve">  </w:t>
      </w:r>
      <w:r w:rsidRPr="00CD7014">
        <w:rPr>
          <w:iCs/>
        </w:rPr>
        <w:t xml:space="preserve">The timeline for the </w:t>
      </w:r>
      <w:del w:id="42" w:author="ERCOT" w:date="2026-08-10T22:40:00Z" w16du:dateUtc="2026-08-11T03:40:00Z">
        <w:r w:rsidRPr="00CD7014" w:rsidDel="000B7F8B">
          <w:rPr>
            <w:iCs/>
          </w:rPr>
          <w:delText xml:space="preserve">quarterly </w:delText>
        </w:r>
      </w:del>
      <w:ins w:id="43" w:author="ERCOT" w:date="2026-08-10T22:40:00Z" w16du:dateUtc="2026-08-11T03:40:00Z">
        <w:r w:rsidR="000B7F8B">
          <w:rPr>
            <w:iCs/>
          </w:rPr>
          <w:t>qualifying</w:t>
        </w:r>
        <w:r w:rsidR="000B7F8B" w:rsidRPr="00CD7014">
          <w:rPr>
            <w:iCs/>
          </w:rPr>
          <w:t xml:space="preserve"> </w:t>
        </w:r>
      </w:ins>
      <w:r w:rsidRPr="00CD7014">
        <w:rPr>
          <w:iCs/>
        </w:rPr>
        <w:t>stability assessment shall be in accordance with the following table:</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1"/>
        <w:gridCol w:w="2873"/>
        <w:gridCol w:w="2866"/>
      </w:tblGrid>
      <w:tr w:rsidR="000B7F8B" w:rsidRPr="00CD7014" w14:paraId="1C535C86" w14:textId="77777777" w:rsidTr="009446C3">
        <w:tc>
          <w:tcPr>
            <w:tcW w:w="2891" w:type="dxa"/>
          </w:tcPr>
          <w:p w14:paraId="6029F691" w14:textId="77777777" w:rsidR="000B7F8B" w:rsidRPr="00CD7014" w:rsidRDefault="000B7F8B" w:rsidP="009446C3">
            <w:pPr>
              <w:rPr>
                <w:b/>
              </w:rPr>
            </w:pPr>
            <w:r w:rsidRPr="002C111D">
              <w:rPr>
                <w:b/>
              </w:rPr>
              <w:t>Generator Initial Synchronization</w:t>
            </w:r>
            <w:r w:rsidRPr="002C111D">
              <w:rPr>
                <w:b/>
                <w:bCs/>
              </w:rPr>
              <w:t xml:space="preserve"> or Large Load Initial Energization</w:t>
            </w:r>
            <w:r w:rsidRPr="002C111D">
              <w:rPr>
                <w:b/>
              </w:rPr>
              <w:t xml:space="preserve"> Date</w:t>
            </w:r>
          </w:p>
        </w:tc>
        <w:tc>
          <w:tcPr>
            <w:tcW w:w="2873" w:type="dxa"/>
          </w:tcPr>
          <w:p w14:paraId="44E4FC1B" w14:textId="77777777" w:rsidR="000B7F8B" w:rsidRPr="00CD7014" w:rsidRDefault="000B7F8B" w:rsidP="009446C3">
            <w:pPr>
              <w:rPr>
                <w:b/>
              </w:rPr>
            </w:pPr>
            <w:r w:rsidRPr="002C111D">
              <w:rPr>
                <w:b/>
              </w:rPr>
              <w:t>Last Day for an IE, Resource Entity, or TSP to meet prerequisites as listed in paragraphs (4) and (5) below</w:t>
            </w:r>
          </w:p>
        </w:tc>
        <w:tc>
          <w:tcPr>
            <w:tcW w:w="2866" w:type="dxa"/>
          </w:tcPr>
          <w:p w14:paraId="1FA87313" w14:textId="77777777" w:rsidR="000B7F8B" w:rsidRPr="00CD7014" w:rsidRDefault="000B7F8B" w:rsidP="009446C3">
            <w:pPr>
              <w:rPr>
                <w:b/>
              </w:rPr>
            </w:pPr>
            <w:r w:rsidRPr="00CD7014">
              <w:rPr>
                <w:b/>
              </w:rPr>
              <w:t xml:space="preserve">Completion of </w:t>
            </w:r>
            <w:del w:id="44" w:author="ERCOT" w:date="2026-05-01T07:41:00Z" w16du:dateUtc="2026-05-01T12:41:00Z">
              <w:r w:rsidRPr="00CD7014" w:rsidDel="004728EA">
                <w:rPr>
                  <w:b/>
                </w:rPr>
                <w:delText xml:space="preserve">Quarterly </w:delText>
              </w:r>
            </w:del>
            <w:ins w:id="45" w:author="ERCOT" w:date="2026-05-01T07:41:00Z" w16du:dateUtc="2026-05-01T12:41:00Z">
              <w:r>
                <w:rPr>
                  <w:b/>
                </w:rPr>
                <w:t xml:space="preserve">Qualifying </w:t>
              </w:r>
            </w:ins>
            <w:r w:rsidRPr="00CD7014">
              <w:rPr>
                <w:b/>
              </w:rPr>
              <w:t>Stability Assessment</w:t>
            </w:r>
          </w:p>
        </w:tc>
      </w:tr>
      <w:tr w:rsidR="000B7F8B" w:rsidRPr="00CD7014" w14:paraId="242E0AE9" w14:textId="77777777" w:rsidTr="009446C3">
        <w:tc>
          <w:tcPr>
            <w:tcW w:w="2891" w:type="dxa"/>
          </w:tcPr>
          <w:p w14:paraId="45113222" w14:textId="77777777" w:rsidR="000B7F8B" w:rsidRPr="00CD7014" w:rsidRDefault="000B7F8B" w:rsidP="009446C3">
            <w:r w:rsidRPr="00CD7014">
              <w:t>Upcoming January, February, March</w:t>
            </w:r>
            <w:ins w:id="46" w:author="ERCOT" w:date="2026-05-01T07:40:00Z" w16du:dateUtc="2026-05-01T12:40:00Z">
              <w:r>
                <w:t>, April</w:t>
              </w:r>
            </w:ins>
          </w:p>
        </w:tc>
        <w:tc>
          <w:tcPr>
            <w:tcW w:w="2873" w:type="dxa"/>
          </w:tcPr>
          <w:p w14:paraId="3FBD17B2" w14:textId="77777777" w:rsidR="000B7F8B" w:rsidRPr="00CD7014" w:rsidRDefault="000B7F8B" w:rsidP="009446C3">
            <w:r w:rsidRPr="00CD7014">
              <w:t xml:space="preserve">Prior </w:t>
            </w:r>
            <w:del w:id="47" w:author="ERCOT" w:date="2026-05-01T07:40:00Z" w16du:dateUtc="2026-05-01T12:40:00Z">
              <w:r w:rsidRPr="00CD7014" w:rsidDel="008D05F4">
                <w:delText xml:space="preserve">August </w:delText>
              </w:r>
            </w:del>
            <w:ins w:id="48" w:author="ERCOT" w:date="2026-05-01T07:40:00Z" w16du:dateUtc="2026-05-01T12:40:00Z">
              <w:r>
                <w:t>July</w:t>
              </w:r>
              <w:r w:rsidRPr="00CD7014">
                <w:t xml:space="preserve"> </w:t>
              </w:r>
            </w:ins>
            <w:r w:rsidRPr="00CD7014">
              <w:t>1</w:t>
            </w:r>
          </w:p>
        </w:tc>
        <w:tc>
          <w:tcPr>
            <w:tcW w:w="2866" w:type="dxa"/>
          </w:tcPr>
          <w:p w14:paraId="5442DD3B" w14:textId="77777777" w:rsidR="000B7F8B" w:rsidRPr="00CD7014" w:rsidRDefault="000B7F8B" w:rsidP="009446C3">
            <w:r w:rsidRPr="00CD7014">
              <w:t>End of October</w:t>
            </w:r>
          </w:p>
        </w:tc>
      </w:tr>
      <w:tr w:rsidR="000B7F8B" w:rsidRPr="00CD7014" w14:paraId="64CA8FC3" w14:textId="77777777" w:rsidTr="009446C3">
        <w:tc>
          <w:tcPr>
            <w:tcW w:w="2891" w:type="dxa"/>
          </w:tcPr>
          <w:p w14:paraId="15654465" w14:textId="77777777" w:rsidR="000B7F8B" w:rsidRPr="00CD7014" w:rsidRDefault="000B7F8B" w:rsidP="009446C3">
            <w:r w:rsidRPr="00CD7014">
              <w:t xml:space="preserve">Upcoming </w:t>
            </w:r>
            <w:del w:id="49" w:author="Southern Power 061526" w:date="2026-06-15T17:16:00Z" w16du:dateUtc="2026-06-15T22:16:00Z">
              <w:r w:rsidRPr="00CD7014" w:rsidDel="00997B94">
                <w:delText xml:space="preserve">April, </w:delText>
              </w:r>
            </w:del>
            <w:r w:rsidRPr="00CD7014">
              <w:t>May, June</w:t>
            </w:r>
            <w:ins w:id="50" w:author="ERCOT" w:date="2026-05-01T07:40:00Z" w16du:dateUtc="2026-05-01T12:40:00Z">
              <w:r>
                <w:t>, July, August</w:t>
              </w:r>
            </w:ins>
          </w:p>
        </w:tc>
        <w:tc>
          <w:tcPr>
            <w:tcW w:w="2873" w:type="dxa"/>
          </w:tcPr>
          <w:p w14:paraId="68FD8F8F" w14:textId="77777777" w:rsidR="000B7F8B" w:rsidRPr="00CD7014" w:rsidRDefault="000B7F8B" w:rsidP="009446C3">
            <w:r w:rsidRPr="00CD7014">
              <w:t>Prior November 1</w:t>
            </w:r>
          </w:p>
        </w:tc>
        <w:tc>
          <w:tcPr>
            <w:tcW w:w="2866" w:type="dxa"/>
          </w:tcPr>
          <w:p w14:paraId="62795BFB" w14:textId="77777777" w:rsidR="000B7F8B" w:rsidRPr="00CD7014" w:rsidRDefault="000B7F8B" w:rsidP="009446C3">
            <w:r w:rsidRPr="00CD7014">
              <w:t xml:space="preserve">End of </w:t>
            </w:r>
            <w:del w:id="51" w:author="ERCOT" w:date="2026-05-01T07:40:00Z" w16du:dateUtc="2026-05-01T12:40:00Z">
              <w:r w:rsidRPr="00CD7014" w:rsidDel="00F61D40">
                <w:delText>January</w:delText>
              </w:r>
            </w:del>
            <w:ins w:id="52" w:author="ERCOT" w:date="2026-05-01T07:40:00Z" w16du:dateUtc="2026-05-01T12:40:00Z">
              <w:r>
                <w:t>February</w:t>
              </w:r>
            </w:ins>
          </w:p>
        </w:tc>
      </w:tr>
      <w:tr w:rsidR="000B7F8B" w:rsidRPr="00CD7014" w14:paraId="17058192" w14:textId="77777777" w:rsidTr="009446C3">
        <w:tc>
          <w:tcPr>
            <w:tcW w:w="2891" w:type="dxa"/>
          </w:tcPr>
          <w:p w14:paraId="49FA150A" w14:textId="77777777" w:rsidR="000B7F8B" w:rsidRPr="00CD7014" w:rsidRDefault="000B7F8B" w:rsidP="009446C3">
            <w:r w:rsidRPr="00CD7014">
              <w:lastRenderedPageBreak/>
              <w:t>Upcoming</w:t>
            </w:r>
            <w:del w:id="53" w:author="Southern Power 061526" w:date="2026-06-15T17:16:00Z" w16du:dateUtc="2026-06-15T22:16:00Z">
              <w:r w:rsidRPr="00CD7014" w:rsidDel="00997B94">
                <w:delText xml:space="preserve"> July, August,</w:delText>
              </w:r>
            </w:del>
            <w:r w:rsidRPr="00CD7014">
              <w:t xml:space="preserve"> September</w:t>
            </w:r>
            <w:ins w:id="54" w:author="ERCOT" w:date="2026-05-01T07:40:00Z" w16du:dateUtc="2026-05-01T12:40:00Z">
              <w:r>
                <w:t>, October, November, December</w:t>
              </w:r>
            </w:ins>
          </w:p>
        </w:tc>
        <w:tc>
          <w:tcPr>
            <w:tcW w:w="2873" w:type="dxa"/>
          </w:tcPr>
          <w:p w14:paraId="1A05FB60" w14:textId="77777777" w:rsidR="000B7F8B" w:rsidRPr="00CD7014" w:rsidRDefault="000B7F8B" w:rsidP="009446C3">
            <w:r w:rsidRPr="00CD7014">
              <w:t xml:space="preserve">Prior </w:t>
            </w:r>
            <w:del w:id="55" w:author="ERCOT" w:date="2026-05-01T07:40:00Z" w16du:dateUtc="2026-05-01T12:40:00Z">
              <w:r w:rsidRPr="00CD7014" w:rsidDel="00F61D40">
                <w:delText xml:space="preserve">February </w:delText>
              </w:r>
            </w:del>
            <w:ins w:id="56" w:author="ERCOT" w:date="2026-05-01T07:40:00Z" w16du:dateUtc="2026-05-01T12:40:00Z">
              <w:r>
                <w:t>March</w:t>
              </w:r>
              <w:r w:rsidRPr="00CD7014">
                <w:t xml:space="preserve"> </w:t>
              </w:r>
            </w:ins>
            <w:r w:rsidRPr="00CD7014">
              <w:t>1</w:t>
            </w:r>
          </w:p>
        </w:tc>
        <w:tc>
          <w:tcPr>
            <w:tcW w:w="2866" w:type="dxa"/>
          </w:tcPr>
          <w:p w14:paraId="72894413" w14:textId="77777777" w:rsidR="000B7F8B" w:rsidRPr="00CD7014" w:rsidRDefault="000B7F8B" w:rsidP="009446C3">
            <w:r w:rsidRPr="00CD7014">
              <w:t xml:space="preserve">End of </w:t>
            </w:r>
            <w:del w:id="57" w:author="ERCOT" w:date="2026-05-01T07:41:00Z" w16du:dateUtc="2026-05-01T12:41:00Z">
              <w:r w:rsidRPr="00CD7014" w:rsidDel="00F61D40">
                <w:delText>April</w:delText>
              </w:r>
            </w:del>
            <w:ins w:id="58" w:author="ERCOT" w:date="2026-05-01T07:41:00Z" w16du:dateUtc="2026-05-01T12:41:00Z">
              <w:r>
                <w:t>June</w:t>
              </w:r>
            </w:ins>
          </w:p>
        </w:tc>
      </w:tr>
      <w:tr w:rsidR="000B7F8B" w:rsidRPr="00CD7014" w:rsidDel="008D05F4" w14:paraId="670D2031" w14:textId="77777777" w:rsidTr="009446C3">
        <w:trPr>
          <w:del w:id="59" w:author="ERCOT" w:date="2026-05-01T07:40:00Z"/>
        </w:trPr>
        <w:tc>
          <w:tcPr>
            <w:tcW w:w="2891" w:type="dxa"/>
          </w:tcPr>
          <w:p w14:paraId="49486A79" w14:textId="77777777" w:rsidR="000B7F8B" w:rsidRPr="00CD7014" w:rsidDel="008D05F4" w:rsidRDefault="000B7F8B" w:rsidP="009446C3">
            <w:pPr>
              <w:rPr>
                <w:del w:id="60" w:author="ERCOT" w:date="2026-05-01T07:40:00Z" w16du:dateUtc="2026-05-01T12:40:00Z"/>
              </w:rPr>
            </w:pPr>
            <w:del w:id="61" w:author="ERCOT" w:date="2026-05-01T07:40:00Z" w16du:dateUtc="2026-05-01T12:40:00Z">
              <w:r w:rsidRPr="00CD7014" w:rsidDel="008D05F4">
                <w:delText>Upcoming October, November, December</w:delText>
              </w:r>
            </w:del>
          </w:p>
        </w:tc>
        <w:tc>
          <w:tcPr>
            <w:tcW w:w="2873" w:type="dxa"/>
          </w:tcPr>
          <w:p w14:paraId="7A2972C7" w14:textId="77777777" w:rsidR="000B7F8B" w:rsidRPr="00CD7014" w:rsidDel="008D05F4" w:rsidRDefault="000B7F8B" w:rsidP="009446C3">
            <w:pPr>
              <w:rPr>
                <w:del w:id="62" w:author="ERCOT" w:date="2026-05-01T07:40:00Z" w16du:dateUtc="2026-05-01T12:40:00Z"/>
              </w:rPr>
            </w:pPr>
            <w:del w:id="63" w:author="ERCOT" w:date="2026-05-01T07:40:00Z" w16du:dateUtc="2026-05-01T12:40:00Z">
              <w:r w:rsidRPr="00CD7014" w:rsidDel="008D05F4">
                <w:delText>Prior May 1</w:delText>
              </w:r>
            </w:del>
          </w:p>
        </w:tc>
        <w:tc>
          <w:tcPr>
            <w:tcW w:w="2866" w:type="dxa"/>
          </w:tcPr>
          <w:p w14:paraId="23253FCB" w14:textId="77777777" w:rsidR="000B7F8B" w:rsidRPr="00CD7014" w:rsidDel="008D05F4" w:rsidRDefault="000B7F8B" w:rsidP="009446C3">
            <w:pPr>
              <w:rPr>
                <w:del w:id="64" w:author="ERCOT" w:date="2026-05-01T07:40:00Z" w16du:dateUtc="2026-05-01T12:40:00Z"/>
              </w:rPr>
            </w:pPr>
            <w:del w:id="65" w:author="ERCOT" w:date="2026-05-01T07:40:00Z" w16du:dateUtc="2026-05-01T12:40:00Z">
              <w:r w:rsidRPr="00CD7014" w:rsidDel="008D05F4">
                <w:delText>End of July</w:delText>
              </w:r>
            </w:del>
          </w:p>
        </w:tc>
      </w:tr>
    </w:tbl>
    <w:p w14:paraId="7D98E2A5" w14:textId="77777777" w:rsidR="000B7F8B" w:rsidRPr="00CD7014" w:rsidRDefault="000B7F8B" w:rsidP="000B7F8B">
      <w:pPr>
        <w:spacing w:before="240" w:after="240"/>
        <w:ind w:left="720" w:hanging="720"/>
        <w:rPr>
          <w:iCs/>
        </w:rPr>
      </w:pPr>
      <w:r w:rsidRPr="00CD7014">
        <w:rPr>
          <w:iCs/>
        </w:rPr>
        <w:t>(3)</w:t>
      </w:r>
      <w:r w:rsidRPr="00CD7014">
        <w:rPr>
          <w:iCs/>
        </w:rPr>
        <w:tab/>
        <w:t xml:space="preserve">If the last day for an </w:t>
      </w:r>
      <w:r w:rsidRPr="009E6D0C">
        <w:rPr>
          <w:iCs/>
        </w:rPr>
        <w:t>IE</w:t>
      </w:r>
      <w:r>
        <w:rPr>
          <w:iCs/>
        </w:rPr>
        <w:t>, Resource Entity, or TSP</w:t>
      </w:r>
      <w:r w:rsidRPr="00CD7014">
        <w:rPr>
          <w:iCs/>
        </w:rPr>
        <w:t xml:space="preserve"> to meet prerequisites or if completion of the </w:t>
      </w:r>
      <w:ins w:id="66" w:author="ERCOT" w:date="2026-05-01T07:43:00Z" w16du:dateUtc="2026-05-01T12:43:00Z">
        <w:r>
          <w:t>qualifying</w:t>
        </w:r>
      </w:ins>
      <w:del w:id="67" w:author="ERCOT" w:date="2026-05-01T07:43:00Z" w16du:dateUtc="2026-05-01T12:43:00Z">
        <w:r w:rsidRPr="00CD7014" w:rsidDel="00D80A3B">
          <w:rPr>
            <w:iCs/>
          </w:rPr>
          <w:delText>quarterly</w:delText>
        </w:r>
      </w:del>
      <w:r w:rsidRPr="00CD7014">
        <w:rPr>
          <w:iCs/>
        </w:rPr>
        <w:t xml:space="preserve"> stability assessment as shown in the above table falls on a weekend or holiday, the deadline will extend to the next Business Day.</w:t>
      </w:r>
    </w:p>
    <w:p w14:paraId="3933B32B" w14:textId="734CF2C9" w:rsidR="00146470" w:rsidRPr="00456150" w:rsidRDefault="00146470" w:rsidP="000B7F8B">
      <w:pPr>
        <w:spacing w:after="240"/>
        <w:ind w:left="720" w:hanging="720"/>
        <w:rPr>
          <w:szCs w:val="20"/>
        </w:rPr>
      </w:pPr>
      <w:r w:rsidRPr="00456150">
        <w:rPr>
          <w:szCs w:val="20"/>
        </w:rPr>
        <w:t>(4)</w:t>
      </w:r>
      <w:r w:rsidRPr="00456150">
        <w:rPr>
          <w:szCs w:val="20"/>
        </w:rPr>
        <w:tab/>
      </w:r>
      <w:r>
        <w:rPr>
          <w:szCs w:val="20"/>
        </w:rPr>
        <w:t>The following p</w:t>
      </w:r>
      <w:r w:rsidRPr="00456150">
        <w:rPr>
          <w:szCs w:val="20"/>
        </w:rPr>
        <w:t xml:space="preserve">rerequisites </w:t>
      </w:r>
      <w:r>
        <w:rPr>
          <w:szCs w:val="20"/>
        </w:rPr>
        <w:t>shall</w:t>
      </w:r>
      <w:r w:rsidRPr="00456150">
        <w:rPr>
          <w:szCs w:val="20"/>
        </w:rPr>
        <w:t xml:space="preserve"> be satisfied prior to </w:t>
      </w:r>
      <w:r>
        <w:rPr>
          <w:szCs w:val="20"/>
        </w:rPr>
        <w:t>a</w:t>
      </w:r>
      <w:r w:rsidRPr="00456150">
        <w:rPr>
          <w:szCs w:val="20"/>
        </w:rPr>
        <w:t xml:space="preserve"> large generator being included in </w:t>
      </w:r>
      <w:r w:rsidR="000B7F8B" w:rsidRPr="00456150">
        <w:rPr>
          <w:szCs w:val="20"/>
        </w:rPr>
        <w:t xml:space="preserve">the </w:t>
      </w:r>
      <w:ins w:id="68" w:author="ERCOT" w:date="2026-05-01T07:44:00Z" w16du:dateUtc="2026-05-01T12:44:00Z">
        <w:r w:rsidR="000B7F8B">
          <w:t>qualifying</w:t>
        </w:r>
      </w:ins>
      <w:del w:id="69" w:author="ERCOT" w:date="2026-05-01T07:44:00Z" w16du:dateUtc="2026-05-01T12:44:00Z">
        <w:r w:rsidR="000B7F8B" w:rsidRPr="00456150" w:rsidDel="00D80A3B">
          <w:rPr>
            <w:szCs w:val="20"/>
          </w:rPr>
          <w:delText>quarterly</w:delText>
        </w:r>
      </w:del>
      <w:r w:rsidR="000B7F8B" w:rsidRPr="00456150">
        <w:rPr>
          <w:szCs w:val="20"/>
        </w:rPr>
        <w:t xml:space="preserve"> stability assessment:</w:t>
      </w:r>
    </w:p>
    <w:p w14:paraId="0F6D3D8F" w14:textId="77777777" w:rsidR="00146470" w:rsidRPr="00CD7014" w:rsidRDefault="00146470" w:rsidP="00146470">
      <w:pPr>
        <w:spacing w:after="240"/>
        <w:ind w:left="1440" w:hanging="720"/>
        <w:rPr>
          <w:szCs w:val="20"/>
        </w:rPr>
      </w:pPr>
      <w:r w:rsidRPr="00CD7014">
        <w:rPr>
          <w:szCs w:val="20"/>
        </w:rPr>
        <w:t>(a)</w:t>
      </w:r>
      <w:r w:rsidRPr="00CD7014">
        <w:rPr>
          <w:szCs w:val="20"/>
        </w:rPr>
        <w:tab/>
        <w:t xml:space="preserve">The </w:t>
      </w:r>
      <w:r>
        <w:rPr>
          <w:szCs w:val="20"/>
        </w:rPr>
        <w:t xml:space="preserve">generator </w:t>
      </w:r>
      <w:r w:rsidRPr="00CD7014">
        <w:rPr>
          <w:szCs w:val="20"/>
        </w:rPr>
        <w:t xml:space="preserve">has met the requirements of </w:t>
      </w:r>
      <w:r w:rsidRPr="00B35D2D">
        <w:rPr>
          <w:szCs w:val="20"/>
        </w:rPr>
        <w:t>Section 6.9</w:t>
      </w:r>
      <w:r w:rsidRPr="007A6E2D">
        <w:rPr>
          <w:szCs w:val="20"/>
        </w:rPr>
        <w:t>, Addition of Proposed Generation to the Planning Models</w:t>
      </w:r>
      <w:r w:rsidRPr="00CD7014">
        <w:rPr>
          <w:szCs w:val="20"/>
        </w:rPr>
        <w:t xml:space="preserve">. </w:t>
      </w:r>
    </w:p>
    <w:p w14:paraId="6CDF4E9E" w14:textId="77777777" w:rsidR="00146470" w:rsidRDefault="00146470" w:rsidP="00146470">
      <w:pPr>
        <w:spacing w:after="240"/>
        <w:ind w:left="1440" w:hanging="720"/>
        <w:rPr>
          <w:szCs w:val="20"/>
        </w:rPr>
      </w:pPr>
      <w:r w:rsidRPr="00CD7014">
        <w:rPr>
          <w:szCs w:val="20"/>
        </w:rPr>
        <w:t>(b)</w:t>
      </w:r>
      <w:r w:rsidRPr="00CD7014">
        <w:rPr>
          <w:szCs w:val="20"/>
        </w:rPr>
        <w:tab/>
        <w:t xml:space="preserve">The </w:t>
      </w:r>
      <w:r w:rsidRPr="009E6D0C">
        <w:rPr>
          <w:szCs w:val="20"/>
        </w:rPr>
        <w:t>IE</w:t>
      </w:r>
      <w:r w:rsidRPr="00CD7014">
        <w:rPr>
          <w:szCs w:val="20"/>
        </w:rPr>
        <w:t xml:space="preserve"> has provided all</w:t>
      </w:r>
      <w:r>
        <w:rPr>
          <w:szCs w:val="20"/>
        </w:rPr>
        <w:t xml:space="preserve"> generator </w:t>
      </w:r>
      <w:r w:rsidRPr="00CD7014">
        <w:rPr>
          <w:szCs w:val="20"/>
        </w:rPr>
        <w:t xml:space="preserve">data in accordance with the Resource Registration Glossary, </w:t>
      </w:r>
      <w:r w:rsidRPr="001C6ADF">
        <w:rPr>
          <w:szCs w:val="20"/>
        </w:rPr>
        <w:t>Planning Model</w:t>
      </w:r>
      <w:r w:rsidRPr="00CD7014">
        <w:rPr>
          <w:szCs w:val="20"/>
        </w:rPr>
        <w:t xml:space="preserve"> column, including but not limited to steady state, system protection and stability models.</w:t>
      </w:r>
    </w:p>
    <w:p w14:paraId="4DD80207" w14:textId="0C8133D3" w:rsidR="00146470" w:rsidRDefault="00146470" w:rsidP="00146470">
      <w:pPr>
        <w:pStyle w:val="List"/>
        <w:ind w:left="2160"/>
      </w:pPr>
      <w:r w:rsidRPr="00456150">
        <w:t>(i)</w:t>
      </w:r>
      <w:r w:rsidRPr="00456150">
        <w:tab/>
      </w:r>
      <w:r w:rsidR="000B7F8B" w:rsidRPr="00CB3D05">
        <w:t xml:space="preserve">The </w:t>
      </w:r>
      <w:r w:rsidR="000B7F8B">
        <w:t xml:space="preserve">IE shall submit the final </w:t>
      </w:r>
      <w:r w:rsidR="000B7F8B" w:rsidRPr="00CB3D05">
        <w:t xml:space="preserve">dynamic data model </w:t>
      </w:r>
      <w:r w:rsidR="000B7F8B">
        <w:t>at least 45</w:t>
      </w:r>
      <w:r w:rsidR="000B7F8B" w:rsidRPr="00CB3D05">
        <w:t xml:space="preserve"> </w:t>
      </w:r>
      <w:r w:rsidR="000B7F8B">
        <w:t>d</w:t>
      </w:r>
      <w:r w:rsidR="000B7F8B" w:rsidRPr="00CB3D05">
        <w:t xml:space="preserve">ays </w:t>
      </w:r>
      <w:r w:rsidR="000B7F8B">
        <w:t>prior to</w:t>
      </w:r>
      <w:r w:rsidR="000B7F8B" w:rsidRPr="00CB3D05">
        <w:t xml:space="preserve"> the </w:t>
      </w:r>
      <w:ins w:id="70" w:author="ERCOT" w:date="2026-05-01T07:44:00Z" w16du:dateUtc="2026-05-01T12:44:00Z">
        <w:r w:rsidR="000B7F8B">
          <w:rPr>
            <w:szCs w:val="24"/>
          </w:rPr>
          <w:t>qualifying</w:t>
        </w:r>
      </w:ins>
      <w:del w:id="71" w:author="ERCOT" w:date="2026-05-01T07:44:00Z" w16du:dateUtc="2026-05-01T12:44:00Z">
        <w:r w:rsidR="000B7F8B" w:rsidRPr="00CB3D05" w:rsidDel="00D80A3B">
          <w:delText>quarterly</w:delText>
        </w:r>
      </w:del>
      <w:r w:rsidR="000B7F8B" w:rsidRPr="00CB3D05">
        <w:t xml:space="preserve"> stability assessment deadline</w:t>
      </w:r>
      <w:r w:rsidR="000B7F8B">
        <w:t xml:space="preserve"> described in paragraph (2) above</w:t>
      </w:r>
      <w:r w:rsidR="000B7F8B" w:rsidRPr="00CB3D05">
        <w:t xml:space="preserve">.  </w:t>
      </w:r>
      <w:r w:rsidR="000B7F8B">
        <w:t xml:space="preserve">If ERCOT is unable to complete its review prior to the </w:t>
      </w:r>
      <w:ins w:id="72" w:author="ERCOT" w:date="2026-05-01T07:44:00Z" w16du:dateUtc="2026-05-01T12:44:00Z">
        <w:r w:rsidR="000B7F8B">
          <w:rPr>
            <w:szCs w:val="24"/>
          </w:rPr>
          <w:t>qualifying</w:t>
        </w:r>
      </w:ins>
      <w:del w:id="73" w:author="ERCOT" w:date="2026-05-01T07:44:00Z" w16du:dateUtc="2026-05-01T12:44:00Z">
        <w:r w:rsidR="000B7F8B" w:rsidDel="00D80A3B">
          <w:delText>quarterly</w:delText>
        </w:r>
      </w:del>
      <w:r w:rsidR="000B7F8B">
        <w:t xml:space="preserve"> stability assessment deadline</w:t>
      </w:r>
      <w:r w:rsidR="000B7F8B" w:rsidRPr="00CB3D05">
        <w:t xml:space="preserve">, ERCOT </w:t>
      </w:r>
      <w:r w:rsidR="000B7F8B">
        <w:t>shall not include</w:t>
      </w:r>
      <w:r w:rsidR="000B7F8B" w:rsidRPr="00CB3D05">
        <w:t xml:space="preserve"> the Generation Resource</w:t>
      </w:r>
      <w:r w:rsidR="000B7F8B">
        <w:t>, ESR</w:t>
      </w:r>
      <w:r w:rsidR="000B7F8B" w:rsidRPr="00CB3D05">
        <w:t xml:space="preserve"> or </w:t>
      </w:r>
      <w:r w:rsidR="000B7F8B">
        <w:t>Settlement Only Generator (</w:t>
      </w:r>
      <w:r w:rsidR="000B7F8B" w:rsidRPr="00CB3D05">
        <w:t>SOG</w:t>
      </w:r>
      <w:r w:rsidR="000B7F8B">
        <w:t>)</w:t>
      </w:r>
      <w:r w:rsidR="000B7F8B" w:rsidRPr="00CB3D05">
        <w:t xml:space="preserve"> in </w:t>
      </w:r>
      <w:r w:rsidR="000B7F8B">
        <w:t>that</w:t>
      </w:r>
      <w:r w:rsidR="000B7F8B" w:rsidRPr="00CB3D05">
        <w:t xml:space="preserve"> </w:t>
      </w:r>
      <w:ins w:id="74" w:author="ERCOT" w:date="2026-05-01T07:44:00Z" w16du:dateUtc="2026-05-01T12:44:00Z">
        <w:r w:rsidR="000B7F8B">
          <w:rPr>
            <w:szCs w:val="24"/>
          </w:rPr>
          <w:t>qualifying</w:t>
        </w:r>
      </w:ins>
      <w:del w:id="75" w:author="ERCOT" w:date="2026-05-01T07:44:00Z" w16du:dateUtc="2026-05-01T12:44:00Z">
        <w:r w:rsidR="000B7F8B" w:rsidRPr="00CB3D05" w:rsidDel="00D80A3B">
          <w:delText>quarterly</w:delText>
        </w:r>
      </w:del>
      <w:r w:rsidR="000B7F8B" w:rsidRPr="00CB3D05">
        <w:t xml:space="preserve"> stability assessment.</w:t>
      </w:r>
    </w:p>
    <w:p w14:paraId="72D29F7B" w14:textId="2D0B58F4" w:rsidR="00146470" w:rsidRDefault="00146470" w:rsidP="00146470">
      <w:pPr>
        <w:pStyle w:val="List"/>
        <w:ind w:left="2160"/>
      </w:pPr>
      <w:r>
        <w:t>(ii)</w:t>
      </w:r>
      <w:r>
        <w:tab/>
      </w:r>
      <w:r w:rsidRPr="00777C1D">
        <w:t>Changes to the dynamic data model after the stability study is deemed complete may subject the Generation Resource</w:t>
      </w:r>
      <w:r>
        <w:t>, ESR,</w:t>
      </w:r>
      <w:r w:rsidRPr="00777C1D">
        <w:t xml:space="preserve"> or </w:t>
      </w:r>
      <w:r>
        <w:t>SOG</w:t>
      </w:r>
      <w:r w:rsidRPr="00777C1D">
        <w:t xml:space="preserve"> to modification of one or more FIS study elements as defined in paragraph </w:t>
      </w:r>
      <w:r>
        <w:t>(9)</w:t>
      </w:r>
      <w:r w:rsidRPr="00777C1D">
        <w:t xml:space="preserve"> of </w:t>
      </w:r>
      <w:r>
        <w:t>S</w:t>
      </w:r>
      <w:r w:rsidRPr="00777C1D">
        <w:t>ection 5.3.2.5</w:t>
      </w:r>
      <w:r>
        <w:t>, FIS Report and Follow-up</w:t>
      </w:r>
      <w:r w:rsidRPr="00777C1D">
        <w:t xml:space="preserve">. </w:t>
      </w:r>
      <w:r>
        <w:t xml:space="preserve"> </w:t>
      </w:r>
      <w:r w:rsidRPr="00777C1D">
        <w:t xml:space="preserve">If ERCOT and </w:t>
      </w:r>
      <w:r>
        <w:t xml:space="preserve">the </w:t>
      </w:r>
      <w:r w:rsidRPr="00777C1D">
        <w:t xml:space="preserve">lead TSP(s) determine that modifications to one or more FIS study elements </w:t>
      </w:r>
      <w:r>
        <w:t>are</w:t>
      </w:r>
      <w:r w:rsidRPr="00777C1D">
        <w:t xml:space="preserve"> required, then</w:t>
      </w:r>
      <w:r>
        <w:t xml:space="preserve"> </w:t>
      </w:r>
      <w:r w:rsidRPr="00456150">
        <w:t xml:space="preserve">ERCOT shall </w:t>
      </w:r>
      <w:r>
        <w:t xml:space="preserve">not </w:t>
      </w:r>
      <w:r w:rsidRPr="00456150">
        <w:t>include the Generation Resource</w:t>
      </w:r>
      <w:r>
        <w:t>, ESR,</w:t>
      </w:r>
      <w:r w:rsidRPr="00456150">
        <w:t xml:space="preserve"> or </w:t>
      </w:r>
      <w:r w:rsidR="000B7F8B" w:rsidRPr="00456150">
        <w:t xml:space="preserve">SOG in </w:t>
      </w:r>
      <w:r w:rsidR="000B7F8B">
        <w:t xml:space="preserve">a </w:t>
      </w:r>
      <w:ins w:id="76" w:author="ERCOT" w:date="2026-05-01T07:44:00Z" w16du:dateUtc="2026-05-01T12:44:00Z">
        <w:r w:rsidR="000B7F8B">
          <w:rPr>
            <w:szCs w:val="24"/>
          </w:rPr>
          <w:t>qualifying</w:t>
        </w:r>
      </w:ins>
      <w:del w:id="77" w:author="ERCOT" w:date="2026-05-01T07:44:00Z" w16du:dateUtc="2026-05-01T12:44:00Z">
        <w:r w:rsidR="000B7F8B" w:rsidRPr="00456150" w:rsidDel="00D80A3B">
          <w:delText>quarterly</w:delText>
        </w:r>
      </w:del>
      <w:r w:rsidR="000B7F8B" w:rsidRPr="00456150">
        <w:t xml:space="preserve"> stability </w:t>
      </w:r>
      <w:r>
        <w:t xml:space="preserve">assessment </w:t>
      </w:r>
      <w:r w:rsidRPr="004F6033">
        <w:t>until the revised FIS has been completed in accordance with paragraph (4)(c)(i) below</w:t>
      </w:r>
      <w:r>
        <w:t>.</w:t>
      </w:r>
    </w:p>
    <w:p w14:paraId="153D22D4" w14:textId="684AEF74" w:rsidR="00146470" w:rsidRPr="00456150" w:rsidRDefault="00146470" w:rsidP="00146470">
      <w:pPr>
        <w:pStyle w:val="List"/>
        <w:ind w:left="2160"/>
      </w:pPr>
      <w:r w:rsidRPr="00B47E38">
        <w:t>(iii)</w:t>
      </w:r>
      <w:r w:rsidRPr="00B47E38">
        <w:tab/>
      </w:r>
      <w:r w:rsidR="000B7F8B" w:rsidRPr="00B47E38">
        <w:t xml:space="preserve">If an IE submitted </w:t>
      </w:r>
      <w:r w:rsidR="000B7F8B">
        <w:t xml:space="preserve">a </w:t>
      </w:r>
      <w:r w:rsidR="000B7F8B" w:rsidRPr="00B47E38">
        <w:t xml:space="preserve">final dynamic </w:t>
      </w:r>
      <w:r w:rsidR="000B7F8B">
        <w:t xml:space="preserve">data </w:t>
      </w:r>
      <w:r w:rsidR="000B7F8B" w:rsidRPr="00B47E38">
        <w:t xml:space="preserve">model </w:t>
      </w:r>
      <w:r w:rsidR="000B7F8B">
        <w:t xml:space="preserve">at least </w:t>
      </w:r>
      <w:r w:rsidR="000B7F8B" w:rsidRPr="00B47E38">
        <w:t xml:space="preserve">45 days </w:t>
      </w:r>
      <w:r w:rsidR="000B7F8B">
        <w:t>prior to</w:t>
      </w:r>
      <w:r w:rsidR="000B7F8B" w:rsidRPr="00B47E38">
        <w:t xml:space="preserve"> the </w:t>
      </w:r>
      <w:ins w:id="78" w:author="ERCOT" w:date="2026-05-01T07:44:00Z" w16du:dateUtc="2026-05-01T12:44:00Z">
        <w:r w:rsidR="000B7F8B">
          <w:rPr>
            <w:szCs w:val="24"/>
          </w:rPr>
          <w:t>qualifying</w:t>
        </w:r>
      </w:ins>
      <w:del w:id="79" w:author="ERCOT" w:date="2026-05-01T07:44:00Z" w16du:dateUtc="2026-05-01T12:44:00Z">
        <w:r w:rsidR="000B7F8B" w:rsidRPr="00B47E38" w:rsidDel="00D80A3B">
          <w:delText>quarterly</w:delText>
        </w:r>
      </w:del>
      <w:r w:rsidR="000B7F8B" w:rsidRPr="00B47E38">
        <w:t xml:space="preserve"> stability assessment deadline but ERCOT determines that the Generation Resource</w:t>
      </w:r>
      <w:r w:rsidR="000B7F8B">
        <w:t>, ESR,</w:t>
      </w:r>
      <w:r w:rsidR="000B7F8B" w:rsidRPr="00B47E38">
        <w:t xml:space="preserve"> or SOG is </w:t>
      </w:r>
      <w:r w:rsidR="000B7F8B">
        <w:t>in</w:t>
      </w:r>
      <w:r w:rsidR="000B7F8B" w:rsidRPr="00B47E38">
        <w:t xml:space="preserve">eligible to be included in </w:t>
      </w:r>
      <w:r w:rsidR="000B7F8B" w:rsidRPr="00E30587">
        <w:t>a</w:t>
      </w:r>
      <w:r w:rsidR="000B7F8B" w:rsidRPr="00B47E38">
        <w:t xml:space="preserve"> </w:t>
      </w:r>
      <w:ins w:id="80" w:author="ERCOT" w:date="2026-05-01T07:44:00Z" w16du:dateUtc="2026-05-01T12:44:00Z">
        <w:r w:rsidR="000B7F8B">
          <w:rPr>
            <w:szCs w:val="24"/>
          </w:rPr>
          <w:t>qualifying</w:t>
        </w:r>
      </w:ins>
      <w:del w:id="81" w:author="ERCOT" w:date="2026-05-01T07:44:00Z" w16du:dateUtc="2026-05-01T12:44:00Z">
        <w:r w:rsidR="000B7F8B" w:rsidRPr="00B47E38" w:rsidDel="00D80A3B">
          <w:delText>quarterly</w:delText>
        </w:r>
      </w:del>
      <w:r w:rsidR="000B7F8B" w:rsidRPr="00B47E38">
        <w:t xml:space="preserve"> stability assessment pursuant to </w:t>
      </w:r>
      <w:r w:rsidR="000B7F8B">
        <w:t>paragraphs</w:t>
      </w:r>
      <w:r w:rsidR="000B7F8B" w:rsidRPr="00B47E38">
        <w:t xml:space="preserve"> </w:t>
      </w:r>
      <w:r w:rsidR="000B7F8B">
        <w:t>(4)(b)</w:t>
      </w:r>
      <w:r w:rsidR="000B7F8B" w:rsidRPr="00B47E38">
        <w:t xml:space="preserve">(i) or </w:t>
      </w:r>
      <w:r w:rsidR="000B7F8B">
        <w:t>(4)(b)</w:t>
      </w:r>
      <w:r w:rsidR="000B7F8B" w:rsidRPr="00B47E38">
        <w:t>(ii) above, ERCOT will send a notification to the IE.</w:t>
      </w:r>
    </w:p>
    <w:p w14:paraId="656DDD47" w14:textId="77777777" w:rsidR="00146470" w:rsidRPr="00CD7014" w:rsidRDefault="00146470" w:rsidP="00146470">
      <w:pPr>
        <w:spacing w:after="240"/>
        <w:ind w:left="1440" w:hanging="720"/>
        <w:rPr>
          <w:szCs w:val="20"/>
        </w:rPr>
      </w:pPr>
      <w:r w:rsidRPr="00CD7014">
        <w:rPr>
          <w:szCs w:val="20"/>
        </w:rPr>
        <w:t>(c)</w:t>
      </w:r>
      <w:r w:rsidRPr="00CD7014">
        <w:rPr>
          <w:szCs w:val="20"/>
        </w:rPr>
        <w:tab/>
        <w:t>The following elements must be complete:</w:t>
      </w:r>
    </w:p>
    <w:p w14:paraId="42CEEAD3" w14:textId="3DE801DA" w:rsidR="00146470" w:rsidRPr="00CD7014" w:rsidRDefault="00146470" w:rsidP="00146470">
      <w:pPr>
        <w:spacing w:after="240"/>
        <w:ind w:left="2160" w:hanging="720"/>
        <w:rPr>
          <w:szCs w:val="20"/>
        </w:rPr>
      </w:pPr>
      <w:r w:rsidRPr="00CD7014">
        <w:rPr>
          <w:szCs w:val="20"/>
        </w:rPr>
        <w:t>(i)</w:t>
      </w:r>
      <w:r w:rsidRPr="00CD7014">
        <w:rPr>
          <w:szCs w:val="20"/>
        </w:rPr>
        <w:tab/>
      </w:r>
      <w:r>
        <w:rPr>
          <w:szCs w:val="20"/>
        </w:rPr>
        <w:t xml:space="preserve">Final </w:t>
      </w:r>
      <w:r w:rsidRPr="000E3EC3">
        <w:rPr>
          <w:szCs w:val="20"/>
        </w:rPr>
        <w:t>FIS</w:t>
      </w:r>
      <w:r w:rsidRPr="00CD7014">
        <w:rPr>
          <w:szCs w:val="20"/>
        </w:rPr>
        <w:t xml:space="preserve"> studies</w:t>
      </w:r>
      <w:r>
        <w:rPr>
          <w:szCs w:val="20"/>
        </w:rPr>
        <w:t xml:space="preserve">, which the TSP must have submitted via the online RIOO system at least 45 days prior to </w:t>
      </w:r>
      <w:r w:rsidR="000B7F8B">
        <w:rPr>
          <w:szCs w:val="20"/>
        </w:rPr>
        <w:t xml:space="preserve">the </w:t>
      </w:r>
      <w:ins w:id="82" w:author="ERCOT" w:date="2026-05-01T07:44:00Z" w16du:dateUtc="2026-05-01T12:44:00Z">
        <w:r w:rsidR="000B7F8B">
          <w:t>qualifying</w:t>
        </w:r>
      </w:ins>
      <w:del w:id="83" w:author="ERCOT" w:date="2026-05-01T07:44:00Z" w16du:dateUtc="2026-05-01T12:44:00Z">
        <w:r w:rsidR="000B7F8B" w:rsidDel="00D80A3B">
          <w:rPr>
            <w:szCs w:val="20"/>
          </w:rPr>
          <w:delText>quarterly</w:delText>
        </w:r>
      </w:del>
      <w:r w:rsidR="000B7F8B">
        <w:rPr>
          <w:szCs w:val="20"/>
        </w:rPr>
        <w:t xml:space="preserve"> stability </w:t>
      </w:r>
      <w:r>
        <w:rPr>
          <w:szCs w:val="20"/>
        </w:rPr>
        <w:t>assessment deadline</w:t>
      </w:r>
      <w:r w:rsidRPr="00CD7014">
        <w:rPr>
          <w:szCs w:val="20"/>
        </w:rPr>
        <w:t>;</w:t>
      </w:r>
    </w:p>
    <w:p w14:paraId="17136810" w14:textId="77777777" w:rsidR="00146470" w:rsidRPr="00CD7014" w:rsidRDefault="00146470" w:rsidP="00146470">
      <w:pPr>
        <w:spacing w:after="240"/>
        <w:ind w:left="2160" w:hanging="720"/>
        <w:rPr>
          <w:szCs w:val="20"/>
        </w:rPr>
      </w:pPr>
      <w:r w:rsidRPr="00CD7014">
        <w:rPr>
          <w:szCs w:val="20"/>
        </w:rPr>
        <w:lastRenderedPageBreak/>
        <w:t>(ii)</w:t>
      </w:r>
      <w:r w:rsidRPr="00CD7014">
        <w:rPr>
          <w:szCs w:val="20"/>
        </w:rPr>
        <w:tab/>
      </w:r>
      <w:r w:rsidRPr="007A6E2D">
        <w:rPr>
          <w:szCs w:val="20"/>
        </w:rPr>
        <w:t>Reactive Power Study</w:t>
      </w:r>
      <w:r w:rsidRPr="00CD7014">
        <w:rPr>
          <w:szCs w:val="20"/>
        </w:rPr>
        <w:t>; and</w:t>
      </w:r>
    </w:p>
    <w:p w14:paraId="5E8BE542" w14:textId="77777777" w:rsidR="00146470" w:rsidRDefault="00146470" w:rsidP="00146470">
      <w:pPr>
        <w:pStyle w:val="List"/>
        <w:ind w:left="2160"/>
      </w:pPr>
      <w:r w:rsidRPr="00456150">
        <w:t>(iii)</w:t>
      </w:r>
      <w:r w:rsidRPr="00456150">
        <w:tab/>
        <w:t xml:space="preserve">System improvements or mitigation plans that were identified in these studies as required to meet the operational standards established in the Protocols, Planning Guide, Nodal Operating Guides, and Other Binding </w:t>
      </w:r>
      <w:r w:rsidRPr="00E11C63">
        <w:t>Documents prior to synchronizing the generator.</w:t>
      </w:r>
    </w:p>
    <w:p w14:paraId="37E6FEB4" w14:textId="77777777" w:rsidR="00146470" w:rsidRDefault="00146470" w:rsidP="00146470">
      <w:pPr>
        <w:spacing w:after="240"/>
        <w:ind w:left="1440" w:hanging="720"/>
        <w:rPr>
          <w:iCs/>
        </w:rPr>
      </w:pPr>
      <w:r w:rsidRPr="00CD7014">
        <w:rPr>
          <w:szCs w:val="20"/>
        </w:rPr>
        <w:t>(d)</w:t>
      </w:r>
      <w:r w:rsidRPr="00CD7014">
        <w:rPr>
          <w:szCs w:val="20"/>
        </w:rPr>
        <w:tab/>
        <w:t>The data used in the studies identified in paragraph (4)(c) above is consistent with</w:t>
      </w:r>
      <w:r>
        <w:rPr>
          <w:szCs w:val="20"/>
        </w:rPr>
        <w:t xml:space="preserve"> </w:t>
      </w:r>
      <w:r w:rsidRPr="00CD7014">
        <w:rPr>
          <w:szCs w:val="20"/>
        </w:rPr>
        <w:t xml:space="preserve">data submitted by the </w:t>
      </w:r>
      <w:r w:rsidRPr="009E6D0C">
        <w:rPr>
          <w:szCs w:val="20"/>
        </w:rPr>
        <w:t>IE</w:t>
      </w:r>
      <w:r w:rsidRPr="00CD7014">
        <w:rPr>
          <w:szCs w:val="20"/>
        </w:rPr>
        <w:t xml:space="preserve"> as required by </w:t>
      </w:r>
      <w:r w:rsidRPr="00F2470B">
        <w:rPr>
          <w:szCs w:val="20"/>
        </w:rPr>
        <w:t>Section 6.9</w:t>
      </w:r>
      <w:r w:rsidRPr="00CD7014">
        <w:rPr>
          <w:szCs w:val="20"/>
        </w:rPr>
        <w:t>.</w:t>
      </w:r>
      <w:r w:rsidRPr="00CD7014">
        <w:rPr>
          <w:iCs/>
        </w:rPr>
        <w:t xml:space="preserve"> </w:t>
      </w:r>
    </w:p>
    <w:p w14:paraId="33C5FE2E" w14:textId="32952748" w:rsidR="00146470" w:rsidRPr="00B66C9A" w:rsidRDefault="00146470" w:rsidP="00146470">
      <w:pPr>
        <w:spacing w:after="240"/>
        <w:ind w:left="720" w:hanging="720"/>
        <w:rPr>
          <w:iCs/>
        </w:rPr>
      </w:pPr>
      <w:r w:rsidRPr="002C111D">
        <w:rPr>
          <w:iCs/>
        </w:rPr>
        <w:t>(5)</w:t>
      </w:r>
      <w:r w:rsidRPr="002C111D">
        <w:rPr>
          <w:iCs/>
        </w:rPr>
        <w:tab/>
      </w:r>
      <w:r w:rsidRPr="00B66C9A">
        <w:rPr>
          <w:iCs/>
        </w:rPr>
        <w:t xml:space="preserve">The following prerequisites must be satisfied prior to the inclusion of a </w:t>
      </w:r>
      <w:r w:rsidRPr="00B66C9A">
        <w:t xml:space="preserve">new Large Load or Load modification subject to the requirements of Section 9.2.1 </w:t>
      </w:r>
      <w:r w:rsidRPr="00B66C9A">
        <w:rPr>
          <w:iCs/>
        </w:rPr>
        <w:t xml:space="preserve">in the </w:t>
      </w:r>
      <w:del w:id="84" w:author="ERCOT" w:date="2026-08-10T22:44:00Z" w16du:dateUtc="2026-08-11T03:44:00Z">
        <w:r w:rsidRPr="00B66C9A" w:rsidDel="000B7F8B">
          <w:rPr>
            <w:iCs/>
          </w:rPr>
          <w:delText xml:space="preserve">quarterly </w:delText>
        </w:r>
      </w:del>
      <w:ins w:id="85" w:author="ERCOT" w:date="2026-08-10T22:44:00Z" w16du:dateUtc="2026-08-11T03:44:00Z">
        <w:r w:rsidR="000B7F8B">
          <w:rPr>
            <w:iCs/>
          </w:rPr>
          <w:t>qualifying</w:t>
        </w:r>
        <w:r w:rsidR="000B7F8B" w:rsidRPr="00B66C9A">
          <w:rPr>
            <w:iCs/>
          </w:rPr>
          <w:t xml:space="preserve"> </w:t>
        </w:r>
      </w:ins>
      <w:r w:rsidRPr="00B66C9A">
        <w:rPr>
          <w:iCs/>
        </w:rPr>
        <w:t>stability assessment:</w:t>
      </w:r>
    </w:p>
    <w:p w14:paraId="4DB50CCB" w14:textId="77777777" w:rsidR="00146470" w:rsidRPr="00B66C9A" w:rsidRDefault="00146470" w:rsidP="00146470">
      <w:pPr>
        <w:spacing w:after="240"/>
        <w:ind w:left="1440" w:hanging="720"/>
        <w:rPr>
          <w:szCs w:val="20"/>
        </w:rPr>
      </w:pPr>
      <w:r w:rsidRPr="00B66C9A">
        <w:t>(a)</w:t>
      </w:r>
      <w:r w:rsidRPr="00B66C9A">
        <w:tab/>
        <w:t>The Large Load has met one of the following requirements:</w:t>
      </w:r>
    </w:p>
    <w:p w14:paraId="35B898AB" w14:textId="77777777" w:rsidR="00146470" w:rsidRPr="00B66C9A" w:rsidRDefault="00146470" w:rsidP="00146470">
      <w:pPr>
        <w:spacing w:after="240"/>
        <w:ind w:left="2160" w:hanging="720"/>
      </w:pPr>
      <w:r w:rsidRPr="00B66C9A">
        <w:t>(i)</w:t>
      </w:r>
      <w:r w:rsidRPr="00B66C9A">
        <w:tab/>
        <w:t xml:space="preserve">For quarterly stability assessments with a prerequisite deadline of May 1, 2026 or earlier, the Large Load has met the requirements of Section 9.9, Legacy LLIS Report and Follow-up, and Section 9.10, Legacy Interconnection Agreements and Responsibilities; </w:t>
      </w:r>
    </w:p>
    <w:p w14:paraId="05C5B88F" w14:textId="77777777" w:rsidR="00146470" w:rsidRPr="00B66C9A" w:rsidRDefault="00146470" w:rsidP="00146470">
      <w:pPr>
        <w:spacing w:after="240"/>
        <w:ind w:left="2160" w:hanging="720"/>
      </w:pPr>
      <w:r w:rsidRPr="00B66C9A">
        <w:t>(ii)</w:t>
      </w:r>
      <w:r w:rsidRPr="00B66C9A">
        <w:tab/>
        <w:t>For quarterly stability assessments with a prerequisite deadline of August 1, 2026, November 1, 2026, February 1, 2027, or May 1, 2027, the Large Load has met the requirements of paragraph (1) of Section 9.2.1.1, Eligibility Criteria for Inclusion of a Large Load as Base Load not Subject to Additional Study in the Batch Zero Process; or</w:t>
      </w:r>
    </w:p>
    <w:p w14:paraId="0D45F0A9" w14:textId="77777777" w:rsidR="00146470" w:rsidRPr="00B66C9A" w:rsidRDefault="00146470" w:rsidP="00146470">
      <w:pPr>
        <w:spacing w:after="240"/>
        <w:ind w:left="2160" w:hanging="720"/>
      </w:pPr>
      <w:r w:rsidRPr="00B66C9A">
        <w:t>(iii)</w:t>
      </w:r>
      <w:r w:rsidRPr="00B66C9A">
        <w:tab/>
        <w:t>For quarterly stability assessments with a prerequisite deadline of August 1, 2027 or later, the Large Load has met</w:t>
      </w:r>
      <w:r w:rsidRPr="00B66C9A">
        <w:rPr>
          <w:iCs/>
          <w:szCs w:val="20"/>
        </w:rPr>
        <w:t xml:space="preserve"> the requirements </w:t>
      </w:r>
      <w:r w:rsidRPr="00B66C9A">
        <w:t>of either paragraph (2) of</w:t>
      </w:r>
      <w:r w:rsidRPr="00B66C9A">
        <w:rPr>
          <w:iCs/>
          <w:szCs w:val="20"/>
        </w:rPr>
        <w:t xml:space="preserve"> Section 9.</w:t>
      </w:r>
      <w:r w:rsidRPr="00B66C9A">
        <w:t>4, Batch Zero Report and Interconnecting Large Load Entity (ILLE) Commitment</w:t>
      </w:r>
      <w:r>
        <w:t>,</w:t>
      </w:r>
      <w:r w:rsidRPr="00B66C9A">
        <w:t xml:space="preserve"> or paragraph (1) of Section 9.2.1.1;</w:t>
      </w:r>
    </w:p>
    <w:p w14:paraId="4F2E4B66" w14:textId="77777777" w:rsidR="00146470" w:rsidRPr="00B66C9A" w:rsidRDefault="00146470" w:rsidP="00146470">
      <w:pPr>
        <w:spacing w:after="240"/>
        <w:ind w:left="1440" w:hanging="720"/>
      </w:pPr>
      <w:r w:rsidRPr="00B66C9A">
        <w:t>(b)</w:t>
      </w:r>
      <w:r w:rsidRPr="00B66C9A">
        <w:tab/>
        <w:t xml:space="preserve">The </w:t>
      </w:r>
      <w:r>
        <w:t>LCP</w:t>
      </w:r>
      <w:r w:rsidRPr="00B66C9A">
        <w:t xml:space="preserve"> has been updated to reflect the results of completed studies as required by paragraph (1) of Section 9.2.4, Load Commissioning Plan;</w:t>
      </w:r>
    </w:p>
    <w:p w14:paraId="3E0F7740" w14:textId="77777777" w:rsidR="00146470" w:rsidRPr="00B66C9A" w:rsidRDefault="00146470" w:rsidP="00146470">
      <w:pPr>
        <w:spacing w:after="240"/>
        <w:ind w:left="1440" w:hanging="720"/>
      </w:pPr>
      <w:r w:rsidRPr="00B66C9A">
        <w:t>(c)</w:t>
      </w:r>
      <w:r w:rsidRPr="00B66C9A">
        <w:tab/>
        <w:t>If applicable, the Interconnecting TSP has provided to ERCOT the dynamic load model it received from the Interconnecting Large Load Entity (ILLE) per paragraph (1) of Section 9.8.4.3</w:t>
      </w:r>
      <w:r>
        <w:t xml:space="preserve"> </w:t>
      </w:r>
      <w:r w:rsidRPr="00B66C9A">
        <w:t>and written affirmation that no changes to the project information have been communicated by the ILLE, per Section 9.2.3, Modification of Large Load Information, that would invalidate the model;</w:t>
      </w:r>
    </w:p>
    <w:p w14:paraId="449CCE62" w14:textId="77777777" w:rsidR="000B7F8B" w:rsidRPr="002C111D" w:rsidRDefault="000B7F8B" w:rsidP="000B7F8B">
      <w:pPr>
        <w:spacing w:after="240"/>
        <w:ind w:left="2160" w:hanging="720"/>
      </w:pPr>
      <w:ins w:id="86" w:author="ERCOT" w:date="2026-05-01T07:48:00Z" w16du:dateUtc="2026-05-01T12:48:00Z">
        <w:r>
          <w:t>(i)</w:t>
        </w:r>
        <w:r>
          <w:tab/>
          <w:t xml:space="preserve">The interconnecting TSP shall submit the final dynamic load model to ERCOT, along with the written affirmation required under paragraph (5)(c) above, at least 45 days prior to the qualifying stability assessment deadline described in paragraph (2) above.  </w:t>
        </w:r>
        <w:r w:rsidRPr="002D5A70">
          <w:t>If ERCOT is unable to complete its review prior to the qualifying stability assessment deadline, ERCOT shall not include the Large Load or Load modification in that qualifying stability assessment.</w:t>
        </w:r>
      </w:ins>
    </w:p>
    <w:p w14:paraId="725E9B01" w14:textId="77777777" w:rsidR="00146470" w:rsidRPr="00B66C9A" w:rsidRDefault="00146470" w:rsidP="00146470">
      <w:pPr>
        <w:spacing w:after="240"/>
        <w:ind w:left="1440" w:hanging="720"/>
        <w:rPr>
          <w:szCs w:val="20"/>
        </w:rPr>
      </w:pPr>
      <w:r w:rsidRPr="00B66C9A">
        <w:rPr>
          <w:szCs w:val="20"/>
        </w:rPr>
        <w:lastRenderedPageBreak/>
        <w:t>(d)</w:t>
      </w:r>
      <w:r w:rsidRPr="00B66C9A">
        <w:rPr>
          <w:szCs w:val="20"/>
        </w:rPr>
        <w:tab/>
        <w:t xml:space="preserve">The </w:t>
      </w:r>
      <w:r w:rsidRPr="00B66C9A">
        <w:t>Reactive Power Study, if required according to Protocol Section 3.15, Voltage Support,</w:t>
      </w:r>
      <w:r w:rsidRPr="00B66C9A" w:rsidDel="00FC6FF4">
        <w:rPr>
          <w:szCs w:val="20"/>
        </w:rPr>
        <w:t xml:space="preserve"> </w:t>
      </w:r>
      <w:r w:rsidRPr="00B66C9A">
        <w:rPr>
          <w:szCs w:val="20"/>
        </w:rPr>
        <w:t>must be complete; and</w:t>
      </w:r>
    </w:p>
    <w:p w14:paraId="326D5D84" w14:textId="77777777" w:rsidR="00146470" w:rsidRPr="00CD7014" w:rsidRDefault="00146470" w:rsidP="00146470">
      <w:pPr>
        <w:spacing w:after="240"/>
        <w:ind w:left="1440" w:hanging="720"/>
        <w:rPr>
          <w:szCs w:val="20"/>
        </w:rPr>
      </w:pPr>
      <w:r w:rsidRPr="00B66C9A">
        <w:t>(e)</w:t>
      </w:r>
      <w:r w:rsidRPr="00B66C9A">
        <w:tab/>
        <w:t>The data used in the studies identified in paragraph (c) above is consistent with data used in the final LLIS studies approved per Section 9.9 or completed Batch Zero Interconnection Study as described in Section 9.3, as applicable.</w:t>
      </w:r>
    </w:p>
    <w:p w14:paraId="28A95703" w14:textId="68120915" w:rsidR="00146470" w:rsidRPr="00CD7014" w:rsidRDefault="00146470" w:rsidP="00146470">
      <w:pPr>
        <w:spacing w:after="240"/>
        <w:ind w:left="720" w:hanging="720"/>
        <w:rPr>
          <w:iCs/>
        </w:rPr>
      </w:pPr>
      <w:r w:rsidRPr="00CD7014">
        <w:rPr>
          <w:iCs/>
        </w:rPr>
        <w:t>(</w:t>
      </w:r>
      <w:r>
        <w:rPr>
          <w:iCs/>
        </w:rPr>
        <w:t>6</w:t>
      </w:r>
      <w:r w:rsidRPr="00CD7014">
        <w:rPr>
          <w:iCs/>
        </w:rPr>
        <w:t>)</w:t>
      </w:r>
      <w:r w:rsidRPr="00CD7014">
        <w:rPr>
          <w:iCs/>
        </w:rPr>
        <w:tab/>
      </w:r>
      <w:r w:rsidRPr="002C111D">
        <w:rPr>
          <w:iCs/>
        </w:rPr>
        <w:t>At any time following the inclusion of a large generator or applicable Large Load in a stability assessment, but before the Initial Synchronization of the generator</w:t>
      </w:r>
      <w:r w:rsidRPr="002C111D">
        <w:t xml:space="preserve"> or Initial Energization of the Large Load</w:t>
      </w:r>
      <w:r w:rsidRPr="002C111D">
        <w:rPr>
          <w:iCs/>
        </w:rPr>
        <w:t>, if ERCOT determines, in its sole discretion, that the generator</w:t>
      </w:r>
      <w:r w:rsidRPr="002C111D">
        <w:t xml:space="preserve"> or Large Load</w:t>
      </w:r>
      <w:r w:rsidRPr="002C111D">
        <w:rPr>
          <w:iCs/>
        </w:rPr>
        <w:t xml:space="preserve"> no longer meets the prerequisites described in paragraphs (4) or (5) above, or that an IE or ILLE has made a change to the design of the generator or Large Load that could have a material impact on ERCOT System stability, then ERCOT may refuse to allow Initial Synchronization of the generator</w:t>
      </w:r>
      <w:r w:rsidRPr="002C111D">
        <w:t xml:space="preserve"> or Initial Energization of the Large Load.</w:t>
      </w:r>
      <w:r>
        <w:t xml:space="preserve"> </w:t>
      </w:r>
      <w:r w:rsidRPr="002C111D">
        <w:rPr>
          <w:iCs/>
        </w:rPr>
        <w:t xml:space="preserve"> ERCOT shall include the generator or Large Load in the next </w:t>
      </w:r>
      <w:del w:id="87" w:author="ERCOT" w:date="2026-08-10T22:47:00Z" w16du:dateUtc="2026-08-11T03:47:00Z">
        <w:r w:rsidRPr="002C111D" w:rsidDel="00FF7059">
          <w:rPr>
            <w:iCs/>
          </w:rPr>
          <w:delText xml:space="preserve">quarterly </w:delText>
        </w:r>
      </w:del>
      <w:ins w:id="88" w:author="ERCOT" w:date="2026-08-10T22:47:00Z" w16du:dateUtc="2026-08-11T03:47:00Z">
        <w:r w:rsidR="00FF7059">
          <w:rPr>
            <w:iCs/>
          </w:rPr>
          <w:t xml:space="preserve">qualifying </w:t>
        </w:r>
      </w:ins>
      <w:r w:rsidRPr="002C111D">
        <w:rPr>
          <w:iCs/>
        </w:rPr>
        <w:t>stability assessment period that commences after identification of the material change or after the generator or Large Load meets the prerequisites specified in paragraphs (4) or (5) above, as applicable.  If ERCOT determines, in its sole discretion, that the change to the design of the generator or Large Load would not have a material impact on ERCOT System stability, then ERCOT may not refuse to allow Initial Synchronization of the generator</w:t>
      </w:r>
      <w:r w:rsidRPr="002C111D">
        <w:t xml:space="preserve"> or Initial Energization of the Large Load</w:t>
      </w:r>
      <w:r w:rsidRPr="002C111D">
        <w:rPr>
          <w:iCs/>
        </w:rPr>
        <w:t xml:space="preserve"> due to this change.</w:t>
      </w:r>
    </w:p>
    <w:p w14:paraId="037BE190" w14:textId="64AD9D0E" w:rsidR="00146470" w:rsidRDefault="00146470" w:rsidP="00146470">
      <w:pPr>
        <w:spacing w:after="240"/>
        <w:ind w:left="720" w:hanging="720"/>
      </w:pPr>
      <w:r w:rsidRPr="00CD7014">
        <w:t>(</w:t>
      </w:r>
      <w:r>
        <w:t>7</w:t>
      </w:r>
      <w:r w:rsidRPr="00CD7014">
        <w:t>)</w:t>
      </w:r>
      <w:r w:rsidRPr="00CD7014">
        <w:tab/>
        <w:t xml:space="preserve">ERCOT shall post to the </w:t>
      </w:r>
      <w:r w:rsidRPr="00B35D2D">
        <w:t>MIS</w:t>
      </w:r>
      <w:r w:rsidRPr="00CD7014">
        <w:t xml:space="preserve"> Secure Area a report summarizing the results of the </w:t>
      </w:r>
      <w:del w:id="89" w:author="ERCOT" w:date="2026-08-10T22:47:00Z" w16du:dateUtc="2026-08-11T03:47:00Z">
        <w:r w:rsidRPr="00CD7014" w:rsidDel="00FF7059">
          <w:delText xml:space="preserve">quarterly </w:delText>
        </w:r>
      </w:del>
      <w:ins w:id="90" w:author="ERCOT" w:date="2026-08-10T22:47:00Z" w16du:dateUtc="2026-08-11T03:47:00Z">
        <w:r w:rsidR="00FF7059">
          <w:t xml:space="preserve">qualifying </w:t>
        </w:r>
      </w:ins>
      <w:r w:rsidRPr="00CD7014">
        <w:t xml:space="preserve">stability assessment within ten </w:t>
      </w:r>
      <w:r w:rsidRPr="00DF01FB">
        <w:rPr>
          <w:iCs/>
        </w:rPr>
        <w:t>Business</w:t>
      </w:r>
      <w:r w:rsidRPr="00CD7014">
        <w:t xml:space="preserve"> Days of completion.</w:t>
      </w:r>
    </w:p>
    <w:p w14:paraId="760C47A6" w14:textId="77777777" w:rsidR="00775B5B" w:rsidRDefault="00775B5B" w:rsidP="00775B5B">
      <w:pPr>
        <w:pStyle w:val="H2"/>
      </w:pPr>
      <w:bookmarkStart w:id="91" w:name="_Toc220592727"/>
      <w:commentRangeStart w:id="92"/>
      <w:r>
        <w:t>5.5</w:t>
      </w:r>
      <w:commentRangeEnd w:id="92"/>
      <w:r w:rsidR="00344376" w:rsidRPr="00DF4AA8">
        <w:rPr>
          <w:rStyle w:val="CommentReference"/>
          <w:sz w:val="24"/>
          <w:szCs w:val="20"/>
        </w:rPr>
        <w:commentReference w:id="92"/>
      </w:r>
      <w:r w:rsidRPr="00DF4AA8">
        <w:tab/>
      </w:r>
      <w:r>
        <w:t>Generator Commissioning and Continuing Operations</w:t>
      </w:r>
      <w:bookmarkEnd w:id="91"/>
    </w:p>
    <w:p w14:paraId="502599F9" w14:textId="77777777" w:rsidR="00775B5B" w:rsidRDefault="00775B5B" w:rsidP="00775B5B">
      <w:pPr>
        <w:pStyle w:val="BodyTextNumbered"/>
      </w:pPr>
      <w:r>
        <w:t>(1)</w:t>
      </w:r>
      <w:r>
        <w:tab/>
        <w:t xml:space="preserve">For each interconnecting Generation Resource or Energy Storage Resource (ESR), each Interconnecting Entity (IE) shall meet the conditions established by ERCOT before proceeding to Initial </w:t>
      </w:r>
      <w:r w:rsidRPr="000905FA">
        <w:rPr>
          <w:szCs w:val="24"/>
        </w:rPr>
        <w:t>Energization</w:t>
      </w:r>
      <w:r w:rsidRPr="00463CDF">
        <w:t>, Initial Synchronization, and commercial operations</w:t>
      </w:r>
      <w:r>
        <w:t>.  These conditions may require p</w:t>
      </w:r>
      <w:r w:rsidRPr="004C7702">
        <w:t xml:space="preserve">roof of meeting </w:t>
      </w:r>
      <w:r>
        <w:t xml:space="preserve">applicable </w:t>
      </w:r>
      <w:r w:rsidRPr="004C7702">
        <w:t>ERCOT requirements</w:t>
      </w:r>
      <w:r>
        <w:t xml:space="preserve">, which may include, but are not limited to, </w:t>
      </w:r>
      <w:r w:rsidRPr="004C7702">
        <w:t>reactive</w:t>
      </w:r>
      <w:r>
        <w:t xml:space="preserve"> capability</w:t>
      </w:r>
      <w:r w:rsidRPr="004C7702">
        <w:t xml:space="preserve">, </w:t>
      </w:r>
      <w:r>
        <w:t>v</w:t>
      </w:r>
      <w:r w:rsidRPr="000F5575">
        <w:t xml:space="preserve">oltage </w:t>
      </w:r>
      <w:r>
        <w:t>r</w:t>
      </w:r>
      <w:r w:rsidRPr="000F5575">
        <w:t>ide-</w:t>
      </w:r>
      <w:r>
        <w:t>t</w:t>
      </w:r>
      <w:r w:rsidRPr="000F5575">
        <w:t>hrough</w:t>
      </w:r>
      <w:r w:rsidRPr="005275BA">
        <w:t xml:space="preserve"> standards, </w:t>
      </w:r>
      <w:r>
        <w:t>dynamic</w:t>
      </w:r>
      <w:r w:rsidRPr="005275BA">
        <w:t xml:space="preserve"> model</w:t>
      </w:r>
      <w:r>
        <w:t xml:space="preserve"> template submission</w:t>
      </w:r>
      <w:r w:rsidRPr="005275BA">
        <w:t xml:space="preserve">, </w:t>
      </w:r>
      <w:r>
        <w:t xml:space="preserve">Automatic Voltage Regulator (AVR), Primary Frequency Response, </w:t>
      </w:r>
      <w:r w:rsidRPr="005275BA">
        <w:t>Power System Stabilizer (PSS)</w:t>
      </w:r>
      <w:r w:rsidRPr="003C6F5B">
        <w:t>, Subsynchronous Resonance (</w:t>
      </w:r>
      <w:r w:rsidRPr="00215FAA">
        <w:t>SSR) models</w:t>
      </w:r>
      <w:r>
        <w:t xml:space="preserve">, and </w:t>
      </w:r>
      <w:r w:rsidRPr="00001AFD">
        <w:t>telemetry.</w:t>
      </w:r>
    </w:p>
    <w:p w14:paraId="4D90CA3C" w14:textId="77777777" w:rsidR="00775B5B" w:rsidRPr="00D83983" w:rsidRDefault="00775B5B" w:rsidP="00775B5B">
      <w:pPr>
        <w:widowControl w:val="0"/>
        <w:tabs>
          <w:tab w:val="left" w:pos="720"/>
        </w:tabs>
        <w:autoSpaceDE w:val="0"/>
        <w:autoSpaceDN w:val="0"/>
        <w:spacing w:after="240"/>
        <w:ind w:left="720" w:hanging="720"/>
        <w:rPr>
          <w:iCs/>
          <w:szCs w:val="20"/>
        </w:rPr>
      </w:pPr>
      <w:r>
        <w:rPr>
          <w:iCs/>
          <w:szCs w:val="20"/>
        </w:rPr>
        <w:t>(2)</w:t>
      </w:r>
      <w:r>
        <w:rPr>
          <w:iCs/>
          <w:szCs w:val="20"/>
        </w:rPr>
        <w:tab/>
      </w:r>
      <w:r w:rsidRPr="00D83983">
        <w:rPr>
          <w:iCs/>
          <w:szCs w:val="20"/>
        </w:rPr>
        <w:t>Before ERCOT approves Initial Energization for a project that will consume Load other than Wholesale Storage Load (WSL) and that is not behind a Non-Opt-In Entity (NOIE) tie meter:</w:t>
      </w:r>
    </w:p>
    <w:p w14:paraId="46AB4566" w14:textId="77777777" w:rsidR="00775B5B" w:rsidRPr="006B3496" w:rsidRDefault="00775B5B" w:rsidP="00775B5B">
      <w:pPr>
        <w:pStyle w:val="ListParagraph"/>
        <w:widowControl w:val="0"/>
        <w:tabs>
          <w:tab w:val="left" w:pos="940"/>
        </w:tabs>
        <w:autoSpaceDE w:val="0"/>
        <w:autoSpaceDN w:val="0"/>
        <w:spacing w:after="240" w:line="240" w:lineRule="auto"/>
        <w:ind w:left="1440" w:right="590" w:hanging="720"/>
        <w:rPr>
          <w:rFonts w:ascii="Times New Roman" w:eastAsia="Times New Roman" w:hAnsi="Times New Roman"/>
          <w:iCs/>
          <w:sz w:val="24"/>
          <w:szCs w:val="20"/>
        </w:rPr>
      </w:pPr>
      <w:r w:rsidRPr="006B3496">
        <w:rPr>
          <w:rFonts w:ascii="Times New Roman" w:eastAsia="Times New Roman" w:hAnsi="Times New Roman"/>
          <w:iCs/>
          <w:sz w:val="24"/>
          <w:szCs w:val="20"/>
        </w:rPr>
        <w:t>(a)</w:t>
      </w:r>
      <w:r w:rsidRPr="006B3496">
        <w:rPr>
          <w:rFonts w:ascii="Times New Roman" w:eastAsia="Times New Roman" w:hAnsi="Times New Roman"/>
          <w:iCs/>
          <w:sz w:val="24"/>
          <w:szCs w:val="20"/>
        </w:rPr>
        <w:tab/>
        <w:t xml:space="preserve">The Resource Entity must request an Electric Service Identifier(s) (ESI ID(s)) from the Distribution Service Provider(s) (DSP(s)) that will be serving the Load at the Resource site and provide the ESI ID(s) to ERCOT, as described in paragraph (2) of Protocol Section 10.3.2, ERCOT-Polled Settlement Meters; and </w:t>
      </w:r>
      <w:bookmarkStart w:id="93" w:name="_Hlk155540780"/>
      <w:r w:rsidRPr="006B3496">
        <w:rPr>
          <w:rFonts w:ascii="Times New Roman" w:eastAsia="Times New Roman" w:hAnsi="Times New Roman"/>
          <w:iCs/>
          <w:sz w:val="24"/>
          <w:szCs w:val="20"/>
        </w:rPr>
        <w:br/>
      </w:r>
    </w:p>
    <w:p w14:paraId="33923F95" w14:textId="77777777" w:rsidR="00775B5B" w:rsidRPr="006B3496" w:rsidRDefault="00775B5B" w:rsidP="00775B5B">
      <w:pPr>
        <w:pStyle w:val="ListParagraph"/>
        <w:widowControl w:val="0"/>
        <w:tabs>
          <w:tab w:val="left" w:pos="940"/>
        </w:tabs>
        <w:autoSpaceDE w:val="0"/>
        <w:autoSpaceDN w:val="0"/>
        <w:spacing w:after="240" w:line="240" w:lineRule="auto"/>
        <w:ind w:left="1440" w:right="590" w:hanging="720"/>
        <w:rPr>
          <w:rFonts w:ascii="Times New Roman" w:eastAsia="Times New Roman" w:hAnsi="Times New Roman"/>
          <w:iCs/>
          <w:sz w:val="24"/>
          <w:szCs w:val="20"/>
        </w:rPr>
      </w:pPr>
      <w:r w:rsidRPr="006B3496">
        <w:rPr>
          <w:rFonts w:ascii="Times New Roman" w:eastAsia="Times New Roman" w:hAnsi="Times New Roman"/>
          <w:iCs/>
          <w:sz w:val="24"/>
          <w:szCs w:val="20"/>
        </w:rPr>
        <w:lastRenderedPageBreak/>
        <w:t>(b)</w:t>
      </w:r>
      <w:r w:rsidRPr="006B3496">
        <w:rPr>
          <w:rFonts w:ascii="Times New Roman" w:eastAsia="Times New Roman" w:hAnsi="Times New Roman"/>
          <w:iCs/>
          <w:sz w:val="24"/>
          <w:szCs w:val="20"/>
        </w:rPr>
        <w:tab/>
        <w:t xml:space="preserve">These ESI ID(s) must be established in the ERCOT Settlement system in a state that allows for the Load to be properly settled to the appropriate Qualified Scheduling Entity (QSE). </w:t>
      </w:r>
      <w:bookmarkEnd w:id="93"/>
    </w:p>
    <w:p w14:paraId="0C9E15B1" w14:textId="77777777" w:rsidR="00775B5B" w:rsidRDefault="00775B5B" w:rsidP="00775B5B">
      <w:pPr>
        <w:pStyle w:val="BodyTextNumbered"/>
      </w:pPr>
      <w:r>
        <w:t>(3)</w:t>
      </w:r>
      <w:r>
        <w:tab/>
        <w:t xml:space="preserve">Within 300 days of receiving ERCOT’s approval for Initial Synchronization above 20 MVA of a new or repowered Generation Resource or ESR, a Resource Entity shall ensure the Resource meets the conditions established by ERCOT for commercial operations and shall submit a request to ERCOT to commission the Resource.   </w:t>
      </w:r>
    </w:p>
    <w:p w14:paraId="27B2E39F" w14:textId="77777777" w:rsidR="00775B5B" w:rsidRDefault="00775B5B" w:rsidP="00775B5B">
      <w:pPr>
        <w:pStyle w:val="BodyTextNumbered"/>
        <w:ind w:left="1530" w:hanging="810"/>
      </w:pPr>
      <w:r>
        <w:t>(a)</w:t>
      </w:r>
      <w:r>
        <w:tab/>
        <w:t xml:space="preserve">In the event a Generation Resource or ESR will be unable to complete all necessary construction and required testing to commence commercial operations and connect reliably to the ERCOT </w:t>
      </w:r>
      <w:r w:rsidRPr="00A34E85">
        <w:t>System within the 300 days, the Generation Resource or ESR may request a good cause exception with sufficient detail, and shall notify ERCOT</w:t>
      </w:r>
      <w:r w:rsidRPr="00A569BC">
        <w:t xml:space="preserve"> </w:t>
      </w:r>
      <w:r>
        <w:t>prior to the planned commercial operation date and provide ERCOT with an updated commercial operation date that the Generation Resource or ESR can reasonably expect to commence operations in a reliable manner.</w:t>
      </w:r>
    </w:p>
    <w:p w14:paraId="14D306B5" w14:textId="1A01B2B1" w:rsidR="00775B5B" w:rsidRDefault="00775B5B" w:rsidP="00775B5B">
      <w:pPr>
        <w:pStyle w:val="BodyTextNumbered"/>
      </w:pPr>
      <w:r>
        <w:t>(4)</w:t>
      </w:r>
      <w:r>
        <w:tab/>
      </w:r>
      <w:r w:rsidRPr="00104AE8">
        <w:t>Prior to the Resource Commissioning Date of an</w:t>
      </w:r>
      <w:r>
        <w:t xml:space="preserve"> Inverter-Based Resource (</w:t>
      </w:r>
      <w:r w:rsidRPr="00104AE8">
        <w:t>IBR</w:t>
      </w:r>
      <w:r>
        <w:t>)</w:t>
      </w:r>
      <w:r w:rsidRPr="00104AE8">
        <w:t xml:space="preserve">, the IE associated with the IBR shall submit the appropriate dynamic models for the “as-built” data and the data submitted for the </w:t>
      </w:r>
      <w:ins w:id="94" w:author="ERCOT" w:date="2026-05-01T07:45:00Z" w16du:dateUtc="2026-05-01T12:45:00Z">
        <w:r w:rsidR="00D80A3B">
          <w:rPr>
            <w:szCs w:val="24"/>
          </w:rPr>
          <w:t>qualifying</w:t>
        </w:r>
      </w:ins>
      <w:del w:id="95" w:author="ERCOT" w:date="2026-05-01T07:45:00Z" w16du:dateUtc="2026-05-01T12:45:00Z">
        <w:r w:rsidRPr="00104AE8" w:rsidDel="00D80A3B">
          <w:delText>quarterly</w:delText>
        </w:r>
      </w:del>
      <w:r w:rsidRPr="00104AE8">
        <w:t xml:space="preserve"> stability assessment, documentation clearly indicating any differences, results of the model quality tests of the “as-built” data overlaid with the results of the data submitted for the </w:t>
      </w:r>
      <w:ins w:id="96" w:author="ERCOT" w:date="2026-05-01T07:45:00Z" w16du:dateUtc="2026-05-01T12:45:00Z">
        <w:r w:rsidR="00D80A3B">
          <w:rPr>
            <w:szCs w:val="24"/>
          </w:rPr>
          <w:t>qualifying</w:t>
        </w:r>
      </w:ins>
      <w:del w:id="97" w:author="ERCOT" w:date="2026-05-01T07:45:00Z" w16du:dateUtc="2026-05-01T12:45:00Z">
        <w:r w:rsidRPr="00104AE8" w:rsidDel="00D80A3B">
          <w:delText>quarterly</w:delText>
        </w:r>
      </w:del>
      <w:r w:rsidRPr="00104AE8">
        <w:t xml:space="preserve"> stability assessment, and associated simulation files pursuant to paragraph (5)(c) of Section 6.2, Dynamics Model Development.  Submissions shall be sent electronically to </w:t>
      </w:r>
      <w:hyperlink r:id="rId24" w:history="1">
        <w:r w:rsidRPr="000E567E">
          <w:rPr>
            <w:rStyle w:val="Hyperlink"/>
          </w:rPr>
          <w:t>Dynamicmodels@ercot.com</w:t>
        </w:r>
      </w:hyperlink>
      <w:r w:rsidRPr="00104AE8">
        <w:t xml:space="preserve"> for ERCOT review, and the phrase "IBR prior to commissioning" must be included in the subject line of the submission email.  ERCOT shall respond to the IE within </w:t>
      </w:r>
      <w:r>
        <w:t>ten</w:t>
      </w:r>
      <w:r w:rsidRPr="00104AE8">
        <w:t xml:space="preserve"> Business Days of the submission, indicating whether the submission is acceptable or if additional information is required.  If additional time is needed for review, ERCOT can extend this review period by an additional 20 Business Days, and an email will be sent to notify the IE that it needs additional time to review the submission</w:t>
      </w:r>
      <w:r>
        <w:t>.  The time for ERCOT to review models and associated documentation will be a qualified cause to extend the allowed time to complete the conditions established by ERCOT for commercial operations.</w:t>
      </w:r>
    </w:p>
    <w:p w14:paraId="7EB50D37" w14:textId="77777777" w:rsidR="00775B5B" w:rsidRDefault="00775B5B" w:rsidP="00775B5B">
      <w:pPr>
        <w:pStyle w:val="BodyTextNumbered"/>
      </w:pPr>
      <w:r>
        <w:t>(5)</w:t>
      </w:r>
      <w:r>
        <w:tab/>
      </w:r>
      <w:r w:rsidRPr="00576B24">
        <w:t xml:space="preserve">No later than 30 days following the Resource Commissioning Date, the </w:t>
      </w:r>
      <w:r>
        <w:t>Resource Entity</w:t>
      </w:r>
      <w:r w:rsidRPr="00576B24">
        <w:t xml:space="preserve"> shall submit updates to the resource dynamic planning </w:t>
      </w:r>
      <w:r>
        <w:t xml:space="preserve">and operations </w:t>
      </w:r>
      <w:r w:rsidRPr="00576B24">
        <w:t xml:space="preserve">models </w:t>
      </w:r>
      <w:r w:rsidRPr="00104AE8">
        <w:t xml:space="preserve">through the online Resource Integration and Ongoing Operations (RIOO) system </w:t>
      </w:r>
      <w:r w:rsidRPr="00576B24">
        <w:t xml:space="preserve">based on “as-built” data and provide a plant verification report as required by paragraph (5)(b) of Section 6.2.  Pursuant to paragraph (5)(c) of Section 6.2, </w:t>
      </w:r>
      <w:r>
        <w:t>the Resource Entity shall include</w:t>
      </w:r>
      <w:r w:rsidRPr="00576B24">
        <w:t xml:space="preserve"> model updates</w:t>
      </w:r>
      <w:r>
        <w:t xml:space="preserve"> with model quality tests</w:t>
      </w:r>
      <w:r w:rsidRPr="00001AFD">
        <w:t>.</w:t>
      </w:r>
    </w:p>
    <w:p w14:paraId="02C8F16B" w14:textId="77777777" w:rsidR="00775B5B" w:rsidRDefault="00775B5B" w:rsidP="00775B5B">
      <w:pPr>
        <w:pStyle w:val="BodyTextNumbered"/>
      </w:pPr>
      <w:r>
        <w:t>(6)</w:t>
      </w:r>
      <w:r>
        <w:tab/>
        <w:t>During continuing operations:</w:t>
      </w:r>
    </w:p>
    <w:p w14:paraId="71E241DA" w14:textId="77777777" w:rsidR="00775B5B" w:rsidRPr="00104AE8" w:rsidRDefault="00775B5B" w:rsidP="00775B5B">
      <w:pPr>
        <w:spacing w:after="240"/>
        <w:ind w:left="1440" w:hanging="720"/>
      </w:pPr>
      <w:r>
        <w:t>(</w:t>
      </w:r>
      <w:r w:rsidRPr="00104AE8">
        <w:t>a)</w:t>
      </w:r>
      <w:r w:rsidRPr="00104AE8">
        <w:tab/>
        <w:t xml:space="preserve">Prior to the implementation of modification to </w:t>
      </w:r>
      <w:r>
        <w:t xml:space="preserve">any control settings or </w:t>
      </w:r>
      <w:r w:rsidRPr="00104AE8">
        <w:t xml:space="preserve">equipment </w:t>
      </w:r>
      <w:r>
        <w:t>of an</w:t>
      </w:r>
      <w:r w:rsidRPr="00104AE8">
        <w:t xml:space="preserve"> IBR that </w:t>
      </w:r>
      <w:r>
        <w:t xml:space="preserve">impacts the dynamic response </w:t>
      </w:r>
      <w:r w:rsidRPr="00D90D3A">
        <w:t>(</w:t>
      </w:r>
      <w:r>
        <w:t>such as</w:t>
      </w:r>
      <w:r w:rsidRPr="00D90D3A">
        <w:t xml:space="preserve"> voltage, frequency, and current injections)</w:t>
      </w:r>
      <w:r>
        <w:t xml:space="preserve"> at the Point of Interconnection (POI), </w:t>
      </w:r>
      <w:r w:rsidRPr="00104AE8">
        <w:t xml:space="preserve">the proposed </w:t>
      </w:r>
      <w:r w:rsidRPr="00104AE8">
        <w:lastRenderedPageBreak/>
        <w:t>modification shall be reviewed by the interconnecting Transmission Service Provider (TSP) and ERCOT</w:t>
      </w:r>
      <w:r>
        <w:t>:</w:t>
      </w:r>
    </w:p>
    <w:p w14:paraId="100539F1" w14:textId="77777777" w:rsidR="00775B5B" w:rsidRPr="00104AE8" w:rsidRDefault="00775B5B" w:rsidP="00775B5B">
      <w:pPr>
        <w:spacing w:after="240"/>
        <w:ind w:left="2160" w:hanging="720"/>
        <w:rPr>
          <w:szCs w:val="20"/>
        </w:rPr>
      </w:pPr>
      <w:r w:rsidRPr="00104AE8">
        <w:rPr>
          <w:szCs w:val="20"/>
        </w:rPr>
        <w:t>(i)</w:t>
      </w:r>
      <w:r w:rsidRPr="00104AE8">
        <w:rPr>
          <w:szCs w:val="20"/>
        </w:rPr>
        <w:tab/>
      </w:r>
      <w:bookmarkStart w:id="98" w:name="_Hlk136596600"/>
      <w:r w:rsidRPr="00104AE8">
        <w:rPr>
          <w:szCs w:val="20"/>
        </w:rPr>
        <w:t xml:space="preserve">The Resource Entity shall submit the appropriate dynamic model for the proposed modification, results of the model quality tests overlaid with the results before the modification, and associated simulation files pursuant to paragraph (5)(c) of Section 6.2.  </w:t>
      </w:r>
      <w:r w:rsidRPr="00104AE8">
        <w:t xml:space="preserve">Submissions shall be sent electronically to </w:t>
      </w:r>
      <w:hyperlink r:id="rId25" w:history="1">
        <w:r w:rsidRPr="00104AE8">
          <w:rPr>
            <w:color w:val="0000FF"/>
            <w:szCs w:val="20"/>
            <w:u w:val="single"/>
          </w:rPr>
          <w:t>Dynamicmodels@ercot.com</w:t>
        </w:r>
      </w:hyperlink>
      <w:r w:rsidRPr="00104AE8">
        <w:rPr>
          <w:szCs w:val="20"/>
        </w:rPr>
        <w:t xml:space="preserve"> for ERCOT review, and the phrase "IBR proposed modification" must be included in the subject line of the submission email.</w:t>
      </w:r>
      <w:r w:rsidRPr="00104AE8">
        <w:t xml:space="preserve">  The Resource Entity may withdraw its modification plan at any time during the review process if the Resource Entity no longer wishes to proceed with the modification</w:t>
      </w:r>
      <w:r w:rsidRPr="00104AE8">
        <w:rPr>
          <w:szCs w:val="20"/>
        </w:rPr>
        <w:t>.</w:t>
      </w:r>
    </w:p>
    <w:p w14:paraId="338C92C4" w14:textId="77777777" w:rsidR="00775B5B" w:rsidRPr="00104AE8" w:rsidRDefault="00775B5B" w:rsidP="00775B5B">
      <w:pPr>
        <w:spacing w:after="240"/>
        <w:ind w:left="2160" w:hanging="720"/>
        <w:rPr>
          <w:szCs w:val="20"/>
        </w:rPr>
      </w:pPr>
      <w:bookmarkStart w:id="99" w:name="_Hlk136623529"/>
      <w:r w:rsidRPr="00104AE8">
        <w:rPr>
          <w:szCs w:val="20"/>
        </w:rPr>
        <w:t>(ii)</w:t>
      </w:r>
      <w:r w:rsidRPr="00104AE8">
        <w:rPr>
          <w:szCs w:val="20"/>
        </w:rPr>
        <w:tab/>
        <w:t xml:space="preserve">ERCOT shall respond to the Resource Entity within </w:t>
      </w:r>
      <w:r>
        <w:rPr>
          <w:szCs w:val="20"/>
        </w:rPr>
        <w:t>ten</w:t>
      </w:r>
      <w:r w:rsidRPr="00104AE8">
        <w:rPr>
          <w:szCs w:val="20"/>
        </w:rPr>
        <w:t xml:space="preserve"> Business Days of the submission in paragraph (i) above, indicating whether the submission is acceptable or if additional information is required.  ERCOT can extend this review period by an additional 20 Business Days, and an email will be sent to notify the Resource Entity that it needs additional time to review the submission. </w:t>
      </w:r>
    </w:p>
    <w:p w14:paraId="32E7363B" w14:textId="77777777" w:rsidR="00775B5B" w:rsidRDefault="00775B5B" w:rsidP="00775B5B">
      <w:pPr>
        <w:spacing w:after="240"/>
        <w:ind w:left="2160" w:hanging="720"/>
        <w:rPr>
          <w:szCs w:val="20"/>
        </w:rPr>
      </w:pPr>
      <w:r w:rsidRPr="00104AE8">
        <w:rPr>
          <w:szCs w:val="20"/>
        </w:rPr>
        <w:t>(iii)</w:t>
      </w:r>
      <w:r w:rsidRPr="00104AE8">
        <w:rPr>
          <w:szCs w:val="20"/>
        </w:rPr>
        <w:tab/>
        <w:t>Upon completing its review of the model quality tests, ERCOT shall notify the Resource Entity and the interconnecting TSP of its determination.  The notification will indicate one of the following:</w:t>
      </w:r>
    </w:p>
    <w:p w14:paraId="6B1844C8" w14:textId="77777777" w:rsidR="00775B5B" w:rsidRDefault="00775B5B" w:rsidP="00775B5B">
      <w:pPr>
        <w:spacing w:after="240"/>
        <w:ind w:left="2880" w:hanging="720"/>
        <w:rPr>
          <w:szCs w:val="20"/>
        </w:rPr>
      </w:pPr>
      <w:r>
        <w:rPr>
          <w:szCs w:val="20"/>
        </w:rPr>
        <w:t>(A)</w:t>
      </w:r>
      <w:r>
        <w:rPr>
          <w:szCs w:val="20"/>
        </w:rPr>
        <w:tab/>
        <w:t>ERCOT recommends that the interconnecting TSP conduct a limited dynamic stability study comparing electrical performance before and after the proposed modification, and reasonably evaluate whether the proposed modification may present dynamic stability risks that should be subject to further study.</w:t>
      </w:r>
    </w:p>
    <w:p w14:paraId="1D139436" w14:textId="77777777" w:rsidR="00775B5B" w:rsidRDefault="00775B5B" w:rsidP="00775B5B">
      <w:pPr>
        <w:spacing w:after="240"/>
        <w:ind w:left="2880" w:hanging="720"/>
        <w:rPr>
          <w:szCs w:val="20"/>
        </w:rPr>
      </w:pPr>
      <w:r>
        <w:rPr>
          <w:szCs w:val="20"/>
        </w:rPr>
        <w:t>(B)</w:t>
      </w:r>
      <w:r>
        <w:rPr>
          <w:szCs w:val="20"/>
        </w:rPr>
        <w:tab/>
        <w:t>The proposed modification is applicable to paragraph (1)(c)(iii) of Section 5.2.1, Applicability.  The Resource Entity shall initiate a Generator Interconnection or Modification (GIM) request through RIOO.</w:t>
      </w:r>
    </w:p>
    <w:p w14:paraId="1329904B" w14:textId="77777777" w:rsidR="00775B5B" w:rsidRDefault="00775B5B" w:rsidP="00775B5B">
      <w:pPr>
        <w:spacing w:after="240"/>
        <w:ind w:left="2880" w:hanging="720"/>
        <w:rPr>
          <w:szCs w:val="20"/>
        </w:rPr>
      </w:pPr>
      <w:r>
        <w:rPr>
          <w:szCs w:val="20"/>
        </w:rPr>
        <w:t>(C)</w:t>
      </w:r>
      <w:r>
        <w:rPr>
          <w:szCs w:val="20"/>
        </w:rPr>
        <w:tab/>
        <w:t>The proposed modification is deemed unacceptable.</w:t>
      </w:r>
    </w:p>
    <w:p w14:paraId="3C915B52" w14:textId="77777777" w:rsidR="00775B5B" w:rsidRDefault="00775B5B" w:rsidP="00775B5B">
      <w:pPr>
        <w:spacing w:after="240"/>
        <w:ind w:left="2880" w:hanging="720"/>
        <w:rPr>
          <w:szCs w:val="20"/>
        </w:rPr>
      </w:pPr>
      <w:r>
        <w:rPr>
          <w:szCs w:val="20"/>
        </w:rPr>
        <w:t>(D)</w:t>
      </w:r>
      <w:r>
        <w:rPr>
          <w:szCs w:val="20"/>
        </w:rPr>
        <w:tab/>
        <w:t xml:space="preserve">The proposed modification is deemed acceptable without need for a dynamic stability study. </w:t>
      </w:r>
    </w:p>
    <w:p w14:paraId="2F693CF8" w14:textId="77777777" w:rsidR="00775B5B" w:rsidRPr="00104AE8" w:rsidRDefault="00775B5B" w:rsidP="00775B5B">
      <w:pPr>
        <w:spacing w:after="240"/>
        <w:ind w:left="2160" w:hanging="720"/>
        <w:rPr>
          <w:szCs w:val="20"/>
        </w:rPr>
      </w:pPr>
      <w:r w:rsidRPr="00104AE8">
        <w:rPr>
          <w:szCs w:val="20"/>
        </w:rPr>
        <w:t>(iv)</w:t>
      </w:r>
      <w:r w:rsidRPr="00104AE8">
        <w:rPr>
          <w:szCs w:val="20"/>
        </w:rPr>
        <w:tab/>
        <w:t xml:space="preserve">Within 90 days of the receipt of the accepted submission in paragraph (iii)(A) above, the interconnecting TSP shall submit its dynamic stability study report to ERCOT electronically to </w:t>
      </w:r>
      <w:hyperlink r:id="rId26" w:history="1">
        <w:r w:rsidRPr="00104AE8">
          <w:rPr>
            <w:color w:val="0000FF"/>
            <w:szCs w:val="20"/>
            <w:u w:val="single"/>
          </w:rPr>
          <w:t>Dynamicmodels@ercot.com</w:t>
        </w:r>
      </w:hyperlink>
      <w:r w:rsidRPr="00104AE8">
        <w:rPr>
          <w:szCs w:val="20"/>
        </w:rPr>
        <w:t xml:space="preserve">. </w:t>
      </w:r>
    </w:p>
    <w:p w14:paraId="7354CA4F" w14:textId="77777777" w:rsidR="00775B5B" w:rsidRPr="00104AE8" w:rsidRDefault="00775B5B" w:rsidP="00775B5B">
      <w:pPr>
        <w:spacing w:after="240"/>
        <w:ind w:left="2160" w:hanging="720"/>
        <w:rPr>
          <w:szCs w:val="20"/>
        </w:rPr>
      </w:pPr>
      <w:r w:rsidRPr="00104AE8">
        <w:rPr>
          <w:szCs w:val="20"/>
        </w:rPr>
        <w:t>(v)</w:t>
      </w:r>
      <w:r w:rsidRPr="00104AE8">
        <w:rPr>
          <w:szCs w:val="20"/>
        </w:rPr>
        <w:tab/>
        <w:t xml:space="preserve">ERCOT shall review the dynamic stability study report submitted by the interconnecting TSP within </w:t>
      </w:r>
      <w:r>
        <w:rPr>
          <w:szCs w:val="20"/>
        </w:rPr>
        <w:t>ten</w:t>
      </w:r>
      <w:r w:rsidRPr="00104AE8">
        <w:rPr>
          <w:szCs w:val="20"/>
        </w:rPr>
        <w:t xml:space="preserve"> Business Days. </w:t>
      </w:r>
      <w:bookmarkStart w:id="100" w:name="_Hlk134429519"/>
      <w:r w:rsidRPr="00104AE8">
        <w:rPr>
          <w:szCs w:val="20"/>
        </w:rPr>
        <w:t xml:space="preserve"> ERCOT can extend this review period by</w:t>
      </w:r>
      <w:r>
        <w:rPr>
          <w:szCs w:val="20"/>
        </w:rPr>
        <w:t xml:space="preserve"> </w:t>
      </w:r>
      <w:r w:rsidRPr="00104AE8">
        <w:rPr>
          <w:szCs w:val="20"/>
        </w:rPr>
        <w:t xml:space="preserve">an additional 20 Business </w:t>
      </w:r>
      <w:r>
        <w:rPr>
          <w:szCs w:val="20"/>
        </w:rPr>
        <w:t>D</w:t>
      </w:r>
      <w:r w:rsidRPr="00104AE8">
        <w:rPr>
          <w:szCs w:val="20"/>
        </w:rPr>
        <w:t xml:space="preserve">ays, and an email will be </w:t>
      </w:r>
      <w:r w:rsidRPr="00104AE8">
        <w:rPr>
          <w:szCs w:val="20"/>
        </w:rPr>
        <w:lastRenderedPageBreak/>
        <w:t>sent to notify the interconnecting TSP and the Resource Entity that it needs additional time to review the dynamic stability study report.</w:t>
      </w:r>
      <w:r w:rsidRPr="00104AE8" w:rsidDel="002405B3">
        <w:rPr>
          <w:szCs w:val="20"/>
        </w:rPr>
        <w:t xml:space="preserve"> </w:t>
      </w:r>
      <w:bookmarkEnd w:id="100"/>
      <w:r w:rsidRPr="00104AE8">
        <w:rPr>
          <w:szCs w:val="20"/>
        </w:rPr>
        <w:t xml:space="preserve"> </w:t>
      </w:r>
    </w:p>
    <w:p w14:paraId="16E23F33" w14:textId="77777777" w:rsidR="00775B5B" w:rsidRDefault="00775B5B" w:rsidP="00775B5B">
      <w:pPr>
        <w:spacing w:after="240"/>
        <w:ind w:left="2160" w:hanging="720"/>
        <w:rPr>
          <w:szCs w:val="20"/>
        </w:rPr>
      </w:pPr>
      <w:r w:rsidRPr="00104AE8">
        <w:rPr>
          <w:szCs w:val="20"/>
        </w:rPr>
        <w:t>(vi)</w:t>
      </w:r>
      <w:r w:rsidRPr="00104AE8">
        <w:rPr>
          <w:szCs w:val="20"/>
        </w:rPr>
        <w:tab/>
        <w:t>Upon completing its review and ERCOT acceptance of the dynamic stability study report, ERCOT shall notify the Resource Entity and the interconnecting TSP of its determination.  The notification will indicate one of the following:</w:t>
      </w:r>
    </w:p>
    <w:p w14:paraId="009F3CCE" w14:textId="77777777" w:rsidR="00775B5B" w:rsidRDefault="00775B5B" w:rsidP="00775B5B">
      <w:pPr>
        <w:spacing w:after="240"/>
        <w:ind w:left="2880" w:hanging="720"/>
        <w:rPr>
          <w:szCs w:val="20"/>
        </w:rPr>
      </w:pPr>
      <w:r>
        <w:rPr>
          <w:szCs w:val="20"/>
        </w:rPr>
        <w:t>(A)</w:t>
      </w:r>
      <w:r>
        <w:rPr>
          <w:szCs w:val="20"/>
        </w:rPr>
        <w:tab/>
        <w:t>The proposed modification is deemed acceptable.</w:t>
      </w:r>
    </w:p>
    <w:p w14:paraId="77EC63EE" w14:textId="77777777" w:rsidR="00775B5B" w:rsidRPr="00104AE8" w:rsidRDefault="00775B5B" w:rsidP="00775B5B">
      <w:pPr>
        <w:spacing w:after="240"/>
        <w:ind w:left="2880" w:hanging="720"/>
        <w:rPr>
          <w:szCs w:val="20"/>
        </w:rPr>
      </w:pPr>
      <w:r>
        <w:rPr>
          <w:szCs w:val="20"/>
        </w:rPr>
        <w:t>(B)</w:t>
      </w:r>
      <w:r>
        <w:rPr>
          <w:szCs w:val="20"/>
        </w:rPr>
        <w:tab/>
        <w:t>The proposed modification is applicable to paragraph (1)(c) of Section 5.2.1.  The Resource Entity shall initiate a GIM request through RIOO.</w:t>
      </w:r>
    </w:p>
    <w:bookmarkEnd w:id="98"/>
    <w:bookmarkEnd w:id="99"/>
    <w:p w14:paraId="42C28B09" w14:textId="77777777" w:rsidR="00775B5B" w:rsidRDefault="00775B5B" w:rsidP="00775B5B">
      <w:pPr>
        <w:tabs>
          <w:tab w:val="left" w:pos="2700"/>
        </w:tabs>
        <w:spacing w:after="240"/>
        <w:ind w:left="2160" w:hanging="720"/>
        <w:rPr>
          <w:szCs w:val="20"/>
        </w:rPr>
      </w:pPr>
      <w:r w:rsidRPr="00104AE8">
        <w:rPr>
          <w:szCs w:val="20"/>
        </w:rPr>
        <w:t>(vii)</w:t>
      </w:r>
      <w:r w:rsidRPr="00104AE8">
        <w:rPr>
          <w:szCs w:val="20"/>
        </w:rPr>
        <w:tab/>
        <w:t xml:space="preserve">ERCOT, in consultation with the interconnecting TSP, may allow the proposed changes to be temporarily implemented prior to the above review process in order to address any identified performance deficiency. </w:t>
      </w:r>
    </w:p>
    <w:p w14:paraId="3C5CBB1A" w14:textId="77777777" w:rsidR="00775B5B" w:rsidRDefault="00775B5B" w:rsidP="00775B5B">
      <w:pPr>
        <w:pStyle w:val="List"/>
        <w:ind w:left="1440"/>
        <w:rPr>
          <w:szCs w:val="24"/>
        </w:rPr>
      </w:pPr>
      <w:r>
        <w:rPr>
          <w:szCs w:val="24"/>
        </w:rPr>
        <w:t>(b)</w:t>
      </w:r>
      <w:r>
        <w:rPr>
          <w:szCs w:val="24"/>
        </w:rPr>
        <w:tab/>
        <w:t>Pursuant to paragraph (5)(c) of Section 6.2, the Resource Entity shall include model updates with model quality tests.</w:t>
      </w:r>
    </w:p>
    <w:p w14:paraId="4C829E53" w14:textId="77777777" w:rsidR="00775B5B" w:rsidRDefault="00775B5B" w:rsidP="00775B5B">
      <w:pPr>
        <w:pStyle w:val="List"/>
        <w:ind w:left="1440"/>
        <w:rPr>
          <w:szCs w:val="24"/>
        </w:rPr>
      </w:pPr>
      <w:r>
        <w:rPr>
          <w:szCs w:val="24"/>
        </w:rPr>
        <w:t>(c)</w:t>
      </w:r>
      <w:r>
        <w:rPr>
          <w:szCs w:val="24"/>
        </w:rPr>
        <w:tab/>
        <w:t>The Resource Entity shall provide ERCOT with a plant verification report as required by paragraph (5)(b) of Section 6.2 at the following times:</w:t>
      </w:r>
    </w:p>
    <w:p w14:paraId="4A00B3BD" w14:textId="77777777" w:rsidR="00775B5B" w:rsidRPr="00725B26" w:rsidRDefault="00775B5B" w:rsidP="00775B5B">
      <w:pPr>
        <w:pStyle w:val="List"/>
        <w:ind w:left="2160"/>
        <w:rPr>
          <w:szCs w:val="24"/>
        </w:rPr>
      </w:pPr>
      <w:r>
        <w:rPr>
          <w:lang w:eastAsia="x-none"/>
        </w:rPr>
        <w:t>(i)</w:t>
      </w:r>
      <w:r>
        <w:rPr>
          <w:lang w:eastAsia="x-none"/>
        </w:rPr>
        <w:tab/>
        <w:t>No later than 30 days after implementing a settings change as required by paragraph (7) of Section 6.2;</w:t>
      </w:r>
    </w:p>
    <w:p w14:paraId="17FC2E7B" w14:textId="77777777" w:rsidR="00775B5B" w:rsidRDefault="00775B5B" w:rsidP="00775B5B">
      <w:pPr>
        <w:pStyle w:val="List"/>
        <w:ind w:left="2160"/>
        <w:rPr>
          <w:lang w:eastAsia="x-none"/>
        </w:rPr>
      </w:pPr>
      <w:r>
        <w:rPr>
          <w:lang w:eastAsia="x-none"/>
        </w:rPr>
        <w:t>(ii)</w:t>
      </w:r>
      <w:r>
        <w:rPr>
          <w:lang w:eastAsia="x-none"/>
        </w:rPr>
        <w:tab/>
        <w:t>No earlier than 12 months and no later than 24 months following the later of the Resource Commissioning Date or March 1, 2021; and</w:t>
      </w:r>
    </w:p>
    <w:p w14:paraId="408FEFD6" w14:textId="77777777" w:rsidR="00775B5B" w:rsidRPr="00DD29C7" w:rsidRDefault="00775B5B" w:rsidP="00775B5B">
      <w:pPr>
        <w:pStyle w:val="List"/>
        <w:ind w:left="2160"/>
        <w:rPr>
          <w:lang w:eastAsia="x-none"/>
        </w:rPr>
      </w:pPr>
      <w:r>
        <w:rPr>
          <w:lang w:eastAsia="x-none"/>
        </w:rPr>
        <w:t>(iii)</w:t>
      </w:r>
      <w:r>
        <w:rPr>
          <w:lang w:eastAsia="x-none"/>
        </w:rPr>
        <w:tab/>
      </w:r>
      <w:r w:rsidRPr="00D271B5">
        <w:rPr>
          <w:lang w:eastAsia="x-none"/>
        </w:rPr>
        <w:t>A minimum of every ten years</w:t>
      </w:r>
      <w:r>
        <w:rPr>
          <w:lang w:eastAsia="x-none"/>
        </w:rPr>
        <w:t>.</w:t>
      </w:r>
      <w:bookmarkStart w:id="101" w:name="_Toc244946046"/>
      <w:bookmarkStart w:id="102" w:name="OLE_LINK4"/>
      <w:bookmarkEnd w:id="101"/>
      <w:bookmarkEnd w:id="102"/>
    </w:p>
    <w:p w14:paraId="6096035F" w14:textId="77777777" w:rsidR="00775B5B" w:rsidRDefault="00775B5B" w:rsidP="00526E2E">
      <w:pPr>
        <w:spacing w:after="240"/>
        <w:ind w:left="720" w:hanging="720"/>
      </w:pPr>
    </w:p>
    <w:p w14:paraId="2CD21800" w14:textId="77777777" w:rsidR="000729F0" w:rsidRDefault="000729F0" w:rsidP="006E007D">
      <w:pPr>
        <w:pStyle w:val="H3"/>
        <w:rPr>
          <w:szCs w:val="24"/>
        </w:rPr>
      </w:pPr>
    </w:p>
    <w:bookmarkEnd w:id="7"/>
    <w:bookmarkEnd w:id="8"/>
    <w:p w14:paraId="0A4227B9" w14:textId="77777777" w:rsidR="000729F0" w:rsidRDefault="000729F0" w:rsidP="006E007D">
      <w:pPr>
        <w:pStyle w:val="H3"/>
        <w:rPr>
          <w:szCs w:val="24"/>
        </w:rPr>
      </w:pPr>
    </w:p>
    <w:sectPr w:rsidR="000729F0">
      <w:headerReference w:type="default" r:id="rId27"/>
      <w:footerReference w:type="even" r:id="rId28"/>
      <w:footerReference w:type="default" r:id="rId29"/>
      <w:footerReference w:type="first" r:id="rId30"/>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ERCOT Market Rules" w:date="2026-05-20T13:01:00Z" w:initials="BA">
    <w:p w14:paraId="02B66A05" w14:textId="77777777" w:rsidR="00344376" w:rsidRDefault="00344376" w:rsidP="00344376">
      <w:pPr>
        <w:pStyle w:val="CommentText"/>
      </w:pPr>
      <w:r>
        <w:rPr>
          <w:rStyle w:val="CommentReference"/>
        </w:rPr>
        <w:annotationRef/>
      </w:r>
      <w:r>
        <w:t>Please note PGRR140 also proposes revisions to this section.</w:t>
      </w:r>
    </w:p>
  </w:comment>
  <w:comment w:id="92" w:author="ERCOT Market Rules" w:date="2026-05-20T13:01:00Z" w:initials="BA">
    <w:p w14:paraId="571C5DFE" w14:textId="77777777" w:rsidR="00344376" w:rsidRDefault="00344376" w:rsidP="00344376">
      <w:pPr>
        <w:pStyle w:val="CommentText"/>
      </w:pPr>
      <w:r>
        <w:rPr>
          <w:rStyle w:val="CommentReference"/>
        </w:rPr>
        <w:annotationRef/>
      </w:r>
      <w:r>
        <w:t>Please note PGRR140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B66A05" w15:done="0"/>
  <w15:commentEx w15:paraId="571C5DF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F3077A" w16cex:dateUtc="2026-05-20T18:01:00Z"/>
  <w16cex:commentExtensible w16cex:durableId="5E6ED12B" w16cex:dateUtc="2026-05-20T18: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B66A05" w16cid:durableId="41F3077A"/>
  <w16cid:commentId w16cid:paraId="571C5DFE" w16cid:durableId="5E6ED1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4B3F4" w14:textId="77777777" w:rsidR="00592992" w:rsidRDefault="00592992">
      <w:r>
        <w:separator/>
      </w:r>
    </w:p>
  </w:endnote>
  <w:endnote w:type="continuationSeparator" w:id="0">
    <w:p w14:paraId="35859B11" w14:textId="77777777" w:rsidR="00592992" w:rsidRDefault="00592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83B0"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F3A6" w14:textId="7A7A8EC4" w:rsidR="00D176CF" w:rsidRPr="00A04783" w:rsidRDefault="00FC590C">
    <w:pPr>
      <w:pStyle w:val="Footer"/>
      <w:tabs>
        <w:tab w:val="clear" w:pos="4320"/>
        <w:tab w:val="clear" w:pos="8640"/>
        <w:tab w:val="right" w:pos="9360"/>
      </w:tabs>
      <w:rPr>
        <w:rFonts w:ascii="Arial" w:hAnsi="Arial" w:cs="Arial"/>
        <w:sz w:val="18"/>
        <w:szCs w:val="18"/>
      </w:rPr>
    </w:pPr>
    <w:r>
      <w:rPr>
        <w:rFonts w:ascii="Arial" w:hAnsi="Arial" w:cs="Arial"/>
        <w:sz w:val="18"/>
        <w:szCs w:val="18"/>
      </w:rPr>
      <w:t>146PGRR-</w:t>
    </w:r>
    <w:r w:rsidR="00146470">
      <w:rPr>
        <w:rFonts w:ascii="Arial" w:hAnsi="Arial" w:cs="Arial"/>
        <w:sz w:val="18"/>
        <w:szCs w:val="18"/>
      </w:rPr>
      <w:t>1</w:t>
    </w:r>
    <w:r w:rsidR="00A97625">
      <w:rPr>
        <w:rFonts w:ascii="Arial" w:hAnsi="Arial" w:cs="Arial"/>
        <w:sz w:val="18"/>
        <w:szCs w:val="18"/>
      </w:rPr>
      <w:t>3</w:t>
    </w:r>
    <w:r>
      <w:rPr>
        <w:rFonts w:ascii="Arial" w:hAnsi="Arial" w:cs="Arial"/>
        <w:sz w:val="18"/>
        <w:szCs w:val="18"/>
      </w:rPr>
      <w:t xml:space="preserve"> </w:t>
    </w:r>
    <w:r w:rsidR="00146470">
      <w:rPr>
        <w:rFonts w:ascii="Arial" w:hAnsi="Arial" w:cs="Arial"/>
        <w:sz w:val="18"/>
        <w:szCs w:val="18"/>
      </w:rPr>
      <w:t>ROS Report</w:t>
    </w:r>
    <w:r>
      <w:rPr>
        <w:rFonts w:ascii="Arial" w:hAnsi="Arial" w:cs="Arial"/>
        <w:sz w:val="18"/>
        <w:szCs w:val="18"/>
      </w:rPr>
      <w:t xml:space="preserve"> </w:t>
    </w:r>
    <w:r w:rsidR="00A97625">
      <w:rPr>
        <w:rFonts w:ascii="Arial" w:hAnsi="Arial" w:cs="Arial"/>
        <w:sz w:val="18"/>
        <w:szCs w:val="18"/>
      </w:rPr>
      <w:t>100126</w:t>
    </w:r>
    <w:r w:rsidR="00D176CF" w:rsidRPr="00A04783">
      <w:rPr>
        <w:rFonts w:ascii="Arial" w:hAnsi="Arial" w:cs="Arial"/>
        <w:sz w:val="18"/>
        <w:szCs w:val="18"/>
      </w:rPr>
      <w:tab/>
      <w:t xml:space="preserve">Page </w:t>
    </w:r>
    <w:r w:rsidR="00D176CF" w:rsidRPr="00A04783">
      <w:rPr>
        <w:rFonts w:ascii="Arial" w:hAnsi="Arial" w:cs="Arial"/>
        <w:sz w:val="18"/>
        <w:szCs w:val="18"/>
      </w:rPr>
      <w:fldChar w:fldCharType="begin"/>
    </w:r>
    <w:r w:rsidR="00D176CF" w:rsidRPr="00A04783">
      <w:rPr>
        <w:rFonts w:ascii="Arial" w:hAnsi="Arial" w:cs="Arial"/>
        <w:sz w:val="18"/>
        <w:szCs w:val="18"/>
      </w:rPr>
      <w:instrText xml:space="preserve"> PAGE </w:instrText>
    </w:r>
    <w:r w:rsidR="00D176CF" w:rsidRPr="00A04783">
      <w:rPr>
        <w:rFonts w:ascii="Arial" w:hAnsi="Arial" w:cs="Arial"/>
        <w:sz w:val="18"/>
        <w:szCs w:val="18"/>
      </w:rPr>
      <w:fldChar w:fldCharType="separate"/>
    </w:r>
    <w:r w:rsidR="007717F2" w:rsidRPr="00A04783">
      <w:rPr>
        <w:rFonts w:ascii="Arial" w:hAnsi="Arial" w:cs="Arial"/>
        <w:noProof/>
        <w:sz w:val="18"/>
        <w:szCs w:val="18"/>
      </w:rPr>
      <w:t>1</w:t>
    </w:r>
    <w:r w:rsidR="00D176CF" w:rsidRPr="00A04783">
      <w:rPr>
        <w:rFonts w:ascii="Arial" w:hAnsi="Arial" w:cs="Arial"/>
        <w:sz w:val="18"/>
        <w:szCs w:val="18"/>
      </w:rPr>
      <w:fldChar w:fldCharType="end"/>
    </w:r>
    <w:r w:rsidR="00D176CF" w:rsidRPr="00A04783">
      <w:rPr>
        <w:rFonts w:ascii="Arial" w:hAnsi="Arial" w:cs="Arial"/>
        <w:sz w:val="18"/>
        <w:szCs w:val="18"/>
      </w:rPr>
      <w:t xml:space="preserve"> of </w:t>
    </w:r>
    <w:r w:rsidR="00D176CF" w:rsidRPr="00A04783">
      <w:rPr>
        <w:rFonts w:ascii="Arial" w:hAnsi="Arial" w:cs="Arial"/>
        <w:sz w:val="18"/>
        <w:szCs w:val="18"/>
      </w:rPr>
      <w:fldChar w:fldCharType="begin"/>
    </w:r>
    <w:r w:rsidR="00D176CF" w:rsidRPr="00A04783">
      <w:rPr>
        <w:rFonts w:ascii="Arial" w:hAnsi="Arial" w:cs="Arial"/>
        <w:sz w:val="18"/>
        <w:szCs w:val="18"/>
      </w:rPr>
      <w:instrText xml:space="preserve"> NUMPAGES </w:instrText>
    </w:r>
    <w:r w:rsidR="00D176CF" w:rsidRPr="00A04783">
      <w:rPr>
        <w:rFonts w:ascii="Arial" w:hAnsi="Arial" w:cs="Arial"/>
        <w:sz w:val="18"/>
        <w:szCs w:val="18"/>
      </w:rPr>
      <w:fldChar w:fldCharType="separate"/>
    </w:r>
    <w:r w:rsidR="007717F2" w:rsidRPr="00A04783">
      <w:rPr>
        <w:rFonts w:ascii="Arial" w:hAnsi="Arial" w:cs="Arial"/>
        <w:noProof/>
        <w:sz w:val="18"/>
        <w:szCs w:val="18"/>
      </w:rPr>
      <w:t>2</w:t>
    </w:r>
    <w:r w:rsidR="00D176CF" w:rsidRPr="00A04783">
      <w:rPr>
        <w:rFonts w:ascii="Arial" w:hAnsi="Arial" w:cs="Arial"/>
        <w:sz w:val="18"/>
        <w:szCs w:val="18"/>
      </w:rPr>
      <w:fldChar w:fldCharType="end"/>
    </w:r>
  </w:p>
  <w:p w14:paraId="26F70CE9" w14:textId="77777777" w:rsidR="00D176CF" w:rsidRPr="00A04783" w:rsidRDefault="00D176CF">
    <w:pPr>
      <w:pStyle w:val="Footer"/>
      <w:tabs>
        <w:tab w:val="clear" w:pos="4320"/>
        <w:tab w:val="clear" w:pos="8640"/>
        <w:tab w:val="right" w:pos="9360"/>
      </w:tabs>
      <w:rPr>
        <w:rFonts w:ascii="Arial" w:hAnsi="Arial" w:cs="Arial"/>
        <w:sz w:val="18"/>
        <w:szCs w:val="18"/>
      </w:rPr>
    </w:pPr>
    <w:r w:rsidRPr="00A04783">
      <w:rPr>
        <w:rFonts w:ascii="Arial" w:hAnsi="Arial" w:cs="Arial"/>
        <w:sz w:val="18"/>
        <w:szCs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80FA"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46801" w14:textId="77777777" w:rsidR="00592992" w:rsidRDefault="00592992">
      <w:r>
        <w:separator/>
      </w:r>
    </w:p>
  </w:footnote>
  <w:footnote w:type="continuationSeparator" w:id="0">
    <w:p w14:paraId="32EEFC16" w14:textId="77777777" w:rsidR="00592992" w:rsidRDefault="00592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CAE0" w14:textId="36A693B5" w:rsidR="00D176CF" w:rsidRDefault="00041ECC" w:rsidP="00CD165D">
    <w:pPr>
      <w:pStyle w:val="Header"/>
      <w:jc w:val="center"/>
      <w:rPr>
        <w:sz w:val="32"/>
      </w:rPr>
    </w:pPr>
    <w:r>
      <w:rPr>
        <w:sz w:val="32"/>
      </w:rPr>
      <w:t>ROS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5.75pt;height:15pt;visibility:visible;mso-wrap-style:square" o:bullet="t">
        <v:imagedata r:id="rId1" o:title=""/>
      </v:shape>
    </w:pict>
  </w:numPicBullet>
  <w:numPicBullet w:numPicBulletId="1">
    <w:pict>
      <v:shape id="_x0000_i1026" type="#_x0000_t75" style="width:15.75pt;height:15pt;visibility:visible;mso-wrap-style:square" o:bullet="t">
        <v:imagedata r:id="rId2" o:title=""/>
      </v:shape>
    </w:pict>
  </w:numPicBullet>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206407035">
    <w:abstractNumId w:val="0"/>
  </w:num>
  <w:num w:numId="2" w16cid:durableId="1168253600">
    <w:abstractNumId w:val="11"/>
  </w:num>
  <w:num w:numId="3" w16cid:durableId="1465851006">
    <w:abstractNumId w:val="12"/>
  </w:num>
  <w:num w:numId="4" w16cid:durableId="2101876533">
    <w:abstractNumId w:val="1"/>
  </w:num>
  <w:num w:numId="5" w16cid:durableId="90930211">
    <w:abstractNumId w:val="7"/>
  </w:num>
  <w:num w:numId="6" w16cid:durableId="147064057">
    <w:abstractNumId w:val="7"/>
  </w:num>
  <w:num w:numId="7" w16cid:durableId="1755010341">
    <w:abstractNumId w:val="7"/>
  </w:num>
  <w:num w:numId="8" w16cid:durableId="1467819988">
    <w:abstractNumId w:val="7"/>
  </w:num>
  <w:num w:numId="9" w16cid:durableId="2243846">
    <w:abstractNumId w:val="7"/>
  </w:num>
  <w:num w:numId="10" w16cid:durableId="1707677871">
    <w:abstractNumId w:val="7"/>
  </w:num>
  <w:num w:numId="11" w16cid:durableId="1251043373">
    <w:abstractNumId w:val="7"/>
  </w:num>
  <w:num w:numId="12" w16cid:durableId="2116292320">
    <w:abstractNumId w:val="7"/>
  </w:num>
  <w:num w:numId="13" w16cid:durableId="1336956191">
    <w:abstractNumId w:val="7"/>
  </w:num>
  <w:num w:numId="14" w16cid:durableId="2090686666">
    <w:abstractNumId w:val="3"/>
  </w:num>
  <w:num w:numId="15" w16cid:durableId="437800973">
    <w:abstractNumId w:val="6"/>
  </w:num>
  <w:num w:numId="16" w16cid:durableId="700282402">
    <w:abstractNumId w:val="9"/>
  </w:num>
  <w:num w:numId="17" w16cid:durableId="1309476948">
    <w:abstractNumId w:val="10"/>
  </w:num>
  <w:num w:numId="18" w16cid:durableId="550963706">
    <w:abstractNumId w:val="4"/>
  </w:num>
  <w:num w:numId="19" w16cid:durableId="1284192548">
    <w:abstractNumId w:val="8"/>
  </w:num>
  <w:num w:numId="20" w16cid:durableId="856843399">
    <w:abstractNumId w:val="2"/>
  </w:num>
  <w:num w:numId="21" w16cid:durableId="205025195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ERCOT Market Rules">
    <w15:presenceInfo w15:providerId="None" w15:userId="ERCOT Market Rules"/>
  </w15:person>
  <w15:person w15:author="Southern Power 061526">
    <w15:presenceInfo w15:providerId="None" w15:userId="Southern Power 0615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41ECC"/>
    <w:rsid w:val="000433CF"/>
    <w:rsid w:val="00060A5A"/>
    <w:rsid w:val="00064B44"/>
    <w:rsid w:val="00067FE2"/>
    <w:rsid w:val="000729F0"/>
    <w:rsid w:val="0007607A"/>
    <w:rsid w:val="0007682E"/>
    <w:rsid w:val="00085075"/>
    <w:rsid w:val="000A011A"/>
    <w:rsid w:val="000A1C8F"/>
    <w:rsid w:val="000B70DB"/>
    <w:rsid w:val="000B7F8B"/>
    <w:rsid w:val="000C6360"/>
    <w:rsid w:val="000D1AEB"/>
    <w:rsid w:val="000D3CFA"/>
    <w:rsid w:val="000D3E64"/>
    <w:rsid w:val="000D4938"/>
    <w:rsid w:val="000D7992"/>
    <w:rsid w:val="000F13C5"/>
    <w:rsid w:val="001003BD"/>
    <w:rsid w:val="00105A36"/>
    <w:rsid w:val="00126AEB"/>
    <w:rsid w:val="001279B7"/>
    <w:rsid w:val="001313B4"/>
    <w:rsid w:val="00144FEE"/>
    <w:rsid w:val="0014546D"/>
    <w:rsid w:val="00146470"/>
    <w:rsid w:val="001500D9"/>
    <w:rsid w:val="00156DB7"/>
    <w:rsid w:val="00157228"/>
    <w:rsid w:val="00160C3C"/>
    <w:rsid w:val="0017783C"/>
    <w:rsid w:val="001806BE"/>
    <w:rsid w:val="001918FF"/>
    <w:rsid w:val="0019314C"/>
    <w:rsid w:val="001A0E25"/>
    <w:rsid w:val="001D56E5"/>
    <w:rsid w:val="001D5B00"/>
    <w:rsid w:val="001E1D87"/>
    <w:rsid w:val="001E3436"/>
    <w:rsid w:val="001F38F0"/>
    <w:rsid w:val="002121B4"/>
    <w:rsid w:val="00225679"/>
    <w:rsid w:val="0023371D"/>
    <w:rsid w:val="00237430"/>
    <w:rsid w:val="00276A99"/>
    <w:rsid w:val="00286AD9"/>
    <w:rsid w:val="002966F3"/>
    <w:rsid w:val="002B69F3"/>
    <w:rsid w:val="002B763A"/>
    <w:rsid w:val="002C5C94"/>
    <w:rsid w:val="002C5D76"/>
    <w:rsid w:val="002D2017"/>
    <w:rsid w:val="002D382A"/>
    <w:rsid w:val="002F1EDD"/>
    <w:rsid w:val="003013F2"/>
    <w:rsid w:val="0030232A"/>
    <w:rsid w:val="0030694A"/>
    <w:rsid w:val="003069F4"/>
    <w:rsid w:val="003127DC"/>
    <w:rsid w:val="00320C17"/>
    <w:rsid w:val="003352A5"/>
    <w:rsid w:val="00342163"/>
    <w:rsid w:val="00342BEB"/>
    <w:rsid w:val="00344376"/>
    <w:rsid w:val="0034531F"/>
    <w:rsid w:val="00351EFB"/>
    <w:rsid w:val="00360920"/>
    <w:rsid w:val="00362738"/>
    <w:rsid w:val="00380B23"/>
    <w:rsid w:val="00382DF4"/>
    <w:rsid w:val="00384709"/>
    <w:rsid w:val="00386C35"/>
    <w:rsid w:val="0039719F"/>
    <w:rsid w:val="003A3D77"/>
    <w:rsid w:val="003B5AED"/>
    <w:rsid w:val="003B67ED"/>
    <w:rsid w:val="003B7C94"/>
    <w:rsid w:val="003C2D90"/>
    <w:rsid w:val="003C6B7B"/>
    <w:rsid w:val="003D26AB"/>
    <w:rsid w:val="004135BD"/>
    <w:rsid w:val="0041428E"/>
    <w:rsid w:val="004302A4"/>
    <w:rsid w:val="00430EA7"/>
    <w:rsid w:val="004463BA"/>
    <w:rsid w:val="00456B5C"/>
    <w:rsid w:val="00460A71"/>
    <w:rsid w:val="004728EA"/>
    <w:rsid w:val="004822D4"/>
    <w:rsid w:val="0049290B"/>
    <w:rsid w:val="004A4451"/>
    <w:rsid w:val="004D3958"/>
    <w:rsid w:val="004E6369"/>
    <w:rsid w:val="004E75D1"/>
    <w:rsid w:val="005008DF"/>
    <w:rsid w:val="00502AED"/>
    <w:rsid w:val="005045D0"/>
    <w:rsid w:val="00504AE9"/>
    <w:rsid w:val="005112F6"/>
    <w:rsid w:val="005217F5"/>
    <w:rsid w:val="00526E2E"/>
    <w:rsid w:val="00534C6C"/>
    <w:rsid w:val="00536897"/>
    <w:rsid w:val="0056462B"/>
    <w:rsid w:val="005841C0"/>
    <w:rsid w:val="0059260F"/>
    <w:rsid w:val="00592992"/>
    <w:rsid w:val="00593E23"/>
    <w:rsid w:val="00595259"/>
    <w:rsid w:val="005C39E0"/>
    <w:rsid w:val="005E1113"/>
    <w:rsid w:val="005E5074"/>
    <w:rsid w:val="005F0752"/>
    <w:rsid w:val="00612E4F"/>
    <w:rsid w:val="00615D5E"/>
    <w:rsid w:val="006210B8"/>
    <w:rsid w:val="00621DCF"/>
    <w:rsid w:val="00622E99"/>
    <w:rsid w:val="00625E5D"/>
    <w:rsid w:val="006342A0"/>
    <w:rsid w:val="0066370F"/>
    <w:rsid w:val="00670A3D"/>
    <w:rsid w:val="00686B7C"/>
    <w:rsid w:val="006A0784"/>
    <w:rsid w:val="006A697B"/>
    <w:rsid w:val="006B4DDE"/>
    <w:rsid w:val="006C798F"/>
    <w:rsid w:val="006E007D"/>
    <w:rsid w:val="006F65DB"/>
    <w:rsid w:val="00701BF4"/>
    <w:rsid w:val="00714393"/>
    <w:rsid w:val="00725D47"/>
    <w:rsid w:val="007313AB"/>
    <w:rsid w:val="00740FB9"/>
    <w:rsid w:val="00743968"/>
    <w:rsid w:val="00760D64"/>
    <w:rsid w:val="00766068"/>
    <w:rsid w:val="007717F2"/>
    <w:rsid w:val="00772F88"/>
    <w:rsid w:val="00775B5B"/>
    <w:rsid w:val="00785415"/>
    <w:rsid w:val="00791CB9"/>
    <w:rsid w:val="00793130"/>
    <w:rsid w:val="007B3233"/>
    <w:rsid w:val="007B5A42"/>
    <w:rsid w:val="007C199B"/>
    <w:rsid w:val="007C5EC8"/>
    <w:rsid w:val="007D3073"/>
    <w:rsid w:val="007D64B9"/>
    <w:rsid w:val="007D72D4"/>
    <w:rsid w:val="007E0452"/>
    <w:rsid w:val="008070C0"/>
    <w:rsid w:val="00811212"/>
    <w:rsid w:val="00811C12"/>
    <w:rsid w:val="00833487"/>
    <w:rsid w:val="00845373"/>
    <w:rsid w:val="00845778"/>
    <w:rsid w:val="00861540"/>
    <w:rsid w:val="00866483"/>
    <w:rsid w:val="008807D5"/>
    <w:rsid w:val="00885232"/>
    <w:rsid w:val="00887E28"/>
    <w:rsid w:val="008D05F4"/>
    <w:rsid w:val="008D5C3A"/>
    <w:rsid w:val="008E6484"/>
    <w:rsid w:val="008E6DA2"/>
    <w:rsid w:val="008F47F1"/>
    <w:rsid w:val="00903080"/>
    <w:rsid w:val="00907B1E"/>
    <w:rsid w:val="00943AFD"/>
    <w:rsid w:val="00963A51"/>
    <w:rsid w:val="009664B6"/>
    <w:rsid w:val="00977B74"/>
    <w:rsid w:val="00983B6E"/>
    <w:rsid w:val="009847A4"/>
    <w:rsid w:val="009936F8"/>
    <w:rsid w:val="00993C8E"/>
    <w:rsid w:val="00997B94"/>
    <w:rsid w:val="009A3772"/>
    <w:rsid w:val="009D17F0"/>
    <w:rsid w:val="00A04783"/>
    <w:rsid w:val="00A14FDA"/>
    <w:rsid w:val="00A33B44"/>
    <w:rsid w:val="00A42796"/>
    <w:rsid w:val="00A5311D"/>
    <w:rsid w:val="00A67EEA"/>
    <w:rsid w:val="00A90DBD"/>
    <w:rsid w:val="00A947A0"/>
    <w:rsid w:val="00A97625"/>
    <w:rsid w:val="00AA1B28"/>
    <w:rsid w:val="00AD2F2F"/>
    <w:rsid w:val="00AD3B58"/>
    <w:rsid w:val="00AF558B"/>
    <w:rsid w:val="00AF56C6"/>
    <w:rsid w:val="00B00CE0"/>
    <w:rsid w:val="00B032E8"/>
    <w:rsid w:val="00B35C66"/>
    <w:rsid w:val="00B366A8"/>
    <w:rsid w:val="00B55838"/>
    <w:rsid w:val="00B57F96"/>
    <w:rsid w:val="00B60B23"/>
    <w:rsid w:val="00B61054"/>
    <w:rsid w:val="00B67892"/>
    <w:rsid w:val="00B82DDE"/>
    <w:rsid w:val="00B83508"/>
    <w:rsid w:val="00BA4D33"/>
    <w:rsid w:val="00BA5648"/>
    <w:rsid w:val="00BC2D06"/>
    <w:rsid w:val="00BE2AAE"/>
    <w:rsid w:val="00BE3BBE"/>
    <w:rsid w:val="00C00130"/>
    <w:rsid w:val="00C10CE0"/>
    <w:rsid w:val="00C1628E"/>
    <w:rsid w:val="00C22687"/>
    <w:rsid w:val="00C24868"/>
    <w:rsid w:val="00C42937"/>
    <w:rsid w:val="00C46883"/>
    <w:rsid w:val="00C5524C"/>
    <w:rsid w:val="00C577FF"/>
    <w:rsid w:val="00C744EB"/>
    <w:rsid w:val="00C76A2C"/>
    <w:rsid w:val="00C90702"/>
    <w:rsid w:val="00C917FF"/>
    <w:rsid w:val="00C937B1"/>
    <w:rsid w:val="00C96EA3"/>
    <w:rsid w:val="00C9766A"/>
    <w:rsid w:val="00CA2637"/>
    <w:rsid w:val="00CA434F"/>
    <w:rsid w:val="00CA56B3"/>
    <w:rsid w:val="00CA699C"/>
    <w:rsid w:val="00CB1136"/>
    <w:rsid w:val="00CC4F39"/>
    <w:rsid w:val="00CD165D"/>
    <w:rsid w:val="00CD544C"/>
    <w:rsid w:val="00CF3451"/>
    <w:rsid w:val="00CF4256"/>
    <w:rsid w:val="00D04FE8"/>
    <w:rsid w:val="00D176CF"/>
    <w:rsid w:val="00D271E3"/>
    <w:rsid w:val="00D30F69"/>
    <w:rsid w:val="00D47A80"/>
    <w:rsid w:val="00D502EE"/>
    <w:rsid w:val="00D5653E"/>
    <w:rsid w:val="00D61F38"/>
    <w:rsid w:val="00D80A3B"/>
    <w:rsid w:val="00D85807"/>
    <w:rsid w:val="00D87349"/>
    <w:rsid w:val="00D91EE9"/>
    <w:rsid w:val="00D97220"/>
    <w:rsid w:val="00DA159A"/>
    <w:rsid w:val="00DC3FD6"/>
    <w:rsid w:val="00DD4374"/>
    <w:rsid w:val="00E13249"/>
    <w:rsid w:val="00E14D47"/>
    <w:rsid w:val="00E1641C"/>
    <w:rsid w:val="00E26708"/>
    <w:rsid w:val="00E34958"/>
    <w:rsid w:val="00E37AB0"/>
    <w:rsid w:val="00E71115"/>
    <w:rsid w:val="00E71C39"/>
    <w:rsid w:val="00E80731"/>
    <w:rsid w:val="00EA56E6"/>
    <w:rsid w:val="00EB604B"/>
    <w:rsid w:val="00EC335F"/>
    <w:rsid w:val="00EC48FB"/>
    <w:rsid w:val="00EF232A"/>
    <w:rsid w:val="00EF7D8F"/>
    <w:rsid w:val="00F05A69"/>
    <w:rsid w:val="00F312D1"/>
    <w:rsid w:val="00F34809"/>
    <w:rsid w:val="00F34BEB"/>
    <w:rsid w:val="00F43FFD"/>
    <w:rsid w:val="00F44236"/>
    <w:rsid w:val="00F52517"/>
    <w:rsid w:val="00F61D40"/>
    <w:rsid w:val="00F7289C"/>
    <w:rsid w:val="00F87BF1"/>
    <w:rsid w:val="00FA57B2"/>
    <w:rsid w:val="00FA7DC2"/>
    <w:rsid w:val="00FB509B"/>
    <w:rsid w:val="00FC3D4B"/>
    <w:rsid w:val="00FC590C"/>
    <w:rsid w:val="00FC6312"/>
    <w:rsid w:val="00FE36E3"/>
    <w:rsid w:val="00FE6B01"/>
    <w:rsid w:val="00FF2AF8"/>
    <w:rsid w:val="00FF705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5412C"/>
  <w15:chartTrackingRefBased/>
  <w15:docId w15:val="{08792352-4614-4F26-83E8-19194D9D3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uiPriority w:val="99"/>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Char1,Char1,Char2 Char Char Char Char,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Char1 Char,Char1 Char,Char2 Char Char Char Char Char,Char2 Char Char"/>
    <w:link w:val="List"/>
    <w:rsid w:val="00F05A69"/>
    <w:rPr>
      <w:sz w:val="24"/>
    </w:rPr>
  </w:style>
  <w:style w:type="paragraph" w:styleId="Revision">
    <w:name w:val="Revision"/>
    <w:hidden/>
    <w:uiPriority w:val="99"/>
    <w:semiHidden/>
    <w:rsid w:val="000D3E64"/>
    <w:rPr>
      <w:sz w:val="24"/>
      <w:szCs w:val="24"/>
    </w:rPr>
  </w:style>
  <w:style w:type="character" w:customStyle="1" w:styleId="H3Char">
    <w:name w:val="H3 Char"/>
    <w:link w:val="H3"/>
    <w:rsid w:val="006E007D"/>
    <w:rPr>
      <w:b/>
      <w:bCs/>
      <w:i/>
      <w:sz w:val="24"/>
    </w:rPr>
  </w:style>
  <w:style w:type="character" w:styleId="UnresolvedMention">
    <w:name w:val="Unresolved Mention"/>
    <w:basedOn w:val="DefaultParagraphFont"/>
    <w:uiPriority w:val="99"/>
    <w:semiHidden/>
    <w:unhideWhenUsed/>
    <w:rsid w:val="00AF558B"/>
    <w:rPr>
      <w:color w:val="605E5C"/>
      <w:shd w:val="clear" w:color="auto" w:fill="E1DFDD"/>
    </w:rPr>
  </w:style>
  <w:style w:type="paragraph" w:customStyle="1" w:styleId="BodyTextNumbered">
    <w:name w:val="Body Text Numbered"/>
    <w:basedOn w:val="BodyText"/>
    <w:link w:val="BodyTextNumberedChar1"/>
    <w:rsid w:val="00CF3451"/>
    <w:pPr>
      <w:ind w:left="720" w:hanging="720"/>
    </w:pPr>
    <w:rPr>
      <w:iCs/>
      <w:szCs w:val="20"/>
    </w:rPr>
  </w:style>
  <w:style w:type="character" w:customStyle="1" w:styleId="BodyTextNumberedChar1">
    <w:name w:val="Body Text Numbered Char1"/>
    <w:link w:val="BodyTextNumbered"/>
    <w:rsid w:val="00CF3451"/>
    <w:rPr>
      <w:iCs/>
      <w:sz w:val="24"/>
    </w:rPr>
  </w:style>
  <w:style w:type="character" w:customStyle="1" w:styleId="H2Char">
    <w:name w:val="H2 Char"/>
    <w:link w:val="H2"/>
    <w:rsid w:val="00775B5B"/>
    <w:rPr>
      <w:b/>
      <w:sz w:val="24"/>
    </w:rPr>
  </w:style>
  <w:style w:type="paragraph" w:styleId="ListParagraph">
    <w:name w:val="List Paragraph"/>
    <w:basedOn w:val="Normal"/>
    <w:qFormat/>
    <w:rsid w:val="00775B5B"/>
    <w:pPr>
      <w:spacing w:after="160" w:line="259"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yunzhi.cheng@ercot.com" TargetMode="External"/><Relationship Id="rId26" Type="http://schemas.openxmlformats.org/officeDocument/2006/relationships/hyperlink" Target="mailto:Dynamicmodels@ercot.com" TargetMode="Externa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image" Target="media/image3.wmf"/><Relationship Id="rId17" Type="http://schemas.openxmlformats.org/officeDocument/2006/relationships/image" Target="media/image5.png"/><Relationship Id="rId25" Type="http://schemas.openxmlformats.org/officeDocument/2006/relationships/hyperlink" Target="mailto:Dynamicmodels@ercot.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wmf"/><Relationship Id="rId20" Type="http://schemas.openxmlformats.org/officeDocument/2006/relationships/comments" Target="comments.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PGRR146" TargetMode="External"/><Relationship Id="rId24" Type="http://schemas.openxmlformats.org/officeDocument/2006/relationships/hyperlink" Target="mailto:Dynamicmodels@ercot.com" TargetMode="Externa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ercot.com/files/docs/2023/08/25/ERCOT-Strategic-Plan-2024-2028.pdf" TargetMode="External"/><Relationship Id="rId23" Type="http://schemas.microsoft.com/office/2018/08/relationships/commentsExtensible" Target="commentsExtensible.xm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Brittney.Albracht@ercot.co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3/08/25/ERCOT-Strategic-Plan-2024-2028.pdf" TargetMode="External"/><Relationship Id="rId22" Type="http://schemas.microsoft.com/office/2016/09/relationships/commentsIds" Target="commentsIds.xml"/><Relationship Id="rId27" Type="http://schemas.openxmlformats.org/officeDocument/2006/relationships/header" Target="header1.xml"/><Relationship Id="rId30" Type="http://schemas.openxmlformats.org/officeDocument/2006/relationships/footer" Target="footer3.xml"/><Relationship Id="rId8"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7deaf5a-01d9-4834-89d2-802f43df07d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38A853E2A21D478864F317E572DCF9" ma:contentTypeVersion="16" ma:contentTypeDescription="Create a new document." ma:contentTypeScope="" ma:versionID="336795b8953911241ca859b14dcd6106">
  <xsd:schema xmlns:xsd="http://www.w3.org/2001/XMLSchema" xmlns:xs="http://www.w3.org/2001/XMLSchema" xmlns:p="http://schemas.microsoft.com/office/2006/metadata/properties" xmlns:ns3="97deaf5a-01d9-4834-89d2-802f43df07d1" xmlns:ns4="ded7f6be-006e-48d8-8435-0405bc84a9a7" targetNamespace="http://schemas.microsoft.com/office/2006/metadata/properties" ma:root="true" ma:fieldsID="ecdf7c2197d38f0f1df2d0344a8c3108" ns3:_="" ns4:_="">
    <xsd:import namespace="97deaf5a-01d9-4834-89d2-802f43df07d1"/>
    <xsd:import namespace="ded7f6be-006e-48d8-8435-0405bc84a9a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eaf5a-01d9-4834-89d2-802f43df07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d7f6be-006e-48d8-8435-0405bc84a9a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91F78-5C41-42C8-8503-583B74168586}">
  <ds:schemaRefs>
    <ds:schemaRef ds:uri="http://schemas.microsoft.com/office/2006/metadata/properties"/>
    <ds:schemaRef ds:uri="http://schemas.microsoft.com/office/infopath/2007/PartnerControls"/>
    <ds:schemaRef ds:uri="97deaf5a-01d9-4834-89d2-802f43df07d1"/>
  </ds:schemaRefs>
</ds:datastoreItem>
</file>

<file path=customXml/itemProps2.xml><?xml version="1.0" encoding="utf-8"?>
<ds:datastoreItem xmlns:ds="http://schemas.openxmlformats.org/officeDocument/2006/customXml" ds:itemID="{B8C31522-541A-4B32-8C13-571A4210E76B}">
  <ds:schemaRefs>
    <ds:schemaRef ds:uri="http://schemas.microsoft.com/sharepoint/v3/contenttype/forms"/>
  </ds:schemaRefs>
</ds:datastoreItem>
</file>

<file path=customXml/itemProps3.xml><?xml version="1.0" encoding="utf-8"?>
<ds:datastoreItem xmlns:ds="http://schemas.openxmlformats.org/officeDocument/2006/customXml" ds:itemID="{0BB7749E-5BD7-4781-87D4-AD7CB756E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eaf5a-01d9-4834-89d2-802f43df07d1"/>
    <ds:schemaRef ds:uri="ded7f6be-006e-48d8-8435-0405bc84a9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669B4A-1A4E-4826-9FFD-E64FB156E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14</Pages>
  <Words>4880</Words>
  <Characters>26891</Characters>
  <Application>Microsoft Office Word</Application>
  <DocSecurity>0</DocSecurity>
  <Lines>584</Lines>
  <Paragraphs>235</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31536</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Brittney Albracht</cp:lastModifiedBy>
  <cp:revision>5</cp:revision>
  <cp:lastPrinted>2013-11-15T22:11:00Z</cp:lastPrinted>
  <dcterms:created xsi:type="dcterms:W3CDTF">2026-10-02T19:38:00Z</dcterms:created>
  <dcterms:modified xsi:type="dcterms:W3CDTF">2026-10-06T04:05:00Z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2023-12-27T17:27:57Z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e9e24716-fa7d-469d-a341-e7747804bdba</vt:lpwstr>
  </property>
  <property fmtid="{D5CDD505-2E9C-101B-9397-08002B2CF9AE}" pid="8" name="MSIP_Label_7084cbda-52b8-46fb-a7b7-cb5bd465ed85_ContentBits">
    <vt:lpwstr>0</vt:lpwstr>
  </property>
  <property fmtid="{D5CDD505-2E9C-101B-9397-08002B2CF9AE}" pid="9" name="ContentTypeId">
    <vt:lpwstr>0x010100E238A853E2A21D478864F317E572DCF9</vt:lpwstr>
  </property>
</Properties>
</file>