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1260"/>
        <w:gridCol w:w="1440"/>
        <w:gridCol w:w="6120"/>
      </w:tblGrid>
      <w:tr w:rsidR="004C53A1" w14:paraId="215C8263" w14:textId="77777777">
        <w:tc>
          <w:tcPr>
            <w:tcW w:w="162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74C5381" w14:textId="77777777" w:rsidR="004C53A1" w:rsidRDefault="004C53A1" w:rsidP="004C53A1">
            <w:pPr>
              <w:pStyle w:val="Header"/>
              <w:rPr>
                <w:rFonts w:ascii="Verdana" w:hAnsi="Verdana"/>
                <w:sz w:val="22"/>
              </w:rPr>
            </w:pPr>
            <w:r>
              <w:t>NOGRR Number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14:paraId="662C41D8" w14:textId="207BF8A7" w:rsidR="004C53A1" w:rsidRDefault="004C53A1" w:rsidP="004C53A1">
            <w:pPr>
              <w:pStyle w:val="Header"/>
            </w:pPr>
            <w:hyperlink r:id="rId7" w:history="1">
              <w:r w:rsidRPr="003A086A">
                <w:rPr>
                  <w:rStyle w:val="Hyperlink"/>
                </w:rPr>
                <w:t>289</w:t>
              </w:r>
            </w:hyperlink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AE6EE55" w14:textId="77777777" w:rsidR="004C53A1" w:rsidRDefault="004C53A1" w:rsidP="004C53A1">
            <w:pPr>
              <w:pStyle w:val="Header"/>
            </w:pPr>
            <w:r>
              <w:t>NOGRR Title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vAlign w:val="center"/>
          </w:tcPr>
          <w:p w14:paraId="18521E2E" w14:textId="0DC81531" w:rsidR="004C53A1" w:rsidRDefault="004C53A1" w:rsidP="004C53A1">
            <w:pPr>
              <w:pStyle w:val="Header"/>
            </w:pPr>
            <w:r>
              <w:t>Extension for LCL Cooling Load Ride-Through Compliance</w:t>
            </w:r>
          </w:p>
        </w:tc>
      </w:tr>
    </w:tbl>
    <w:p w14:paraId="05D43A71" w14:textId="77777777" w:rsidR="002771E6" w:rsidRDefault="002771E6"/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7560"/>
      </w:tblGrid>
      <w:tr w:rsidR="00152993" w14:paraId="65ED1417" w14:textId="77777777">
        <w:trPr>
          <w:trHeight w:val="44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2BDF8" w14:textId="77777777" w:rsidR="00152993" w:rsidRDefault="00152993">
            <w:pPr>
              <w:pStyle w:val="Header"/>
            </w:pPr>
            <w:r>
              <w:t>Date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EA06B" w14:textId="64B2837D" w:rsidR="00152993" w:rsidRDefault="00831E0B">
            <w:pPr>
              <w:pStyle w:val="NormalArial"/>
            </w:pPr>
            <w:r>
              <w:t>September 25, 2026</w:t>
            </w:r>
          </w:p>
        </w:tc>
      </w:tr>
    </w:tbl>
    <w:p w14:paraId="5B860268" w14:textId="77777777" w:rsidR="002771E6" w:rsidRDefault="002771E6"/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7560"/>
      </w:tblGrid>
      <w:tr w:rsidR="00152993" w14:paraId="766DECE3" w14:textId="77777777">
        <w:trPr>
          <w:trHeight w:val="440"/>
        </w:trPr>
        <w:tc>
          <w:tcPr>
            <w:tcW w:w="10440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F172832" w14:textId="77777777" w:rsidR="00152993" w:rsidRDefault="00152993">
            <w:pPr>
              <w:pStyle w:val="Header"/>
              <w:jc w:val="center"/>
            </w:pPr>
            <w:r>
              <w:t>Submitter’s Information</w:t>
            </w:r>
          </w:p>
        </w:tc>
      </w:tr>
      <w:tr w:rsidR="00152993" w14:paraId="6172064F" w14:textId="77777777">
        <w:trPr>
          <w:trHeight w:val="350"/>
        </w:trPr>
        <w:tc>
          <w:tcPr>
            <w:tcW w:w="2880" w:type="dxa"/>
            <w:shd w:val="clear" w:color="auto" w:fill="FFFFFF"/>
            <w:vAlign w:val="center"/>
          </w:tcPr>
          <w:p w14:paraId="7225C1CA" w14:textId="77777777" w:rsidR="00152993" w:rsidRPr="00EC55B3" w:rsidRDefault="00152993" w:rsidP="00EC55B3">
            <w:pPr>
              <w:pStyle w:val="Header"/>
            </w:pPr>
            <w:r w:rsidRPr="00EC55B3">
              <w:t>Name</w:t>
            </w:r>
          </w:p>
        </w:tc>
        <w:tc>
          <w:tcPr>
            <w:tcW w:w="7560" w:type="dxa"/>
            <w:vAlign w:val="center"/>
          </w:tcPr>
          <w:p w14:paraId="2D885001" w14:textId="3D39EE69" w:rsidR="00152993" w:rsidRDefault="004C53A1">
            <w:pPr>
              <w:pStyle w:val="NormalArial"/>
            </w:pPr>
            <w:r>
              <w:t>Patrick Gravois</w:t>
            </w:r>
          </w:p>
        </w:tc>
      </w:tr>
      <w:tr w:rsidR="00152993" w14:paraId="7192D1EC" w14:textId="77777777">
        <w:trPr>
          <w:trHeight w:val="350"/>
        </w:trPr>
        <w:tc>
          <w:tcPr>
            <w:tcW w:w="2880" w:type="dxa"/>
            <w:shd w:val="clear" w:color="auto" w:fill="FFFFFF"/>
            <w:vAlign w:val="center"/>
          </w:tcPr>
          <w:p w14:paraId="6E68FDA2" w14:textId="77777777" w:rsidR="00152993" w:rsidRPr="00EC55B3" w:rsidRDefault="00152993" w:rsidP="00EC55B3">
            <w:pPr>
              <w:pStyle w:val="Header"/>
            </w:pPr>
            <w:r w:rsidRPr="00EC55B3">
              <w:t>E-mail Address</w:t>
            </w:r>
          </w:p>
        </w:tc>
        <w:tc>
          <w:tcPr>
            <w:tcW w:w="7560" w:type="dxa"/>
            <w:vAlign w:val="center"/>
          </w:tcPr>
          <w:p w14:paraId="4CD71022" w14:textId="3AFAA218" w:rsidR="00152993" w:rsidRDefault="004C53A1">
            <w:pPr>
              <w:pStyle w:val="NormalArial"/>
            </w:pPr>
            <w:hyperlink r:id="rId8" w:history="1">
              <w:r w:rsidRPr="008C4319">
                <w:rPr>
                  <w:rStyle w:val="Hyperlink"/>
                </w:rPr>
                <w:t>Patrick.Gravois@ercot.com</w:t>
              </w:r>
            </w:hyperlink>
          </w:p>
        </w:tc>
      </w:tr>
      <w:tr w:rsidR="00152993" w14:paraId="44BE1923" w14:textId="77777777">
        <w:trPr>
          <w:trHeight w:val="350"/>
        </w:trPr>
        <w:tc>
          <w:tcPr>
            <w:tcW w:w="2880" w:type="dxa"/>
            <w:shd w:val="clear" w:color="auto" w:fill="FFFFFF"/>
            <w:vAlign w:val="center"/>
          </w:tcPr>
          <w:p w14:paraId="288C4851" w14:textId="77777777" w:rsidR="00152993" w:rsidRPr="00EC55B3" w:rsidRDefault="00152993" w:rsidP="00EC55B3">
            <w:pPr>
              <w:pStyle w:val="Header"/>
            </w:pPr>
            <w:r w:rsidRPr="00EC55B3">
              <w:t>Company</w:t>
            </w:r>
          </w:p>
        </w:tc>
        <w:tc>
          <w:tcPr>
            <w:tcW w:w="7560" w:type="dxa"/>
            <w:vAlign w:val="center"/>
          </w:tcPr>
          <w:p w14:paraId="28BF0F63" w14:textId="40D70398" w:rsidR="00152993" w:rsidRDefault="004C53A1">
            <w:pPr>
              <w:pStyle w:val="NormalArial"/>
            </w:pPr>
            <w:r>
              <w:t>ERCOT</w:t>
            </w:r>
          </w:p>
        </w:tc>
      </w:tr>
      <w:tr w:rsidR="00152993" w14:paraId="676A6F77" w14:textId="77777777">
        <w:trPr>
          <w:trHeight w:val="350"/>
        </w:trPr>
        <w:tc>
          <w:tcPr>
            <w:tcW w:w="288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BD73B31" w14:textId="77777777" w:rsidR="00152993" w:rsidRPr="00EC55B3" w:rsidRDefault="00152993" w:rsidP="00EC55B3">
            <w:pPr>
              <w:pStyle w:val="Header"/>
            </w:pPr>
            <w:r w:rsidRPr="00EC55B3">
              <w:t>Phone Number</w:t>
            </w:r>
          </w:p>
        </w:tc>
        <w:tc>
          <w:tcPr>
            <w:tcW w:w="7560" w:type="dxa"/>
            <w:tcBorders>
              <w:bottom w:val="single" w:sz="4" w:space="0" w:color="auto"/>
            </w:tcBorders>
            <w:vAlign w:val="center"/>
          </w:tcPr>
          <w:p w14:paraId="1B069AB9" w14:textId="77777777" w:rsidR="00152993" w:rsidRDefault="00152993">
            <w:pPr>
              <w:pStyle w:val="NormalArial"/>
            </w:pPr>
          </w:p>
        </w:tc>
      </w:tr>
      <w:tr w:rsidR="00152993" w14:paraId="163CFA84" w14:textId="77777777">
        <w:trPr>
          <w:trHeight w:val="350"/>
        </w:trPr>
        <w:tc>
          <w:tcPr>
            <w:tcW w:w="2880" w:type="dxa"/>
            <w:shd w:val="clear" w:color="auto" w:fill="FFFFFF"/>
            <w:vAlign w:val="center"/>
          </w:tcPr>
          <w:p w14:paraId="79431446" w14:textId="77777777" w:rsidR="00152993" w:rsidRPr="00EC55B3" w:rsidRDefault="00075A94" w:rsidP="00EC55B3">
            <w:pPr>
              <w:pStyle w:val="Header"/>
            </w:pPr>
            <w:r>
              <w:t>Cell</w:t>
            </w:r>
            <w:r w:rsidRPr="00EC55B3">
              <w:t xml:space="preserve"> </w:t>
            </w:r>
            <w:r w:rsidR="00152993" w:rsidRPr="00EC55B3">
              <w:t>Number</w:t>
            </w:r>
          </w:p>
        </w:tc>
        <w:tc>
          <w:tcPr>
            <w:tcW w:w="7560" w:type="dxa"/>
            <w:vAlign w:val="center"/>
          </w:tcPr>
          <w:p w14:paraId="1D6DBECA" w14:textId="1D8AA533" w:rsidR="00152993" w:rsidRDefault="004C53A1">
            <w:pPr>
              <w:pStyle w:val="NormalArial"/>
            </w:pPr>
            <w:r>
              <w:t>512-413-7489</w:t>
            </w:r>
          </w:p>
        </w:tc>
      </w:tr>
      <w:tr w:rsidR="00075A94" w14:paraId="0C83EA24" w14:textId="77777777">
        <w:trPr>
          <w:trHeight w:val="350"/>
        </w:trPr>
        <w:tc>
          <w:tcPr>
            <w:tcW w:w="288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C635718" w14:textId="77777777" w:rsidR="00075A94" w:rsidRPr="00EC55B3" w:rsidDel="00075A94" w:rsidRDefault="00075A94" w:rsidP="00EC55B3">
            <w:pPr>
              <w:pStyle w:val="Header"/>
            </w:pPr>
            <w:r>
              <w:t>Market Segment</w:t>
            </w:r>
          </w:p>
        </w:tc>
        <w:tc>
          <w:tcPr>
            <w:tcW w:w="7560" w:type="dxa"/>
            <w:tcBorders>
              <w:bottom w:val="single" w:sz="4" w:space="0" w:color="auto"/>
            </w:tcBorders>
            <w:vAlign w:val="center"/>
          </w:tcPr>
          <w:p w14:paraId="4A1115F3" w14:textId="7AA53D9B" w:rsidR="00075A94" w:rsidRDefault="004C53A1">
            <w:pPr>
              <w:pStyle w:val="NormalArial"/>
            </w:pPr>
            <w:r>
              <w:t>N</w:t>
            </w:r>
            <w:r w:rsidR="002C17C1">
              <w:t>ot applicable</w:t>
            </w:r>
          </w:p>
        </w:tc>
      </w:tr>
    </w:tbl>
    <w:p w14:paraId="6D5A4E1A" w14:textId="77777777" w:rsidR="00075A94" w:rsidRDefault="00075A94">
      <w:pPr>
        <w:pStyle w:val="NormalArial"/>
      </w:pPr>
    </w:p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40"/>
      </w:tblGrid>
      <w:tr w:rsidR="004855D4" w14:paraId="47B91B25" w14:textId="77777777" w:rsidTr="009717CE">
        <w:trPr>
          <w:trHeight w:val="350"/>
        </w:trPr>
        <w:tc>
          <w:tcPr>
            <w:tcW w:w="1044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E741E3E" w14:textId="77114C3E" w:rsidR="004855D4" w:rsidRDefault="004855D4" w:rsidP="009717CE">
            <w:pPr>
              <w:pStyle w:val="Header"/>
              <w:jc w:val="center"/>
            </w:pPr>
            <w:r>
              <w:t>Comments</w:t>
            </w:r>
          </w:p>
        </w:tc>
      </w:tr>
    </w:tbl>
    <w:p w14:paraId="1AE37C62" w14:textId="3BB42B4C" w:rsidR="00152993" w:rsidRDefault="00C12127" w:rsidP="004855D4">
      <w:pPr>
        <w:pStyle w:val="NormalArial"/>
        <w:spacing w:before="120" w:after="120"/>
      </w:pPr>
      <w:r>
        <w:t xml:space="preserve">ERCOT submits these comments </w:t>
      </w:r>
      <w:r w:rsidR="004855D4">
        <w:t>to Nodal Operating Guide Revision Request (</w:t>
      </w:r>
      <w:r>
        <w:t>NOGRR</w:t>
      </w:r>
      <w:r w:rsidR="004855D4">
        <w:t xml:space="preserve">) </w:t>
      </w:r>
      <w:r>
        <w:t>289, which was submitted by SB Energy on July 21, 2026.</w:t>
      </w:r>
    </w:p>
    <w:p w14:paraId="4FF00A35" w14:textId="68771B95" w:rsidR="00A11B8D" w:rsidRDefault="44A6C540" w:rsidP="004855D4">
      <w:pPr>
        <w:pStyle w:val="NormalArial"/>
        <w:spacing w:before="120" w:after="120"/>
      </w:pPr>
      <w:r>
        <w:t xml:space="preserve">ERCOT has several concerns with the additional exemptions proposed in NOGRR289 and </w:t>
      </w:r>
      <w:r w:rsidR="0091652E">
        <w:t xml:space="preserve">proposes further discussion with </w:t>
      </w:r>
      <w:r w:rsidR="002575E4">
        <w:t>developers</w:t>
      </w:r>
      <w:r w:rsidR="0091652E">
        <w:t xml:space="preserve"> </w:t>
      </w:r>
      <w:r w:rsidR="002575E4">
        <w:t xml:space="preserve">of Large Computational Load (LCL) projects </w:t>
      </w:r>
      <w:r w:rsidR="0091652E">
        <w:t xml:space="preserve">and </w:t>
      </w:r>
      <w:r w:rsidR="002B726E">
        <w:t>original equipment manufacturers (</w:t>
      </w:r>
      <w:r w:rsidR="0091652E">
        <w:t>OEMs</w:t>
      </w:r>
      <w:r w:rsidR="002B726E">
        <w:t>)</w:t>
      </w:r>
      <w:r w:rsidR="0091652E">
        <w:t xml:space="preserve"> before this NOGRR is permitted to proceed</w:t>
      </w:r>
      <w:r w:rsidR="0F652DE7">
        <w:t xml:space="preserve">.  In recent months, ERCOT has identified </w:t>
      </w:r>
      <w:r w:rsidR="315FAC9B">
        <w:t>multiple</w:t>
      </w:r>
      <w:r w:rsidR="0F652DE7">
        <w:t xml:space="preserve"> new </w:t>
      </w:r>
      <w:r w:rsidR="6C0AFCE6">
        <w:t xml:space="preserve">potential </w:t>
      </w:r>
      <w:r w:rsidR="75E71118">
        <w:t xml:space="preserve">Interconnection Reliability Operating Limits (IROLs) driven by the addition of new LCLs on the system.  </w:t>
      </w:r>
      <w:r w:rsidR="49010E7E">
        <w:t xml:space="preserve">These IROLs are driven by the reality that </w:t>
      </w:r>
      <w:r w:rsidR="04027153">
        <w:t>many operational LCLs</w:t>
      </w:r>
      <w:r w:rsidR="49010E7E">
        <w:t xml:space="preserve"> are </w:t>
      </w:r>
      <w:r w:rsidR="77CF93F5">
        <w:t>exempt from the ride-through req</w:t>
      </w:r>
      <w:r w:rsidR="6FC4FF56">
        <w:t>uirements introduced in NOGRR282</w:t>
      </w:r>
      <w:r w:rsidR="004855D4">
        <w:t xml:space="preserve">, </w:t>
      </w:r>
      <w:r w:rsidR="004855D4" w:rsidRPr="004855D4">
        <w:t xml:space="preserve">Board Priority - Large </w:t>
      </w:r>
      <w:proofErr w:type="gramStart"/>
      <w:r w:rsidR="004855D4" w:rsidRPr="004855D4">
        <w:t>Computational Load</w:t>
      </w:r>
      <w:proofErr w:type="gramEnd"/>
      <w:r w:rsidR="004855D4" w:rsidRPr="004855D4">
        <w:t xml:space="preserve"> Ride-Through Requirements</w:t>
      </w:r>
      <w:r w:rsidR="004855D4">
        <w:t>,</w:t>
      </w:r>
      <w:r w:rsidR="6FC4FF56">
        <w:t xml:space="preserve"> and </w:t>
      </w:r>
      <w:r w:rsidR="00B6480B">
        <w:t xml:space="preserve">may </w:t>
      </w:r>
      <w:r w:rsidR="14912E1B">
        <w:t xml:space="preserve">significantly </w:t>
      </w:r>
      <w:r w:rsidR="62E453F1">
        <w:t xml:space="preserve">reduce consumption during </w:t>
      </w:r>
      <w:r w:rsidR="14912E1B">
        <w:t xml:space="preserve">normal system </w:t>
      </w:r>
      <w:r w:rsidR="62E453F1">
        <w:t xml:space="preserve">disturbance events.  </w:t>
      </w:r>
      <w:r w:rsidR="5CDA57B4">
        <w:t>As more of these LCLs energize or reach their full approved levels of peak Demand</w:t>
      </w:r>
      <w:r w:rsidR="001847F2">
        <w:t xml:space="preserve"> in the coming months</w:t>
      </w:r>
      <w:r w:rsidR="5CDA57B4">
        <w:t xml:space="preserve">, </w:t>
      </w:r>
      <w:r w:rsidR="411D5899">
        <w:t xml:space="preserve">ERCOT expects that these IROLs will need to be managed in </w:t>
      </w:r>
      <w:r w:rsidR="004855D4">
        <w:t>R</w:t>
      </w:r>
      <w:r w:rsidR="411D5899">
        <w:t>eal-</w:t>
      </w:r>
      <w:r w:rsidR="004855D4">
        <w:t>T</w:t>
      </w:r>
      <w:r w:rsidR="411D5899">
        <w:t xml:space="preserve">ime using Mitigation Plans that will involve </w:t>
      </w:r>
      <w:r w:rsidR="57DFC3A2">
        <w:t>maintaining</w:t>
      </w:r>
      <w:r w:rsidR="565BD58B">
        <w:t xml:space="preserve"> </w:t>
      </w:r>
      <w:r w:rsidR="74E891EF">
        <w:t>con</w:t>
      </w:r>
      <w:r w:rsidR="71D64B50">
        <w:t>sumption</w:t>
      </w:r>
      <w:r w:rsidR="57DFC3A2">
        <w:t xml:space="preserve"> levels</w:t>
      </w:r>
      <w:r w:rsidR="3B82F643">
        <w:t xml:space="preserve"> </w:t>
      </w:r>
      <w:r w:rsidR="459B585E">
        <w:t xml:space="preserve">of </w:t>
      </w:r>
      <w:r w:rsidR="1D91C87F">
        <w:t xml:space="preserve">identified </w:t>
      </w:r>
      <w:r w:rsidR="00A34D2F">
        <w:t>NOGRR282-</w:t>
      </w:r>
      <w:r w:rsidR="1D91C87F">
        <w:t>exempt</w:t>
      </w:r>
      <w:r w:rsidR="739CA2B2">
        <w:t xml:space="preserve"> LCLs </w:t>
      </w:r>
      <w:r w:rsidR="57DFC3A2">
        <w:t>below the IROL</w:t>
      </w:r>
      <w:r w:rsidR="001847F2">
        <w:t>’</w:t>
      </w:r>
      <w:r w:rsidR="1EBA7257">
        <w:t>s 3</w:t>
      </w:r>
      <w:r w:rsidR="001847F2">
        <w:t>,</w:t>
      </w:r>
      <w:r w:rsidR="1EBA7257">
        <w:t>200</w:t>
      </w:r>
      <w:r w:rsidR="001847F2">
        <w:t xml:space="preserve"> </w:t>
      </w:r>
      <w:r w:rsidR="1EBA7257">
        <w:t>MW</w:t>
      </w:r>
      <w:r w:rsidR="57DFC3A2">
        <w:t xml:space="preserve"> limit</w:t>
      </w:r>
      <w:r w:rsidR="001847F2">
        <w:t>.</w:t>
      </w:r>
      <w:r w:rsidR="57DFC3A2">
        <w:t xml:space="preserve"> </w:t>
      </w:r>
      <w:r w:rsidR="000B2ACB">
        <w:t xml:space="preserve">These </w:t>
      </w:r>
      <w:r w:rsidR="00CB36F7">
        <w:t>Mitigation Plans</w:t>
      </w:r>
      <w:r w:rsidR="4671927F">
        <w:t xml:space="preserve"> will be</w:t>
      </w:r>
      <w:r w:rsidR="3B82F643">
        <w:t xml:space="preserve"> </w:t>
      </w:r>
      <w:r w:rsidR="00CB36F7">
        <w:t>implemented</w:t>
      </w:r>
      <w:r w:rsidR="1D7B69B1">
        <w:t xml:space="preserve"> by the applicable Transmission Operators (TOs)</w:t>
      </w:r>
      <w:r w:rsidR="00F3262A">
        <w:t xml:space="preserve"> for stand</w:t>
      </w:r>
      <w:r w:rsidR="00870BA3">
        <w:t>alone projects and</w:t>
      </w:r>
      <w:r w:rsidR="004855D4">
        <w:t xml:space="preserve"> Qualified Scheduling Entities (</w:t>
      </w:r>
      <w:r w:rsidR="00870BA3">
        <w:t>QSEs</w:t>
      </w:r>
      <w:r w:rsidR="004855D4">
        <w:t>)</w:t>
      </w:r>
      <w:r w:rsidR="00870BA3">
        <w:t xml:space="preserve"> for projects co-located with Generation Resources</w:t>
      </w:r>
      <w:r w:rsidR="1D7B69B1">
        <w:t>.</w:t>
      </w:r>
      <w:r w:rsidR="4852642A">
        <w:t xml:space="preserve">  The proposal in NOGRR289 to exempt additional </w:t>
      </w:r>
      <w:r w:rsidR="004855D4">
        <w:t>L</w:t>
      </w:r>
      <w:r w:rsidR="4852642A">
        <w:t xml:space="preserve">oad from the ride-through requirements, even on a temporary basis, </w:t>
      </w:r>
      <w:r w:rsidR="767A22B4">
        <w:t>compounds this problem.  By introducing additional MWs that cannot ride through</w:t>
      </w:r>
      <w:r w:rsidR="79B97610">
        <w:t xml:space="preserve"> as part of</w:t>
      </w:r>
      <w:r w:rsidR="767A22B4">
        <w:t xml:space="preserve"> this NOGRR</w:t>
      </w:r>
      <w:r w:rsidR="1C986D53">
        <w:t>,</w:t>
      </w:r>
      <w:r w:rsidR="767A22B4">
        <w:t xml:space="preserve"> </w:t>
      </w:r>
      <w:r w:rsidR="4FAD7BB5">
        <w:t>the</w:t>
      </w:r>
      <w:r w:rsidR="4D92AB2D">
        <w:t xml:space="preserve">se IROL areas will </w:t>
      </w:r>
      <w:r w:rsidR="04033BEF">
        <w:t xml:space="preserve">need to be managed sooner, more frequently, and with more MWs being </w:t>
      </w:r>
      <w:r w:rsidR="4EFD0BD7">
        <w:t>curtailed</w:t>
      </w:r>
      <w:r w:rsidR="04033BEF">
        <w:t xml:space="preserve"> to maintain system reliability. </w:t>
      </w:r>
      <w:r w:rsidR="45DC0829">
        <w:t xml:space="preserve"> </w:t>
      </w:r>
      <w:r w:rsidR="0AD7ECDC">
        <w:t xml:space="preserve">It is also possible this </w:t>
      </w:r>
      <w:r w:rsidR="5E8438E1">
        <w:t xml:space="preserve">NOGRR would lead to the establishment of additional IROLs that would otherwise </w:t>
      </w:r>
      <w:r w:rsidR="7D7E6E97">
        <w:t>not be needed.</w:t>
      </w:r>
    </w:p>
    <w:p w14:paraId="03977D37" w14:textId="552682A7" w:rsidR="00436B87" w:rsidRDefault="0AD7ECDC" w:rsidP="004855D4">
      <w:pPr>
        <w:pStyle w:val="NormalArial"/>
        <w:spacing w:before="120" w:after="240"/>
      </w:pPr>
      <w:r>
        <w:t xml:space="preserve">ERCOT has performed a preliminary </w:t>
      </w:r>
      <w:r w:rsidR="00461825">
        <w:t>assessment</w:t>
      </w:r>
      <w:r>
        <w:t xml:space="preserve"> of the impact of NOGRR28</w:t>
      </w:r>
      <w:r w:rsidR="7D7E6E97">
        <w:t xml:space="preserve">9 on the </w:t>
      </w:r>
      <w:r w:rsidR="09285382">
        <w:t xml:space="preserve">impending </w:t>
      </w:r>
      <w:r w:rsidR="36F8CD61">
        <w:t xml:space="preserve">IROLs in the </w:t>
      </w:r>
      <w:r w:rsidR="0471D4C6">
        <w:t xml:space="preserve">North Central and West Texas </w:t>
      </w:r>
      <w:r w:rsidR="5444CFC0">
        <w:t>regions</w:t>
      </w:r>
      <w:r w:rsidR="36F8CD61">
        <w:t xml:space="preserve">.  Using a base assumption that cooling load </w:t>
      </w:r>
      <w:r w:rsidR="4E249FD9">
        <w:t xml:space="preserve">accounts for 20% </w:t>
      </w:r>
      <w:r w:rsidR="0AFD869C">
        <w:t xml:space="preserve">to 30% </w:t>
      </w:r>
      <w:r w:rsidR="4E249FD9">
        <w:t xml:space="preserve">of the overall approved </w:t>
      </w:r>
      <w:r w:rsidR="004855D4">
        <w:t>L</w:t>
      </w:r>
      <w:r w:rsidR="4E249FD9">
        <w:t>oad amount</w:t>
      </w:r>
      <w:r w:rsidR="00461825">
        <w:t xml:space="preserve"> with a voltage tripping threshold of 0.7 p</w:t>
      </w:r>
      <w:r w:rsidR="00FB583E">
        <w:t>.</w:t>
      </w:r>
      <w:r w:rsidR="00461825">
        <w:t>u</w:t>
      </w:r>
      <w:r w:rsidR="00FB583E">
        <w:t>.</w:t>
      </w:r>
      <w:r w:rsidR="00461825">
        <w:t xml:space="preserve"> based on the Information </w:t>
      </w:r>
      <w:r w:rsidR="00461825">
        <w:lastRenderedPageBreak/>
        <w:t>Technology Industry Council (ITIC) curve</w:t>
      </w:r>
      <w:r w:rsidR="4E249FD9">
        <w:t xml:space="preserve">, </w:t>
      </w:r>
      <w:r w:rsidR="0D75D522">
        <w:t xml:space="preserve">the </w:t>
      </w:r>
      <w:r w:rsidR="00461825">
        <w:t>assessment</w:t>
      </w:r>
      <w:r w:rsidR="0D75D522">
        <w:t xml:space="preserve"> </w:t>
      </w:r>
      <w:r w:rsidR="53582D44">
        <w:t xml:space="preserve">showed that NOGRR289 would </w:t>
      </w:r>
      <w:r w:rsidR="00FC2035">
        <w:t xml:space="preserve">potentially </w:t>
      </w:r>
      <w:r w:rsidR="7167FCC4">
        <w:t xml:space="preserve">increase the amount of </w:t>
      </w:r>
      <w:r w:rsidR="004855D4">
        <w:t>L</w:t>
      </w:r>
      <w:r w:rsidR="7167FCC4">
        <w:t>oad</w:t>
      </w:r>
      <w:r w:rsidR="09D8246F">
        <w:t xml:space="preserve"> unable to ride through</w:t>
      </w:r>
      <w:r w:rsidR="7167FCC4">
        <w:t xml:space="preserve"> within the IROL </w:t>
      </w:r>
      <w:r w:rsidR="362E0E29">
        <w:t>area</w:t>
      </w:r>
      <w:r w:rsidR="09D8246F">
        <w:t xml:space="preserve"> by the amounts shown in the table below. </w:t>
      </w:r>
      <w:r w:rsidR="4B693386">
        <w:t xml:space="preserve"> This increase would </w:t>
      </w:r>
      <w:r w:rsidR="5A88F42E">
        <w:t xml:space="preserve">almost certainly require </w:t>
      </w:r>
      <w:r w:rsidR="004855D4">
        <w:t>R</w:t>
      </w:r>
      <w:r w:rsidR="5A88F42E">
        <w:t>eal-</w:t>
      </w:r>
      <w:r w:rsidR="004855D4">
        <w:t>T</w:t>
      </w:r>
      <w:r w:rsidR="5A88F42E">
        <w:t>ime management of the IROL sooner, with more MWs needing to be curtailed.</w:t>
      </w:r>
      <w:r w:rsidR="611451F2">
        <w:t xml:space="preserve"> </w:t>
      </w:r>
    </w:p>
    <w:tbl>
      <w:tblPr>
        <w:tblW w:w="93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147"/>
        <w:gridCol w:w="803"/>
        <w:gridCol w:w="1068"/>
        <w:gridCol w:w="1068"/>
        <w:gridCol w:w="1069"/>
        <w:gridCol w:w="1068"/>
        <w:gridCol w:w="1068"/>
        <w:gridCol w:w="1069"/>
      </w:tblGrid>
      <w:tr w:rsidR="008C41FB" w14:paraId="69880E43" w14:textId="77777777" w:rsidTr="00CD0B95">
        <w:trPr>
          <w:trHeight w:val="276"/>
        </w:trPr>
        <w:tc>
          <w:tcPr>
            <w:tcW w:w="2147" w:type="dxa"/>
            <w:vMerge w:val="restart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17A847A" w14:textId="77777777" w:rsidR="008C41FB" w:rsidRPr="008D7D94" w:rsidRDefault="008C41FB" w:rsidP="004855D4">
            <w:pPr>
              <w:pStyle w:val="NormalWeb"/>
              <w:spacing w:before="0" w:beforeAutospacing="0" w:after="0" w:afterAutospacing="0"/>
              <w:textAlignment w:val="bottom"/>
              <w:rPr>
                <w:rFonts w:ascii="Arial" w:hAnsi="Arial" w:cs="Arial"/>
              </w:rPr>
            </w:pPr>
            <w:r w:rsidRPr="008D7D94">
              <w:rPr>
                <w:rFonts w:ascii="Aptos Narrow" w:hAnsi="Aptos Narrow" w:cs="Arial"/>
                <w:color w:val="000000"/>
                <w:kern w:val="24"/>
              </w:rPr>
              <w:t> </w:t>
            </w:r>
          </w:p>
          <w:p w14:paraId="5438E2AF" w14:textId="77777777" w:rsidR="008C41FB" w:rsidRPr="008D7D94" w:rsidRDefault="008C41FB" w:rsidP="004855D4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</w:rPr>
            </w:pPr>
            <w:r w:rsidRPr="008D7D94">
              <w:rPr>
                <w:rFonts w:ascii="Aptos Narrow" w:hAnsi="Aptos Narrow" w:cs="Arial"/>
                <w:color w:val="000000"/>
                <w:kern w:val="24"/>
              </w:rPr>
              <w:t> Summary</w:t>
            </w:r>
          </w:p>
        </w:tc>
        <w:tc>
          <w:tcPr>
            <w:tcW w:w="803" w:type="dxa"/>
            <w:vMerge w:val="restart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55D2D6B" w14:textId="77777777" w:rsidR="008C41FB" w:rsidRPr="008D7D94" w:rsidRDefault="008C41FB" w:rsidP="004855D4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b/>
              </w:rPr>
            </w:pPr>
            <w:r w:rsidRPr="008D7D94">
              <w:rPr>
                <w:rFonts w:ascii="Aptos Narrow" w:hAnsi="Aptos Narrow" w:cs="Arial"/>
                <w:b/>
                <w:color w:val="000000"/>
                <w:kern w:val="24"/>
              </w:rPr>
              <w:t> </w:t>
            </w:r>
          </w:p>
          <w:p w14:paraId="02A418A6" w14:textId="77777777" w:rsidR="008C41FB" w:rsidRPr="008D7D94" w:rsidRDefault="008C41FB" w:rsidP="004855D4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b/>
              </w:rPr>
            </w:pPr>
            <w:r w:rsidRPr="008D7D94">
              <w:rPr>
                <w:rFonts w:ascii="Aptos Narrow" w:hAnsi="Aptos Narrow" w:cs="Arial"/>
                <w:b/>
                <w:color w:val="000000"/>
                <w:kern w:val="24"/>
              </w:rPr>
              <w:t xml:space="preserve">Base </w:t>
            </w:r>
          </w:p>
          <w:p w14:paraId="6C524350" w14:textId="77777777" w:rsidR="008C41FB" w:rsidRPr="008D7D94" w:rsidRDefault="008C41FB" w:rsidP="004855D4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b/>
              </w:rPr>
            </w:pPr>
            <w:r w:rsidRPr="008D7D94">
              <w:rPr>
                <w:rFonts w:ascii="Aptos Narrow" w:hAnsi="Aptos Narrow" w:cs="Arial"/>
                <w:b/>
                <w:color w:val="000000"/>
                <w:kern w:val="24"/>
              </w:rPr>
              <w:t>Case</w:t>
            </w:r>
          </w:p>
        </w:tc>
        <w:tc>
          <w:tcPr>
            <w:tcW w:w="6410" w:type="dxa"/>
            <w:gridSpan w:val="6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AED37F2" w14:textId="77777777" w:rsidR="008C41FB" w:rsidRPr="008D7D94" w:rsidRDefault="008C41FB" w:rsidP="004855D4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b/>
              </w:rPr>
            </w:pPr>
            <w:r w:rsidRPr="008D7D94">
              <w:rPr>
                <w:rFonts w:ascii="Aptos Narrow" w:hAnsi="Aptos Narrow" w:cs="Arial"/>
                <w:b/>
                <w:color w:val="000000"/>
                <w:kern w:val="24"/>
              </w:rPr>
              <w:t>Base + 17GW LL</w:t>
            </w:r>
          </w:p>
        </w:tc>
      </w:tr>
      <w:tr w:rsidR="008C41FB" w14:paraId="7251FAD9" w14:textId="77777777" w:rsidTr="00CD0B95">
        <w:trPr>
          <w:trHeight w:val="276"/>
        </w:trPr>
        <w:tc>
          <w:tcPr>
            <w:tcW w:w="2147" w:type="dxa"/>
            <w:vMerge/>
            <w:vAlign w:val="center"/>
            <w:hideMark/>
          </w:tcPr>
          <w:p w14:paraId="239807E5" w14:textId="77777777" w:rsidR="008C41FB" w:rsidRPr="00CD0B95" w:rsidRDefault="008C41FB" w:rsidP="004855D4">
            <w:pPr>
              <w:rPr>
                <w:rFonts w:ascii="Arial" w:hAnsi="Arial" w:cs="Arial"/>
              </w:rPr>
            </w:pPr>
          </w:p>
        </w:tc>
        <w:tc>
          <w:tcPr>
            <w:tcW w:w="803" w:type="dxa"/>
            <w:vMerge/>
            <w:vAlign w:val="center"/>
            <w:hideMark/>
          </w:tcPr>
          <w:p w14:paraId="1A7390B8" w14:textId="77777777" w:rsidR="008C41FB" w:rsidRPr="00CD0B95" w:rsidRDefault="008C41FB" w:rsidP="004855D4">
            <w:pPr>
              <w:rPr>
                <w:rFonts w:ascii="Arial" w:hAnsi="Arial" w:cs="Arial"/>
                <w:b/>
              </w:rPr>
            </w:pPr>
          </w:p>
        </w:tc>
        <w:tc>
          <w:tcPr>
            <w:tcW w:w="1068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E83A2FB" w14:textId="77777777" w:rsidR="008C41FB" w:rsidRPr="00CD0B95" w:rsidRDefault="008C41FB" w:rsidP="004855D4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b/>
              </w:rPr>
            </w:pPr>
            <w:r w:rsidRPr="00CD0B95">
              <w:rPr>
                <w:rFonts w:ascii="Aptos Narrow" w:hAnsi="Aptos Narrow" w:cs="Arial"/>
                <w:b/>
                <w:color w:val="000000"/>
                <w:kern w:val="24"/>
              </w:rPr>
              <w:t>Cooling</w:t>
            </w:r>
          </w:p>
          <w:p w14:paraId="7B10639A" w14:textId="77777777" w:rsidR="008C41FB" w:rsidRPr="00CD0B95" w:rsidRDefault="008C41FB" w:rsidP="004855D4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b/>
              </w:rPr>
            </w:pPr>
            <w:r w:rsidRPr="00CD0B95">
              <w:rPr>
                <w:rFonts w:ascii="Aptos Narrow" w:hAnsi="Aptos Narrow" w:cs="Arial"/>
                <w:b/>
                <w:color w:val="000000"/>
                <w:kern w:val="24"/>
              </w:rPr>
              <w:t>20%</w:t>
            </w:r>
          </w:p>
        </w:tc>
        <w:tc>
          <w:tcPr>
            <w:tcW w:w="1068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ECA04C7" w14:textId="77777777" w:rsidR="008C41FB" w:rsidRPr="00CD0B95" w:rsidRDefault="008C41FB" w:rsidP="004855D4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b/>
              </w:rPr>
            </w:pPr>
            <w:r w:rsidRPr="00CD0B95">
              <w:rPr>
                <w:rFonts w:ascii="Aptos Narrow" w:hAnsi="Aptos Narrow" w:cs="Arial"/>
                <w:b/>
                <w:color w:val="000000"/>
                <w:kern w:val="24"/>
              </w:rPr>
              <w:t>Cooling</w:t>
            </w:r>
          </w:p>
          <w:p w14:paraId="67262D9E" w14:textId="77777777" w:rsidR="008C41FB" w:rsidRPr="00CD0B95" w:rsidRDefault="008C41FB" w:rsidP="004855D4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b/>
              </w:rPr>
            </w:pPr>
            <w:r w:rsidRPr="00CD0B95">
              <w:rPr>
                <w:rFonts w:ascii="Aptos Narrow" w:hAnsi="Aptos Narrow" w:cs="Arial"/>
                <w:b/>
                <w:color w:val="000000"/>
                <w:kern w:val="24"/>
              </w:rPr>
              <w:t>25%</w:t>
            </w:r>
          </w:p>
        </w:tc>
        <w:tc>
          <w:tcPr>
            <w:tcW w:w="1069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EB0F2BF" w14:textId="77777777" w:rsidR="008C41FB" w:rsidRPr="00CD0B95" w:rsidRDefault="008C41FB" w:rsidP="004855D4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b/>
              </w:rPr>
            </w:pPr>
            <w:r w:rsidRPr="00CD0B95">
              <w:rPr>
                <w:rFonts w:ascii="Aptos Narrow" w:hAnsi="Aptos Narrow" w:cs="Arial"/>
                <w:b/>
                <w:color w:val="000000"/>
                <w:kern w:val="24"/>
              </w:rPr>
              <w:t>Cooling</w:t>
            </w:r>
          </w:p>
          <w:p w14:paraId="255D55E4" w14:textId="77777777" w:rsidR="008C41FB" w:rsidRPr="00CD0B95" w:rsidRDefault="008C41FB" w:rsidP="004855D4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b/>
              </w:rPr>
            </w:pPr>
            <w:r w:rsidRPr="00CD0B95">
              <w:rPr>
                <w:rFonts w:ascii="Aptos Narrow" w:hAnsi="Aptos Narrow" w:cs="Arial"/>
                <w:b/>
                <w:color w:val="000000"/>
                <w:kern w:val="24"/>
              </w:rPr>
              <w:t>30%</w:t>
            </w:r>
          </w:p>
        </w:tc>
        <w:tc>
          <w:tcPr>
            <w:tcW w:w="1068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8B4D0C4" w14:textId="77777777" w:rsidR="008C41FB" w:rsidRPr="00CD0B95" w:rsidRDefault="008C41FB" w:rsidP="004855D4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b/>
              </w:rPr>
            </w:pPr>
            <w:r w:rsidRPr="00CD0B95">
              <w:rPr>
                <w:rFonts w:ascii="Aptos Narrow" w:hAnsi="Aptos Narrow" w:cs="Arial"/>
                <w:b/>
                <w:color w:val="000000"/>
                <w:kern w:val="24"/>
              </w:rPr>
              <w:t>Cooling</w:t>
            </w:r>
          </w:p>
          <w:p w14:paraId="1BB9A6E1" w14:textId="77777777" w:rsidR="008C41FB" w:rsidRPr="00CD0B95" w:rsidRDefault="008C41FB" w:rsidP="004855D4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b/>
              </w:rPr>
            </w:pPr>
            <w:r w:rsidRPr="00CD0B95">
              <w:rPr>
                <w:rFonts w:ascii="Aptos Narrow" w:hAnsi="Aptos Narrow" w:cs="Arial"/>
                <w:b/>
                <w:color w:val="000000"/>
                <w:kern w:val="24"/>
              </w:rPr>
              <w:t>20%</w:t>
            </w:r>
          </w:p>
        </w:tc>
        <w:tc>
          <w:tcPr>
            <w:tcW w:w="1068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C43B7A4" w14:textId="77777777" w:rsidR="008C41FB" w:rsidRPr="00CD0B95" w:rsidRDefault="008C41FB" w:rsidP="004855D4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b/>
              </w:rPr>
            </w:pPr>
            <w:r w:rsidRPr="00CD0B95">
              <w:rPr>
                <w:rFonts w:ascii="Aptos Narrow" w:hAnsi="Aptos Narrow" w:cs="Arial"/>
                <w:b/>
                <w:color w:val="000000"/>
                <w:kern w:val="24"/>
              </w:rPr>
              <w:t>Cooling</w:t>
            </w:r>
          </w:p>
          <w:p w14:paraId="0CE8E75F" w14:textId="77777777" w:rsidR="008C41FB" w:rsidRPr="00CD0B95" w:rsidRDefault="008C41FB" w:rsidP="004855D4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b/>
              </w:rPr>
            </w:pPr>
            <w:r w:rsidRPr="00CD0B95">
              <w:rPr>
                <w:rFonts w:ascii="Aptos Narrow" w:hAnsi="Aptos Narrow" w:cs="Arial"/>
                <w:b/>
                <w:color w:val="000000"/>
                <w:kern w:val="24"/>
              </w:rPr>
              <w:t>25%</w:t>
            </w:r>
          </w:p>
        </w:tc>
        <w:tc>
          <w:tcPr>
            <w:tcW w:w="1069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E00E45A" w14:textId="77777777" w:rsidR="008C41FB" w:rsidRPr="00CD0B95" w:rsidRDefault="008C41FB" w:rsidP="004855D4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b/>
              </w:rPr>
            </w:pPr>
            <w:r w:rsidRPr="00CD0B95">
              <w:rPr>
                <w:rFonts w:ascii="Aptos Narrow" w:hAnsi="Aptos Narrow" w:cs="Arial"/>
                <w:b/>
                <w:color w:val="000000"/>
                <w:kern w:val="24"/>
              </w:rPr>
              <w:t>Cooling</w:t>
            </w:r>
          </w:p>
          <w:p w14:paraId="63453D6A" w14:textId="77777777" w:rsidR="008C41FB" w:rsidRPr="00CD0B95" w:rsidRDefault="008C41FB" w:rsidP="004855D4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b/>
              </w:rPr>
            </w:pPr>
            <w:r w:rsidRPr="00CD0B95">
              <w:rPr>
                <w:rFonts w:ascii="Aptos Narrow" w:hAnsi="Aptos Narrow" w:cs="Arial"/>
                <w:b/>
                <w:color w:val="000000"/>
                <w:kern w:val="24"/>
              </w:rPr>
              <w:t>30%</w:t>
            </w:r>
          </w:p>
        </w:tc>
      </w:tr>
      <w:tr w:rsidR="008C41FB" w14:paraId="58FCE627" w14:textId="77777777" w:rsidTr="00CD0B95">
        <w:trPr>
          <w:trHeight w:val="499"/>
        </w:trPr>
        <w:tc>
          <w:tcPr>
            <w:tcW w:w="2147" w:type="dxa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4E1153E3" w14:textId="77777777" w:rsidR="008C41FB" w:rsidRPr="008D7D94" w:rsidRDefault="008C41FB" w:rsidP="004855D4">
            <w:pPr>
              <w:pStyle w:val="NormalWeb"/>
              <w:spacing w:before="0" w:beforeAutospacing="0" w:after="0" w:afterAutospacing="0"/>
              <w:textAlignment w:val="bottom"/>
              <w:rPr>
                <w:rFonts w:ascii="Arial" w:hAnsi="Arial" w:cs="Arial"/>
                <w:b/>
              </w:rPr>
            </w:pPr>
            <w:r w:rsidRPr="008D7D94">
              <w:rPr>
                <w:rFonts w:ascii="Aptos Narrow" w:hAnsi="Aptos Narrow" w:cs="Arial"/>
                <w:b/>
                <w:color w:val="000000"/>
                <w:kern w:val="24"/>
              </w:rPr>
              <w:t># of buses with Large Load loss &gt; 3200 MW</w:t>
            </w:r>
          </w:p>
        </w:tc>
        <w:tc>
          <w:tcPr>
            <w:tcW w:w="803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9CC0B74" w14:textId="77777777" w:rsidR="008C41FB" w:rsidRPr="008D7D94" w:rsidRDefault="008C41FB" w:rsidP="004855D4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</w:rPr>
            </w:pPr>
            <w:r w:rsidRPr="008D7D94">
              <w:rPr>
                <w:rFonts w:ascii="Aptos Narrow" w:hAnsi="Aptos Narrow" w:cs="Arial"/>
                <w:color w:val="000000"/>
                <w:kern w:val="24"/>
              </w:rPr>
              <w:t>29</w:t>
            </w:r>
          </w:p>
        </w:tc>
        <w:tc>
          <w:tcPr>
            <w:tcW w:w="1068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3E00866" w14:textId="77777777" w:rsidR="008C41FB" w:rsidRPr="008D7D94" w:rsidRDefault="1E1A9B60" w:rsidP="004855D4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</w:rPr>
            </w:pPr>
            <w:r w:rsidRPr="008D7D94">
              <w:rPr>
                <w:rFonts w:ascii="Aptos Narrow" w:hAnsi="Aptos Narrow" w:cs="Arial"/>
                <w:color w:val="000000" w:themeColor="text1"/>
              </w:rPr>
              <w:t>36</w:t>
            </w:r>
          </w:p>
        </w:tc>
        <w:tc>
          <w:tcPr>
            <w:tcW w:w="1068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4AF3826" w14:textId="5478FB0F" w:rsidR="008C41FB" w:rsidRPr="008D7D94" w:rsidRDefault="1E1A9B60" w:rsidP="004855D4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</w:rPr>
            </w:pPr>
            <w:r w:rsidRPr="008D7D94">
              <w:rPr>
                <w:rFonts w:ascii="Aptos Narrow" w:hAnsi="Aptos Narrow" w:cs="Arial"/>
                <w:color w:val="000000" w:themeColor="text1"/>
              </w:rPr>
              <w:t>37</w:t>
            </w:r>
          </w:p>
        </w:tc>
        <w:tc>
          <w:tcPr>
            <w:tcW w:w="1069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109F6D4" w14:textId="77777777" w:rsidR="008C41FB" w:rsidRPr="008D7D94" w:rsidRDefault="008C41FB" w:rsidP="004855D4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</w:rPr>
            </w:pPr>
            <w:r w:rsidRPr="008D7D94">
              <w:rPr>
                <w:rFonts w:ascii="Aptos Narrow" w:hAnsi="Aptos Narrow" w:cs="Arial"/>
                <w:color w:val="000000" w:themeColor="text1"/>
              </w:rPr>
              <w:t>43</w:t>
            </w:r>
          </w:p>
        </w:tc>
        <w:tc>
          <w:tcPr>
            <w:tcW w:w="1068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64EE194" w14:textId="77777777" w:rsidR="008C41FB" w:rsidRPr="008D7D94" w:rsidRDefault="008C41FB" w:rsidP="004855D4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</w:rPr>
            </w:pPr>
            <w:r w:rsidRPr="008D7D94">
              <w:rPr>
                <w:rFonts w:ascii="Aptos Narrow" w:hAnsi="Aptos Narrow" w:cs="Arial"/>
                <w:color w:val="000000"/>
                <w:kern w:val="24"/>
              </w:rPr>
              <w:t>124%</w:t>
            </w:r>
          </w:p>
        </w:tc>
        <w:tc>
          <w:tcPr>
            <w:tcW w:w="1068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B30DE4E" w14:textId="77777777" w:rsidR="008C41FB" w:rsidRPr="008D7D94" w:rsidRDefault="008C41FB" w:rsidP="004855D4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</w:rPr>
            </w:pPr>
            <w:r w:rsidRPr="008D7D94">
              <w:rPr>
                <w:rFonts w:ascii="Aptos Narrow" w:hAnsi="Aptos Narrow" w:cs="Arial"/>
                <w:color w:val="000000"/>
                <w:kern w:val="24"/>
              </w:rPr>
              <w:t>128%</w:t>
            </w:r>
          </w:p>
        </w:tc>
        <w:tc>
          <w:tcPr>
            <w:tcW w:w="1069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CCD3F2A" w14:textId="77777777" w:rsidR="008C41FB" w:rsidRPr="008D7D94" w:rsidRDefault="008C41FB" w:rsidP="004855D4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</w:rPr>
            </w:pPr>
            <w:r w:rsidRPr="008D7D94">
              <w:rPr>
                <w:rFonts w:ascii="Aptos Narrow" w:hAnsi="Aptos Narrow" w:cs="Arial"/>
                <w:color w:val="000000"/>
                <w:kern w:val="24"/>
              </w:rPr>
              <w:t>148%</w:t>
            </w:r>
          </w:p>
        </w:tc>
      </w:tr>
      <w:tr w:rsidR="008C41FB" w14:paraId="675C4DAB" w14:textId="77777777" w:rsidTr="00CD0B95">
        <w:trPr>
          <w:trHeight w:val="276"/>
        </w:trPr>
        <w:tc>
          <w:tcPr>
            <w:tcW w:w="2147" w:type="dxa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79165356" w14:textId="77777777" w:rsidR="008C41FB" w:rsidRPr="008D7D94" w:rsidRDefault="008C41FB" w:rsidP="004855D4">
            <w:pPr>
              <w:pStyle w:val="NormalWeb"/>
              <w:spacing w:before="0" w:beforeAutospacing="0" w:after="0" w:afterAutospacing="0"/>
              <w:textAlignment w:val="bottom"/>
              <w:rPr>
                <w:rFonts w:ascii="Arial" w:hAnsi="Arial" w:cs="Arial"/>
                <w:b/>
              </w:rPr>
            </w:pPr>
            <w:r w:rsidRPr="008D7D94">
              <w:rPr>
                <w:rFonts w:ascii="Aptos Narrow" w:hAnsi="Aptos Narrow" w:cs="Arial"/>
                <w:b/>
                <w:color w:val="000000"/>
                <w:kern w:val="24"/>
              </w:rPr>
              <w:t>Largest LL loss in NCTX_Group (MW)</w:t>
            </w:r>
          </w:p>
        </w:tc>
        <w:tc>
          <w:tcPr>
            <w:tcW w:w="803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887FD08" w14:textId="77777777" w:rsidR="008C41FB" w:rsidRPr="008D7D94" w:rsidRDefault="008C41FB" w:rsidP="004855D4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</w:rPr>
            </w:pPr>
            <w:r w:rsidRPr="008D7D94">
              <w:rPr>
                <w:rFonts w:ascii="Aptos Narrow" w:hAnsi="Aptos Narrow" w:cs="Arial"/>
                <w:color w:val="000000"/>
                <w:kern w:val="24"/>
              </w:rPr>
              <w:t>4851</w:t>
            </w:r>
          </w:p>
        </w:tc>
        <w:tc>
          <w:tcPr>
            <w:tcW w:w="1068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403003C" w14:textId="77777777" w:rsidR="008C41FB" w:rsidRPr="008D7D94" w:rsidRDefault="008C41FB" w:rsidP="004855D4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</w:rPr>
            </w:pPr>
            <w:r w:rsidRPr="008D7D94">
              <w:rPr>
                <w:rFonts w:ascii="Aptos Narrow" w:hAnsi="Aptos Narrow" w:cs="Arial"/>
                <w:color w:val="000000"/>
                <w:kern w:val="24"/>
              </w:rPr>
              <w:t>6629</w:t>
            </w:r>
          </w:p>
        </w:tc>
        <w:tc>
          <w:tcPr>
            <w:tcW w:w="1068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22CDFF4" w14:textId="77777777" w:rsidR="008C41FB" w:rsidRPr="008D7D94" w:rsidRDefault="008C41FB" w:rsidP="004855D4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</w:rPr>
            </w:pPr>
            <w:r w:rsidRPr="008D7D94">
              <w:rPr>
                <w:rFonts w:ascii="Aptos Narrow" w:hAnsi="Aptos Narrow" w:cs="Arial"/>
                <w:color w:val="000000"/>
                <w:kern w:val="24"/>
              </w:rPr>
              <w:t>7206</w:t>
            </w:r>
          </w:p>
        </w:tc>
        <w:tc>
          <w:tcPr>
            <w:tcW w:w="1069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E986B88" w14:textId="77777777" w:rsidR="008C41FB" w:rsidRPr="008D7D94" w:rsidRDefault="008C41FB" w:rsidP="004855D4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</w:rPr>
            </w:pPr>
            <w:r w:rsidRPr="008D7D94">
              <w:rPr>
                <w:rFonts w:ascii="Aptos Narrow" w:hAnsi="Aptos Narrow" w:cs="Arial"/>
                <w:color w:val="000000"/>
                <w:kern w:val="24"/>
              </w:rPr>
              <w:t>7784</w:t>
            </w:r>
          </w:p>
        </w:tc>
        <w:tc>
          <w:tcPr>
            <w:tcW w:w="1068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8621CB8" w14:textId="77777777" w:rsidR="008C41FB" w:rsidRPr="008D7D94" w:rsidRDefault="008C41FB" w:rsidP="004855D4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</w:rPr>
            </w:pPr>
            <w:r w:rsidRPr="008D7D94">
              <w:rPr>
                <w:rFonts w:ascii="Aptos Narrow" w:hAnsi="Aptos Narrow" w:cs="Arial"/>
                <w:color w:val="000000"/>
                <w:kern w:val="24"/>
              </w:rPr>
              <w:t>137%</w:t>
            </w:r>
          </w:p>
        </w:tc>
        <w:tc>
          <w:tcPr>
            <w:tcW w:w="1068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6F4904A" w14:textId="77777777" w:rsidR="008C41FB" w:rsidRPr="008D7D94" w:rsidRDefault="008C41FB" w:rsidP="004855D4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</w:rPr>
            </w:pPr>
            <w:r w:rsidRPr="008D7D94">
              <w:rPr>
                <w:rFonts w:ascii="Aptos Narrow" w:hAnsi="Aptos Narrow" w:cs="Arial"/>
                <w:color w:val="000000"/>
                <w:kern w:val="24"/>
              </w:rPr>
              <w:t>149%</w:t>
            </w:r>
          </w:p>
        </w:tc>
        <w:tc>
          <w:tcPr>
            <w:tcW w:w="1069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F5051BC" w14:textId="77777777" w:rsidR="008C41FB" w:rsidRPr="008D7D94" w:rsidRDefault="008C41FB" w:rsidP="004855D4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</w:rPr>
            </w:pPr>
            <w:r w:rsidRPr="008D7D94">
              <w:rPr>
                <w:rFonts w:ascii="Aptos Narrow" w:hAnsi="Aptos Narrow" w:cs="Arial"/>
                <w:color w:val="000000"/>
                <w:kern w:val="24"/>
              </w:rPr>
              <w:t>160%</w:t>
            </w:r>
          </w:p>
        </w:tc>
      </w:tr>
      <w:tr w:rsidR="008C41FB" w14:paraId="384D7564" w14:textId="77777777" w:rsidTr="00CD0B95">
        <w:trPr>
          <w:trHeight w:val="276"/>
        </w:trPr>
        <w:tc>
          <w:tcPr>
            <w:tcW w:w="2147" w:type="dxa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5B1C980C" w14:textId="77777777" w:rsidR="008C41FB" w:rsidRPr="008D7D94" w:rsidRDefault="008C41FB" w:rsidP="004855D4">
            <w:pPr>
              <w:pStyle w:val="NormalWeb"/>
              <w:spacing w:before="0" w:beforeAutospacing="0" w:after="0" w:afterAutospacing="0"/>
              <w:textAlignment w:val="bottom"/>
              <w:rPr>
                <w:rFonts w:ascii="Arial" w:hAnsi="Arial" w:cs="Arial"/>
                <w:b/>
              </w:rPr>
            </w:pPr>
            <w:r w:rsidRPr="008D7D94">
              <w:rPr>
                <w:rFonts w:ascii="Aptos Narrow" w:hAnsi="Aptos Narrow" w:cs="Arial"/>
                <w:b/>
                <w:color w:val="000000"/>
                <w:kern w:val="24"/>
              </w:rPr>
              <w:t>Largest LL loss in WTX_Group (MW)</w:t>
            </w:r>
          </w:p>
        </w:tc>
        <w:tc>
          <w:tcPr>
            <w:tcW w:w="803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301F905" w14:textId="77777777" w:rsidR="008C41FB" w:rsidRPr="008D7D94" w:rsidRDefault="008C41FB" w:rsidP="004855D4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</w:rPr>
            </w:pPr>
            <w:r w:rsidRPr="008D7D94">
              <w:rPr>
                <w:rFonts w:ascii="Aptos Narrow" w:hAnsi="Aptos Narrow" w:cs="Arial"/>
                <w:color w:val="000000"/>
                <w:kern w:val="24"/>
              </w:rPr>
              <w:t>4087</w:t>
            </w:r>
          </w:p>
        </w:tc>
        <w:tc>
          <w:tcPr>
            <w:tcW w:w="1068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DBB2DE7" w14:textId="77777777" w:rsidR="008C41FB" w:rsidRPr="008D7D94" w:rsidRDefault="008C41FB" w:rsidP="004855D4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</w:rPr>
            </w:pPr>
            <w:r w:rsidRPr="008D7D94">
              <w:rPr>
                <w:rFonts w:ascii="Aptos Narrow" w:hAnsi="Aptos Narrow" w:cs="Arial"/>
                <w:color w:val="000000"/>
                <w:kern w:val="24"/>
              </w:rPr>
              <w:t>5048</w:t>
            </w:r>
          </w:p>
        </w:tc>
        <w:tc>
          <w:tcPr>
            <w:tcW w:w="1068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0DCBEC7" w14:textId="77777777" w:rsidR="008C41FB" w:rsidRPr="008D7D94" w:rsidRDefault="008C41FB" w:rsidP="004855D4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</w:rPr>
            </w:pPr>
            <w:r w:rsidRPr="008D7D94">
              <w:rPr>
                <w:rFonts w:ascii="Aptos Narrow" w:hAnsi="Aptos Narrow" w:cs="Arial"/>
                <w:color w:val="000000"/>
                <w:kern w:val="24"/>
              </w:rPr>
              <w:t>5288</w:t>
            </w:r>
          </w:p>
        </w:tc>
        <w:tc>
          <w:tcPr>
            <w:tcW w:w="1069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F8F9330" w14:textId="77777777" w:rsidR="008C41FB" w:rsidRPr="008D7D94" w:rsidRDefault="008C41FB" w:rsidP="004855D4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</w:rPr>
            </w:pPr>
            <w:r w:rsidRPr="008D7D94">
              <w:rPr>
                <w:rFonts w:ascii="Aptos Narrow" w:hAnsi="Aptos Narrow" w:cs="Arial"/>
                <w:color w:val="000000"/>
                <w:kern w:val="24"/>
              </w:rPr>
              <w:t>5529</w:t>
            </w:r>
          </w:p>
        </w:tc>
        <w:tc>
          <w:tcPr>
            <w:tcW w:w="1068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20E6970" w14:textId="77777777" w:rsidR="008C41FB" w:rsidRPr="008D7D94" w:rsidRDefault="008C41FB" w:rsidP="004855D4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</w:rPr>
            </w:pPr>
            <w:r w:rsidRPr="008D7D94">
              <w:rPr>
                <w:rFonts w:ascii="Aptos Narrow" w:hAnsi="Aptos Narrow" w:cs="Arial"/>
                <w:color w:val="000000"/>
                <w:kern w:val="24"/>
              </w:rPr>
              <w:t>124%</w:t>
            </w:r>
          </w:p>
        </w:tc>
        <w:tc>
          <w:tcPr>
            <w:tcW w:w="1068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DEFBA39" w14:textId="77777777" w:rsidR="008C41FB" w:rsidRPr="008D7D94" w:rsidRDefault="008C41FB" w:rsidP="004855D4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</w:rPr>
            </w:pPr>
            <w:r w:rsidRPr="008D7D94">
              <w:rPr>
                <w:rFonts w:ascii="Aptos Narrow" w:hAnsi="Aptos Narrow" w:cs="Arial"/>
                <w:color w:val="000000"/>
                <w:kern w:val="24"/>
              </w:rPr>
              <w:t>129%</w:t>
            </w:r>
          </w:p>
        </w:tc>
        <w:tc>
          <w:tcPr>
            <w:tcW w:w="1069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0C81EAC" w14:textId="77777777" w:rsidR="008C41FB" w:rsidRPr="008D7D94" w:rsidRDefault="008C41FB" w:rsidP="004855D4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</w:rPr>
            </w:pPr>
            <w:r w:rsidRPr="008D7D94">
              <w:rPr>
                <w:rFonts w:ascii="Aptos Narrow" w:hAnsi="Aptos Narrow" w:cs="Arial"/>
                <w:color w:val="000000"/>
                <w:kern w:val="24"/>
              </w:rPr>
              <w:t>135%</w:t>
            </w:r>
          </w:p>
        </w:tc>
      </w:tr>
    </w:tbl>
    <w:p w14:paraId="4E043A1B" w14:textId="6E668F11" w:rsidR="00E7279A" w:rsidRDefault="00F168F7" w:rsidP="004855D4">
      <w:pPr>
        <w:pStyle w:val="NormalArial"/>
        <w:spacing w:before="240" w:after="120"/>
      </w:pPr>
      <w:r>
        <w:t xml:space="preserve">Additionally, ERCOT has operational concerns about how the exempted cooling </w:t>
      </w:r>
      <w:r w:rsidR="004855D4">
        <w:t>L</w:t>
      </w:r>
      <w:r>
        <w:t xml:space="preserve">oad would be integrated into the Mitigation Plans for managing </w:t>
      </w:r>
      <w:r w:rsidR="008C57C1">
        <w:t>current and future</w:t>
      </w:r>
      <w:r>
        <w:t xml:space="preserve"> IROLs. </w:t>
      </w:r>
      <w:r w:rsidR="004E30FD">
        <w:t xml:space="preserve"> </w:t>
      </w:r>
      <w:r w:rsidR="0063367E">
        <w:t>Currently, there is no mechanism for a</w:t>
      </w:r>
      <w:r w:rsidR="00B07D37">
        <w:t xml:space="preserve">n </w:t>
      </w:r>
      <w:r w:rsidR="0063367E">
        <w:t xml:space="preserve">LCL to </w:t>
      </w:r>
      <w:r w:rsidR="00502258">
        <w:t xml:space="preserve">telemeter to ERCOT in </w:t>
      </w:r>
      <w:r w:rsidR="004855D4">
        <w:t>R</w:t>
      </w:r>
      <w:r w:rsidR="00502258">
        <w:t>eal-</w:t>
      </w:r>
      <w:r w:rsidR="004855D4">
        <w:t>T</w:t>
      </w:r>
      <w:r w:rsidR="00502258">
        <w:t xml:space="preserve">ime the portion of the operational </w:t>
      </w:r>
      <w:r w:rsidR="004855D4">
        <w:t>L</w:t>
      </w:r>
      <w:r w:rsidR="00502258">
        <w:t xml:space="preserve">oad that is computational and the portion that is cooling.  </w:t>
      </w:r>
      <w:r w:rsidR="00632795">
        <w:t xml:space="preserve">As a result, ERCOT would be forced to </w:t>
      </w:r>
      <w:r w:rsidR="00B06010">
        <w:t xml:space="preserve">assume a static percentage based on the amount of cooling </w:t>
      </w:r>
      <w:r w:rsidR="004855D4">
        <w:t>L</w:t>
      </w:r>
      <w:r w:rsidR="00B06010">
        <w:t>oad provided in the LCL’s dynamic model and DWG Large Load survey</w:t>
      </w:r>
      <w:r w:rsidR="006C19DD">
        <w:t>, which may lead to</w:t>
      </w:r>
      <w:r w:rsidR="00B06010">
        <w:t xml:space="preserve"> </w:t>
      </w:r>
      <w:r w:rsidR="00922B3A">
        <w:t>unnecessary curtailments or insufficient curtailments depending on conditions.</w:t>
      </w:r>
      <w:r w:rsidR="00B761D0">
        <w:t xml:space="preserve"> </w:t>
      </w:r>
      <w:r w:rsidR="00922B3A">
        <w:t>Further, i</w:t>
      </w:r>
      <w:r w:rsidR="008B2F15">
        <w:t>t would fall to the entities implementing the Mitigation Plans (TOs and QSEs</w:t>
      </w:r>
      <w:r w:rsidR="00922B3A">
        <w:t xml:space="preserve">) to ensure </w:t>
      </w:r>
      <w:r w:rsidR="004855D4">
        <w:t>L</w:t>
      </w:r>
      <w:r w:rsidR="002233A4">
        <w:t xml:space="preserve">oad </w:t>
      </w:r>
      <w:r w:rsidR="002F4609">
        <w:t>without ride-through cap</w:t>
      </w:r>
      <w:r w:rsidR="0062236D">
        <w:t>a</w:t>
      </w:r>
      <w:r w:rsidR="002F4609">
        <w:t>bility</w:t>
      </w:r>
      <w:r w:rsidR="002233A4">
        <w:t xml:space="preserve"> is the </w:t>
      </w:r>
      <w:r w:rsidR="004855D4">
        <w:t>L</w:t>
      </w:r>
      <w:r w:rsidR="002233A4">
        <w:t>oad that is curtailed at these sites</w:t>
      </w:r>
      <w:r w:rsidR="00BB11D2">
        <w:t>.</w:t>
      </w:r>
      <w:r w:rsidR="0034501B">
        <w:t xml:space="preserve"> </w:t>
      </w:r>
      <w:r w:rsidR="00DB0D82">
        <w:t xml:space="preserve">ERCOT </w:t>
      </w:r>
      <w:r w:rsidR="003F7A8C">
        <w:t>questions whether</w:t>
      </w:r>
      <w:r w:rsidR="00293309">
        <w:t xml:space="preserve"> LCLs </w:t>
      </w:r>
      <w:r w:rsidR="00017965">
        <w:t xml:space="preserve">can operate </w:t>
      </w:r>
      <w:r w:rsidR="001E3766">
        <w:t xml:space="preserve">with cooling </w:t>
      </w:r>
      <w:r w:rsidR="004855D4">
        <w:t>L</w:t>
      </w:r>
      <w:r w:rsidR="001E3766">
        <w:t xml:space="preserve">oad being </w:t>
      </w:r>
      <w:r w:rsidR="00CF26A3">
        <w:t xml:space="preserve">significantly </w:t>
      </w:r>
      <w:r w:rsidR="001E3766">
        <w:t>curtailed</w:t>
      </w:r>
      <w:r w:rsidR="00A2337E">
        <w:t xml:space="preserve">, and, accordingly, whether </w:t>
      </w:r>
      <w:r w:rsidR="00BB11D2">
        <w:t xml:space="preserve">additional load at NOGRR282-exempt sites </w:t>
      </w:r>
      <w:r w:rsidR="00A2337E">
        <w:t>would need to be</w:t>
      </w:r>
      <w:r w:rsidR="00BB11D2">
        <w:t xml:space="preserve"> curtailed </w:t>
      </w:r>
      <w:r w:rsidR="00C769AA">
        <w:t>instead</w:t>
      </w:r>
      <w:r w:rsidR="00A2337E">
        <w:t xml:space="preserve"> </w:t>
      </w:r>
      <w:r w:rsidR="00BB11D2">
        <w:t>to account for the cooling load exempted by this NOGRR</w:t>
      </w:r>
      <w:r w:rsidR="007F5067">
        <w:t>.</w:t>
      </w:r>
      <w:r w:rsidR="00AE4784">
        <w:t xml:space="preserve"> </w:t>
      </w:r>
    </w:p>
    <w:p w14:paraId="41849FD7" w14:textId="5B438007" w:rsidR="00AE4784" w:rsidRDefault="00C76CD8" w:rsidP="004855D4">
      <w:pPr>
        <w:pStyle w:val="NormalArial"/>
        <w:spacing w:before="120" w:after="120"/>
      </w:pPr>
      <w:r>
        <w:t>With these operational realities in mind, ERCOT would need to account</w:t>
      </w:r>
      <w:r w:rsidR="00AE4784">
        <w:t xml:space="preserve"> </w:t>
      </w:r>
      <w:r w:rsidR="00E71DAF">
        <w:t xml:space="preserve">for the exempted </w:t>
      </w:r>
      <w:r w:rsidR="00194742">
        <w:t xml:space="preserve">cooling </w:t>
      </w:r>
      <w:r w:rsidR="004855D4">
        <w:t>L</w:t>
      </w:r>
      <w:r w:rsidR="00194742">
        <w:t xml:space="preserve">oad from sites </w:t>
      </w:r>
      <w:r w:rsidR="00596E7C">
        <w:t>that would otherwise be required to comply with the ride-through requirements approved in NOGRR282</w:t>
      </w:r>
      <w:r w:rsidR="00DD3763">
        <w:t xml:space="preserve"> in the event NOGRR289 is approved</w:t>
      </w:r>
      <w:r w:rsidR="00395650">
        <w:t>.</w:t>
      </w:r>
      <w:r w:rsidR="00AE4784">
        <w:t xml:space="preserve"> To do so, ERCOT Operations would do the following:</w:t>
      </w:r>
    </w:p>
    <w:p w14:paraId="2518EAEB" w14:textId="2146EB31" w:rsidR="00AE4784" w:rsidRDefault="00225EFF" w:rsidP="004855D4">
      <w:pPr>
        <w:pStyle w:val="NormalArial"/>
        <w:numPr>
          <w:ilvl w:val="0"/>
          <w:numId w:val="5"/>
        </w:numPr>
        <w:spacing w:before="120" w:after="120"/>
      </w:pPr>
      <w:r>
        <w:t xml:space="preserve">Include all cooling </w:t>
      </w:r>
      <w:r w:rsidR="004855D4">
        <w:t>L</w:t>
      </w:r>
      <w:r>
        <w:t xml:space="preserve">oad </w:t>
      </w:r>
      <w:r w:rsidR="005F79C5">
        <w:t xml:space="preserve">that has requested temporary </w:t>
      </w:r>
      <w:r>
        <w:t>exempt</w:t>
      </w:r>
      <w:r w:rsidR="00B6749A">
        <w:t>ion</w:t>
      </w:r>
      <w:r>
        <w:t xml:space="preserve"> </w:t>
      </w:r>
      <w:r w:rsidR="00310DD6">
        <w:t xml:space="preserve">by this NOGRR when </w:t>
      </w:r>
      <w:r w:rsidR="00CD1E91">
        <w:t xml:space="preserve">evaluating the need for current and future IROLs in the quarterly stability assessment (QSA). As noted above, the additional exempted </w:t>
      </w:r>
      <w:r w:rsidR="004855D4">
        <w:t>L</w:t>
      </w:r>
      <w:r w:rsidR="00CD1E91">
        <w:t>oad may lead to the identification and management of new IROLs that</w:t>
      </w:r>
      <w:r>
        <w:t xml:space="preserve"> </w:t>
      </w:r>
      <w:r w:rsidR="0032079E">
        <w:t>might otherwise no</w:t>
      </w:r>
      <w:r w:rsidR="00195A4C">
        <w:t>t have been needed to maintain re</w:t>
      </w:r>
      <w:r w:rsidR="00E07BF4">
        <w:t xml:space="preserve">liability. </w:t>
      </w:r>
      <w:r w:rsidR="000C438D">
        <w:t xml:space="preserve">Sites </w:t>
      </w:r>
      <w:r w:rsidR="00473C13">
        <w:t xml:space="preserve">with exempted cooling </w:t>
      </w:r>
      <w:r w:rsidR="004855D4">
        <w:t>L</w:t>
      </w:r>
      <w:r w:rsidR="00473C13">
        <w:t>oad may be subject to curtailment as described below</w:t>
      </w:r>
      <w:r w:rsidR="00AE4784">
        <w:t>.</w:t>
      </w:r>
    </w:p>
    <w:p w14:paraId="621E1663" w14:textId="3F8AAE04" w:rsidR="00CA5BD8" w:rsidRDefault="009810AB" w:rsidP="004855D4">
      <w:pPr>
        <w:pStyle w:val="NormalArial"/>
        <w:numPr>
          <w:ilvl w:val="0"/>
          <w:numId w:val="5"/>
        </w:numPr>
        <w:spacing w:before="120" w:after="120"/>
      </w:pPr>
      <w:r>
        <w:t xml:space="preserve">ERCOT would </w:t>
      </w:r>
      <w:r w:rsidR="00E23DAF">
        <w:t>add the</w:t>
      </w:r>
      <w:r w:rsidR="001E170B">
        <w:t xml:space="preserve"> </w:t>
      </w:r>
      <w:r w:rsidR="00683D91">
        <w:t xml:space="preserve">exempted cooling </w:t>
      </w:r>
      <w:r w:rsidR="004855D4">
        <w:t>L</w:t>
      </w:r>
      <w:r w:rsidR="00683D91">
        <w:t xml:space="preserve">oad </w:t>
      </w:r>
      <w:r w:rsidR="00E23DAF">
        <w:t xml:space="preserve">to the </w:t>
      </w:r>
      <w:r w:rsidR="00023752">
        <w:t xml:space="preserve">total </w:t>
      </w:r>
      <w:r w:rsidR="004855D4">
        <w:t>L</w:t>
      </w:r>
      <w:r w:rsidR="00B3397F">
        <w:t>oad</w:t>
      </w:r>
      <w:r w:rsidR="00683D91">
        <w:t xml:space="preserve"> </w:t>
      </w:r>
      <w:r w:rsidR="00F15639">
        <w:t>in each</w:t>
      </w:r>
      <w:r w:rsidR="005A63E4">
        <w:t xml:space="preserve"> IROL group </w:t>
      </w:r>
      <w:r w:rsidR="00683D91">
        <w:t xml:space="preserve">when monitoring and managing the IROLs in </w:t>
      </w:r>
      <w:r w:rsidR="004855D4">
        <w:t>R</w:t>
      </w:r>
      <w:r w:rsidR="00683D91">
        <w:t>eal-</w:t>
      </w:r>
      <w:r w:rsidR="004855D4">
        <w:t>T</w:t>
      </w:r>
      <w:r w:rsidR="00683D91">
        <w:t>ime</w:t>
      </w:r>
      <w:r w:rsidR="00A22341">
        <w:t>. As noted above, this value is not telemetered to ERCOT, so</w:t>
      </w:r>
      <w:r w:rsidR="00AE4784">
        <w:t xml:space="preserve"> ERCOT would </w:t>
      </w:r>
      <w:r w:rsidR="00A22341">
        <w:t xml:space="preserve">need to </w:t>
      </w:r>
      <w:r w:rsidR="004152EF">
        <w:t xml:space="preserve">assume a static percentage of the telemetered LCL consumption is cooling </w:t>
      </w:r>
      <w:r w:rsidR="004855D4">
        <w:t>L</w:t>
      </w:r>
      <w:r w:rsidR="004152EF">
        <w:t>oad</w:t>
      </w:r>
      <w:r w:rsidR="007D747C">
        <w:t>.</w:t>
      </w:r>
    </w:p>
    <w:p w14:paraId="2524F302" w14:textId="22EB8BD2" w:rsidR="00134B73" w:rsidRDefault="000068AA" w:rsidP="004855D4">
      <w:pPr>
        <w:pStyle w:val="NormalArial"/>
        <w:spacing w:before="120" w:after="120"/>
        <w:ind w:left="720"/>
      </w:pPr>
      <w:r>
        <w:lastRenderedPageBreak/>
        <w:t>As an</w:t>
      </w:r>
      <w:r w:rsidR="00CA5BD8">
        <w:t xml:space="preserve"> example, </w:t>
      </w:r>
      <w:r>
        <w:t>suppose</w:t>
      </w:r>
      <w:r w:rsidR="00CA5BD8">
        <w:t xml:space="preserve"> an IROL group has </w:t>
      </w:r>
      <w:r w:rsidR="00134B73">
        <w:t>12</w:t>
      </w:r>
      <w:r w:rsidR="009F6164">
        <w:t xml:space="preserve"> </w:t>
      </w:r>
      <w:r w:rsidR="004855D4">
        <w:t>L</w:t>
      </w:r>
      <w:r w:rsidR="009F6164">
        <w:t xml:space="preserve">oads </w:t>
      </w:r>
      <w:r w:rsidR="00F64E23">
        <w:t>without</w:t>
      </w:r>
      <w:r w:rsidR="00DB5CFE">
        <w:t xml:space="preserve"> any</w:t>
      </w:r>
      <w:r w:rsidR="00F64E23">
        <w:t xml:space="preserve"> </w:t>
      </w:r>
      <w:r w:rsidR="005B1B92">
        <w:t xml:space="preserve">ride-through </w:t>
      </w:r>
      <w:r w:rsidR="00F64E23">
        <w:t>capability</w:t>
      </w:r>
      <w:r w:rsidR="005B1B92">
        <w:t>.</w:t>
      </w:r>
      <w:r w:rsidR="00237394">
        <w:t xml:space="preserve"> In </w:t>
      </w:r>
      <w:r w:rsidR="004855D4">
        <w:t>R</w:t>
      </w:r>
      <w:r w:rsidR="00237394">
        <w:t>eal-</w:t>
      </w:r>
      <w:r w:rsidR="004855D4">
        <w:t>T</w:t>
      </w:r>
      <w:r w:rsidR="00237394">
        <w:t>ime</w:t>
      </w:r>
      <w:r w:rsidR="005B1B92">
        <w:t xml:space="preserve"> these </w:t>
      </w:r>
      <w:r w:rsidR="004855D4">
        <w:t>L</w:t>
      </w:r>
      <w:r w:rsidR="005B1B92">
        <w:t xml:space="preserve">oads show an aggregate consumption of </w:t>
      </w:r>
      <w:r w:rsidR="00134B73">
        <w:t xml:space="preserve">2,850 MW. </w:t>
      </w:r>
      <w:r w:rsidR="00CD79E3">
        <w:t xml:space="preserve">Because these </w:t>
      </w:r>
      <w:r w:rsidR="004855D4">
        <w:t>L</w:t>
      </w:r>
      <w:r w:rsidR="003D4B2A">
        <w:t>oads do</w:t>
      </w:r>
      <w:r w:rsidR="00883858">
        <w:t xml:space="preserve"> not have ride-th</w:t>
      </w:r>
      <w:r w:rsidR="001A777B">
        <w:t>ro</w:t>
      </w:r>
      <w:r w:rsidR="00883858">
        <w:t>ugh cap</w:t>
      </w:r>
      <w:r w:rsidR="001A777B">
        <w:t>a</w:t>
      </w:r>
      <w:r w:rsidR="00883858">
        <w:t>bility</w:t>
      </w:r>
      <w:r w:rsidR="00CD79E3">
        <w:t xml:space="preserve">, ERCOT considers the entire 2,850 MW at risk of </w:t>
      </w:r>
      <w:r w:rsidR="00846473">
        <w:t>reducing during a disturbance.</w:t>
      </w:r>
      <w:r>
        <w:t xml:space="preserve"> </w:t>
      </w:r>
      <w:r w:rsidR="00134B73">
        <w:t xml:space="preserve">If 3 new </w:t>
      </w:r>
      <w:r w:rsidR="004855D4">
        <w:t>L</w:t>
      </w:r>
      <w:r w:rsidR="00134B73">
        <w:t>oads</w:t>
      </w:r>
      <w:r w:rsidR="00846473">
        <w:t xml:space="preserve"> that woul</w:t>
      </w:r>
      <w:r w:rsidR="00145815">
        <w:t xml:space="preserve">d otherwise have been required to comply with NOGRR282 requirements </w:t>
      </w:r>
      <w:r>
        <w:t xml:space="preserve">energize, they would need to be added </w:t>
      </w:r>
      <w:r w:rsidR="00A05944">
        <w:t xml:space="preserve">to the IROL </w:t>
      </w:r>
      <w:r w:rsidR="0068437F">
        <w:t>group,</w:t>
      </w:r>
      <w:r w:rsidR="00A05944">
        <w:t xml:space="preserve"> and a portion of their consumption would need to be assumed </w:t>
      </w:r>
      <w:r w:rsidR="00A00C03">
        <w:t>as</w:t>
      </w:r>
      <w:r w:rsidR="00A05944">
        <w:t xml:space="preserve"> at risk of not riding through. </w:t>
      </w:r>
      <w:r w:rsidR="00A551B2">
        <w:t xml:space="preserve">So, if these </w:t>
      </w:r>
      <w:r w:rsidR="004855D4">
        <w:t>L</w:t>
      </w:r>
      <w:r w:rsidR="00A551B2">
        <w:t xml:space="preserve">oads </w:t>
      </w:r>
      <w:r w:rsidR="00866BEE">
        <w:t xml:space="preserve">totaled 1,200 MW consumption and </w:t>
      </w:r>
      <w:r w:rsidR="00387333">
        <w:t xml:space="preserve">ERCOT assumed 20% was exempted cooling </w:t>
      </w:r>
      <w:r w:rsidR="004855D4">
        <w:t>L</w:t>
      </w:r>
      <w:r w:rsidR="00387333">
        <w:t xml:space="preserve">oad, this would add </w:t>
      </w:r>
      <w:r w:rsidR="001A2C2A">
        <w:t>240</w:t>
      </w:r>
      <w:r w:rsidR="00387333">
        <w:t xml:space="preserve"> MW to the t</w:t>
      </w:r>
      <w:r w:rsidR="00562CD6">
        <w:t>otal monitored by the IROL. So, instead of 2,850 MW</w:t>
      </w:r>
      <w:r w:rsidR="00FE78ED">
        <w:t>, ERCOT would now show 3,0</w:t>
      </w:r>
      <w:r w:rsidR="00EC5DB0">
        <w:t>9</w:t>
      </w:r>
      <w:r w:rsidR="00FE78ED">
        <w:t xml:space="preserve">0 MW at risk of not riding through for this IROL group. This example illustrates both the difficulty in accounting for the exempted cooling </w:t>
      </w:r>
      <w:r w:rsidR="004855D4">
        <w:t>L</w:t>
      </w:r>
      <w:r w:rsidR="00FE78ED">
        <w:t xml:space="preserve">oad and the way in which that </w:t>
      </w:r>
      <w:r w:rsidR="004855D4">
        <w:t>L</w:t>
      </w:r>
      <w:r w:rsidR="00CF19C6">
        <w:t>oad will lead to the IROLs reaching monitored limits sooner.</w:t>
      </w:r>
    </w:p>
    <w:p w14:paraId="35D67928" w14:textId="28B060F9" w:rsidR="00AE4784" w:rsidRDefault="004062BF" w:rsidP="004855D4">
      <w:pPr>
        <w:pStyle w:val="NormalArial"/>
        <w:numPr>
          <w:ilvl w:val="0"/>
          <w:numId w:val="5"/>
        </w:numPr>
        <w:spacing w:before="120" w:after="120"/>
      </w:pPr>
      <w:r>
        <w:t>Once consumption within an IROL group reaches identified limits, ER</w:t>
      </w:r>
      <w:r w:rsidR="00C43710">
        <w:t>CO</w:t>
      </w:r>
      <w:r>
        <w:t xml:space="preserve">T will </w:t>
      </w:r>
      <w:r w:rsidR="001C437F">
        <w:t>instruct the applicable T</w:t>
      </w:r>
      <w:r w:rsidR="00C43710">
        <w:t>O</w:t>
      </w:r>
      <w:r w:rsidR="001C437F">
        <w:t xml:space="preserve">s and QSEs to </w:t>
      </w:r>
      <w:r>
        <w:t>execute the documented Mitigation Plan</w:t>
      </w:r>
      <w:r w:rsidR="001C437F">
        <w:t>. In curtailing these</w:t>
      </w:r>
      <w:r w:rsidR="00433BCF">
        <w:t xml:space="preserve"> LCLs to reduce </w:t>
      </w:r>
      <w:r w:rsidR="00D8655E">
        <w:t xml:space="preserve">or maintain </w:t>
      </w:r>
      <w:r w:rsidR="00433BCF">
        <w:t>consumption below the limit, ERCOT expects T</w:t>
      </w:r>
      <w:r w:rsidR="00DD3763">
        <w:t>O</w:t>
      </w:r>
      <w:r w:rsidR="00433BCF">
        <w:t xml:space="preserve">s and QSEs will </w:t>
      </w:r>
      <w:r w:rsidR="00AE4784">
        <w:t>have the following options:</w:t>
      </w:r>
    </w:p>
    <w:p w14:paraId="205BCB95" w14:textId="0AEF0F99" w:rsidR="00AE4784" w:rsidRDefault="00C53196" w:rsidP="004855D4">
      <w:pPr>
        <w:pStyle w:val="NormalArial"/>
        <w:numPr>
          <w:ilvl w:val="1"/>
          <w:numId w:val="5"/>
        </w:numPr>
        <w:spacing w:before="120" w:after="120"/>
      </w:pPr>
      <w:r>
        <w:t xml:space="preserve">Include the </w:t>
      </w:r>
      <w:r w:rsidR="00C43710">
        <w:t xml:space="preserve">LCLs with exempted cooling </w:t>
      </w:r>
      <w:r w:rsidR="004855D4">
        <w:t>L</w:t>
      </w:r>
      <w:r w:rsidR="00C43710">
        <w:t xml:space="preserve">oad in the </w:t>
      </w:r>
      <w:r w:rsidR="006F29FE">
        <w:t xml:space="preserve">pool of </w:t>
      </w:r>
      <w:r w:rsidR="004855D4">
        <w:t>L</w:t>
      </w:r>
      <w:r w:rsidR="006F29FE">
        <w:t xml:space="preserve">oads that </w:t>
      </w:r>
      <w:r w:rsidR="00C1578E">
        <w:t>are</w:t>
      </w:r>
      <w:r w:rsidR="006F29FE">
        <w:t xml:space="preserve"> curtailed within their area in response to the Mitigation Plan</w:t>
      </w:r>
      <w:r w:rsidR="00AE4784">
        <w:t>.</w:t>
      </w:r>
      <w:r w:rsidR="006F29FE">
        <w:t xml:space="preserve"> The TO or QSE would need to ensure that the cooling </w:t>
      </w:r>
      <w:r w:rsidR="004855D4">
        <w:t>L</w:t>
      </w:r>
      <w:r w:rsidR="006F29FE">
        <w:t xml:space="preserve">oad is the </w:t>
      </w:r>
      <w:r w:rsidR="004855D4">
        <w:t>L</w:t>
      </w:r>
      <w:r w:rsidR="006F29FE">
        <w:t xml:space="preserve">oad that is </w:t>
      </w:r>
      <w:r w:rsidR="004B60B3">
        <w:t>reduced</w:t>
      </w:r>
      <w:r w:rsidR="006F29FE">
        <w:t xml:space="preserve"> (since </w:t>
      </w:r>
      <w:r w:rsidR="004B60B3">
        <w:t>reducing co</w:t>
      </w:r>
      <w:r w:rsidR="00C46A44">
        <w:t>nsumption of</w:t>
      </w:r>
      <w:r w:rsidR="006F29FE">
        <w:t xml:space="preserve"> the computational </w:t>
      </w:r>
      <w:r w:rsidR="004855D4">
        <w:t>L</w:t>
      </w:r>
      <w:r w:rsidR="006F29FE">
        <w:t xml:space="preserve">oad would provide no benefit if it </w:t>
      </w:r>
      <w:proofErr w:type="gramStart"/>
      <w:r w:rsidR="00C1578E">
        <w:t>were</w:t>
      </w:r>
      <w:r w:rsidR="006F29FE">
        <w:t xml:space="preserve"> capable of riding</w:t>
      </w:r>
      <w:proofErr w:type="gramEnd"/>
      <w:r w:rsidR="006F29FE">
        <w:t xml:space="preserve"> through). As noted above, ERCOT questions whether LCLs can operate with cooling </w:t>
      </w:r>
      <w:r w:rsidR="004855D4">
        <w:t>L</w:t>
      </w:r>
      <w:r w:rsidR="006F29FE">
        <w:t xml:space="preserve">oad being significantly curtailed. </w:t>
      </w:r>
      <w:r w:rsidR="007A7775">
        <w:t xml:space="preserve">So, this approach may require the computational </w:t>
      </w:r>
      <w:r w:rsidR="004855D4">
        <w:t>L</w:t>
      </w:r>
      <w:r w:rsidR="007A7775">
        <w:t>oad also be curtailed</w:t>
      </w:r>
      <w:r w:rsidR="004855D4">
        <w:t>;</w:t>
      </w:r>
      <w:r w:rsidR="000307D3">
        <w:t xml:space="preserve"> </w:t>
      </w:r>
      <w:r w:rsidR="004855D4">
        <w:t>o</w:t>
      </w:r>
      <w:r w:rsidR="000307D3">
        <w:t>r</w:t>
      </w:r>
    </w:p>
    <w:p w14:paraId="4F87CF90" w14:textId="10E71C56" w:rsidR="00AE4784" w:rsidRDefault="00AF314C" w:rsidP="004855D4">
      <w:pPr>
        <w:pStyle w:val="NormalArial"/>
        <w:numPr>
          <w:ilvl w:val="1"/>
          <w:numId w:val="5"/>
        </w:numPr>
        <w:spacing w:before="120" w:after="120"/>
      </w:pPr>
      <w:r>
        <w:t xml:space="preserve">Curtail only </w:t>
      </w:r>
      <w:r w:rsidR="004855D4">
        <w:t>L</w:t>
      </w:r>
      <w:r>
        <w:t xml:space="preserve">oads </w:t>
      </w:r>
      <w:r w:rsidR="00A6211E">
        <w:t>wit</w:t>
      </w:r>
      <w:r w:rsidR="00BE4DAA">
        <w:t>hout any</w:t>
      </w:r>
      <w:r w:rsidR="00C46A44">
        <w:t xml:space="preserve"> </w:t>
      </w:r>
      <w:r w:rsidR="008E2301">
        <w:t>ride</w:t>
      </w:r>
      <w:r w:rsidR="00BE4DAA">
        <w:t>-</w:t>
      </w:r>
      <w:r w:rsidR="008E2301">
        <w:t xml:space="preserve">through </w:t>
      </w:r>
      <w:r w:rsidR="00BE4DAA">
        <w:t>capability</w:t>
      </w:r>
      <w:r w:rsidR="008E2301">
        <w:t xml:space="preserve"> </w:t>
      </w:r>
      <w:r w:rsidR="001915D5">
        <w:t>in response to the Mitigation Plan</w:t>
      </w:r>
      <w:r w:rsidR="00B671BC">
        <w:t xml:space="preserve">, while allowing the </w:t>
      </w:r>
      <w:r w:rsidR="006D5B34">
        <w:t xml:space="preserve">LCLs </w:t>
      </w:r>
      <w:r w:rsidR="0071553C">
        <w:t>without ride-through capability fo</w:t>
      </w:r>
      <w:r w:rsidR="008E7DE6">
        <w:t xml:space="preserve">r cooling </w:t>
      </w:r>
      <w:r w:rsidR="004855D4">
        <w:t>L</w:t>
      </w:r>
      <w:r w:rsidR="008E7DE6">
        <w:t xml:space="preserve">oad only </w:t>
      </w:r>
      <w:r w:rsidR="001446C4">
        <w:t>t</w:t>
      </w:r>
      <w:r w:rsidR="008E7DE6">
        <w:t>o continue to consume</w:t>
      </w:r>
      <w:r w:rsidR="009844AA">
        <w:t xml:space="preserve"> at </w:t>
      </w:r>
      <w:r w:rsidR="00301331">
        <w:t>approved capacity</w:t>
      </w:r>
      <w:r w:rsidR="001915D5">
        <w:t xml:space="preserve">. Since there is now more exempted </w:t>
      </w:r>
      <w:r w:rsidR="004855D4">
        <w:t>L</w:t>
      </w:r>
      <w:r w:rsidR="001915D5">
        <w:t xml:space="preserve">oad within the IROL area, </w:t>
      </w:r>
      <w:r w:rsidR="00DD3763">
        <w:t xml:space="preserve">the TO or QSE would need to curtail more </w:t>
      </w:r>
      <w:r w:rsidR="004855D4">
        <w:t>L</w:t>
      </w:r>
      <w:r w:rsidR="00DD3763">
        <w:t>oad from these sites than would otherwise have been required without NOGRR289</w:t>
      </w:r>
      <w:r w:rsidR="00AE4784">
        <w:t>.</w:t>
      </w:r>
    </w:p>
    <w:p w14:paraId="6E3F76FE" w14:textId="77565E6C" w:rsidR="0091652E" w:rsidRDefault="0091652E" w:rsidP="004855D4">
      <w:pPr>
        <w:pStyle w:val="NormalArial"/>
        <w:spacing w:before="120" w:after="120"/>
      </w:pPr>
      <w:r>
        <w:t xml:space="preserve">Finally, </w:t>
      </w:r>
      <w:r w:rsidR="00F9363F">
        <w:t xml:space="preserve">if </w:t>
      </w:r>
      <w:r w:rsidR="001F3D5A">
        <w:t xml:space="preserve">ERCOT were eventually to </w:t>
      </w:r>
      <w:r w:rsidR="008B16E5">
        <w:t>conclude</w:t>
      </w:r>
      <w:r w:rsidR="001F3D5A">
        <w:t xml:space="preserve"> that </w:t>
      </w:r>
      <w:r w:rsidR="004519E3">
        <w:t>some sort of</w:t>
      </w:r>
      <w:r w:rsidR="001F3D5A">
        <w:t xml:space="preserve"> </w:t>
      </w:r>
      <w:r w:rsidR="004519E3">
        <w:t xml:space="preserve">cooling </w:t>
      </w:r>
      <w:r w:rsidR="004855D4">
        <w:t>L</w:t>
      </w:r>
      <w:r w:rsidR="004519E3">
        <w:t xml:space="preserve">oad </w:t>
      </w:r>
      <w:r w:rsidR="00F9363F">
        <w:t xml:space="preserve">exemption </w:t>
      </w:r>
      <w:r w:rsidR="001F3D5A">
        <w:t>should be available to LCL developers</w:t>
      </w:r>
      <w:r w:rsidR="00F9363F">
        <w:t xml:space="preserve">, </w:t>
      </w:r>
      <w:r w:rsidR="001F3D5A">
        <w:t>ERCOT disagrees that the exemption should be available indefinitely. L</w:t>
      </w:r>
      <w:r w:rsidR="003C4B53">
        <w:t xml:space="preserve">CL developers and OEMs now </w:t>
      </w:r>
      <w:r w:rsidR="00551BFB">
        <w:t xml:space="preserve">have </w:t>
      </w:r>
      <w:r w:rsidR="001F3D5A">
        <w:t xml:space="preserve">clear </w:t>
      </w:r>
      <w:r w:rsidR="00551BFB">
        <w:t xml:space="preserve">notice </w:t>
      </w:r>
      <w:r w:rsidR="003C4B53">
        <w:t xml:space="preserve">of </w:t>
      </w:r>
      <w:r w:rsidR="001F3D5A">
        <w:t xml:space="preserve">the </w:t>
      </w:r>
      <w:r w:rsidR="003C4B53">
        <w:t>ride-through requirement</w:t>
      </w:r>
      <w:r w:rsidR="001F3D5A">
        <w:t xml:space="preserve">s and should be able to incorporate </w:t>
      </w:r>
      <w:r w:rsidR="008B16E5">
        <w:t xml:space="preserve">them </w:t>
      </w:r>
      <w:r w:rsidR="001F3D5A">
        <w:t xml:space="preserve">into their </w:t>
      </w:r>
      <w:r w:rsidR="004519E3">
        <w:t xml:space="preserve">design and </w:t>
      </w:r>
      <w:r w:rsidR="001F3D5A">
        <w:t xml:space="preserve">procurement decisions.  </w:t>
      </w:r>
      <w:r w:rsidR="008B16E5">
        <w:t xml:space="preserve">ERCOT submits that any </w:t>
      </w:r>
      <w:r w:rsidR="004519E3">
        <w:t xml:space="preserve">exemption </w:t>
      </w:r>
      <w:r w:rsidR="008B16E5">
        <w:t xml:space="preserve">that may be found acceptable </w:t>
      </w:r>
      <w:r w:rsidR="004519E3">
        <w:t xml:space="preserve">would need to end no </w:t>
      </w:r>
      <w:r>
        <w:t>later than June 30, 2027, after which all non-grandfathered LCL</w:t>
      </w:r>
      <w:r w:rsidR="004855D4">
        <w:t>s</w:t>
      </w:r>
      <w:r>
        <w:t xml:space="preserve">, including cooling </w:t>
      </w:r>
      <w:r w:rsidR="004855D4">
        <w:t>L</w:t>
      </w:r>
      <w:r>
        <w:t xml:space="preserve">oad, would need to </w:t>
      </w:r>
      <w:r w:rsidR="002575E4">
        <w:t>comply</w:t>
      </w:r>
      <w:r>
        <w:t xml:space="preserve"> with the ride-through requirements.   </w:t>
      </w:r>
    </w:p>
    <w:p w14:paraId="6A8CC9B4" w14:textId="3434DF1B" w:rsidR="0055032D" w:rsidRDefault="0091652E" w:rsidP="004855D4">
      <w:pPr>
        <w:pStyle w:val="NormalArial"/>
        <w:spacing w:before="120" w:after="120"/>
      </w:pPr>
      <w:proofErr w:type="gramStart"/>
      <w:r>
        <w:t>At this time</w:t>
      </w:r>
      <w:proofErr w:type="gramEnd"/>
      <w:r>
        <w:t xml:space="preserve">, ERCOT defers </w:t>
      </w:r>
      <w:r w:rsidR="00F9363F">
        <w:t xml:space="preserve">proposing </w:t>
      </w:r>
      <w:r>
        <w:t xml:space="preserve">revisions to </w:t>
      </w:r>
      <w:r w:rsidR="00F9363F">
        <w:t>N</w:t>
      </w:r>
      <w:r w:rsidR="00C63849">
        <w:t>OG</w:t>
      </w:r>
      <w:r w:rsidR="00F9363F">
        <w:t xml:space="preserve">RR </w:t>
      </w:r>
      <w:r>
        <w:t>language in favor of further discussion</w:t>
      </w:r>
      <w:r w:rsidR="00F9363F">
        <w:t>s</w:t>
      </w:r>
      <w:r>
        <w:t xml:space="preserve"> with LCL developers and OEMs regarding the above </w:t>
      </w:r>
      <w:r w:rsidR="002B726E">
        <w:t>concerns</w:t>
      </w:r>
      <w:r>
        <w:t>.</w:t>
      </w:r>
    </w:p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40"/>
      </w:tblGrid>
      <w:tr w:rsidR="0055032D" w14:paraId="77BEBCB0" w14:textId="77777777" w:rsidTr="004D37D7">
        <w:trPr>
          <w:trHeight w:val="350"/>
        </w:trPr>
        <w:tc>
          <w:tcPr>
            <w:tcW w:w="1044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622FFDE" w14:textId="77777777" w:rsidR="0055032D" w:rsidRDefault="0055032D" w:rsidP="004D37D7">
            <w:pPr>
              <w:pStyle w:val="Header"/>
              <w:jc w:val="center"/>
            </w:pPr>
            <w:r>
              <w:lastRenderedPageBreak/>
              <w:t>Revised Cover Page Language</w:t>
            </w:r>
          </w:p>
        </w:tc>
      </w:tr>
    </w:tbl>
    <w:p w14:paraId="6A5411E1" w14:textId="7CF90744" w:rsidR="00152993" w:rsidRDefault="002C17C1" w:rsidP="002C17C1">
      <w:pPr>
        <w:pStyle w:val="NormalArial"/>
        <w:spacing w:before="120" w:after="120"/>
      </w:pPr>
      <w:r>
        <w:t>None.</w:t>
      </w:r>
    </w:p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40"/>
      </w:tblGrid>
      <w:tr w:rsidR="00152993" w14:paraId="249FD1B6" w14:textId="77777777">
        <w:trPr>
          <w:trHeight w:val="350"/>
        </w:trPr>
        <w:tc>
          <w:tcPr>
            <w:tcW w:w="1044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63EDC8D" w14:textId="77777777" w:rsidR="00152993" w:rsidRDefault="00152993">
            <w:pPr>
              <w:pStyle w:val="Header"/>
              <w:jc w:val="center"/>
            </w:pPr>
            <w:r>
              <w:t xml:space="preserve">Revised Proposed </w:t>
            </w:r>
            <w:r w:rsidR="00C158EE">
              <w:t xml:space="preserve">Guide </w:t>
            </w:r>
            <w:r>
              <w:t>Language</w:t>
            </w:r>
          </w:p>
        </w:tc>
      </w:tr>
    </w:tbl>
    <w:p w14:paraId="1583E59A" w14:textId="5224A899" w:rsidR="00152993" w:rsidRDefault="002C17C1" w:rsidP="002C17C1">
      <w:pPr>
        <w:pStyle w:val="NormalArial"/>
        <w:spacing w:before="120" w:after="120"/>
      </w:pPr>
      <w:r>
        <w:t>None.</w:t>
      </w:r>
    </w:p>
    <w:sectPr w:rsidR="00152993" w:rsidSect="0074209E">
      <w:headerReference w:type="default" r:id="rId9"/>
      <w:footerReference w:type="default" r:id="rId10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F3E29" w14:textId="77777777" w:rsidR="007F78B0" w:rsidRDefault="007F78B0">
      <w:r>
        <w:separator/>
      </w:r>
    </w:p>
  </w:endnote>
  <w:endnote w:type="continuationSeparator" w:id="0">
    <w:p w14:paraId="71BDB500" w14:textId="77777777" w:rsidR="007F78B0" w:rsidRDefault="007F78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9B8AF" w14:textId="32CF0256" w:rsidR="003D0994" w:rsidRDefault="007F4D61" w:rsidP="0074209E">
    <w:pPr>
      <w:pStyle w:val="Footer"/>
      <w:tabs>
        <w:tab w:val="clear" w:pos="4320"/>
        <w:tab w:val="clear" w:pos="8640"/>
        <w:tab w:val="right" w:pos="9360"/>
      </w:tabs>
      <w:rPr>
        <w:rFonts w:ascii="Arial" w:hAnsi="Arial"/>
        <w:sz w:val="18"/>
      </w:rPr>
    </w:pPr>
    <w:r>
      <w:rPr>
        <w:rFonts w:ascii="Arial" w:hAnsi="Arial"/>
        <w:sz w:val="18"/>
      </w:rPr>
      <w:fldChar w:fldCharType="begin"/>
    </w:r>
    <w:r>
      <w:rPr>
        <w:rFonts w:ascii="Arial" w:hAnsi="Arial"/>
        <w:sz w:val="18"/>
      </w:rPr>
      <w:instrText xml:space="preserve"> FILENAME   \* MERGEFORMAT </w:instrText>
    </w:r>
    <w:r>
      <w:rPr>
        <w:rFonts w:ascii="Arial" w:hAnsi="Arial"/>
        <w:sz w:val="18"/>
      </w:rPr>
      <w:fldChar w:fldCharType="separate"/>
    </w:r>
    <w:r w:rsidR="004855D4">
      <w:rPr>
        <w:rFonts w:ascii="Arial" w:hAnsi="Arial"/>
        <w:noProof/>
        <w:sz w:val="18"/>
      </w:rPr>
      <w:t>289NOGRR-06 ERCOT Comments 092526</w:t>
    </w:r>
    <w:r>
      <w:rPr>
        <w:rFonts w:ascii="Arial" w:hAnsi="Arial"/>
        <w:sz w:val="18"/>
      </w:rPr>
      <w:fldChar w:fldCharType="end"/>
    </w:r>
    <w:r w:rsidR="003D0994">
      <w:rPr>
        <w:rFonts w:ascii="Arial" w:hAnsi="Arial"/>
        <w:sz w:val="18"/>
      </w:rPr>
      <w:tab/>
      <w:t xml:space="preserve">Page </w:t>
    </w:r>
    <w:r w:rsidR="003D0994">
      <w:rPr>
        <w:rFonts w:ascii="Arial" w:hAnsi="Arial"/>
        <w:sz w:val="18"/>
      </w:rPr>
      <w:fldChar w:fldCharType="begin"/>
    </w:r>
    <w:r w:rsidR="003D0994">
      <w:rPr>
        <w:rFonts w:ascii="Arial" w:hAnsi="Arial"/>
        <w:sz w:val="18"/>
      </w:rPr>
      <w:instrText xml:space="preserve"> PAGE </w:instrText>
    </w:r>
    <w:r w:rsidR="003D0994">
      <w:rPr>
        <w:rFonts w:ascii="Arial" w:hAnsi="Arial"/>
        <w:sz w:val="18"/>
      </w:rPr>
      <w:fldChar w:fldCharType="separate"/>
    </w:r>
    <w:r>
      <w:rPr>
        <w:rFonts w:ascii="Arial" w:hAnsi="Arial"/>
        <w:noProof/>
        <w:sz w:val="18"/>
      </w:rPr>
      <w:t>1</w:t>
    </w:r>
    <w:r w:rsidR="003D0994">
      <w:rPr>
        <w:rFonts w:ascii="Arial" w:hAnsi="Arial"/>
        <w:sz w:val="18"/>
      </w:rPr>
      <w:fldChar w:fldCharType="end"/>
    </w:r>
    <w:r w:rsidR="003D0994">
      <w:rPr>
        <w:rFonts w:ascii="Arial" w:hAnsi="Arial"/>
        <w:sz w:val="18"/>
      </w:rPr>
      <w:t xml:space="preserve"> of </w:t>
    </w:r>
    <w:r w:rsidR="003D0994">
      <w:rPr>
        <w:rFonts w:ascii="Arial" w:hAnsi="Arial"/>
        <w:sz w:val="18"/>
      </w:rPr>
      <w:fldChar w:fldCharType="begin"/>
    </w:r>
    <w:r w:rsidR="003D0994">
      <w:rPr>
        <w:rFonts w:ascii="Arial" w:hAnsi="Arial"/>
        <w:sz w:val="18"/>
      </w:rPr>
      <w:instrText xml:space="preserve"> NUMPAGES </w:instrText>
    </w:r>
    <w:r w:rsidR="003D0994">
      <w:rPr>
        <w:rFonts w:ascii="Arial" w:hAnsi="Arial"/>
        <w:sz w:val="18"/>
      </w:rPr>
      <w:fldChar w:fldCharType="separate"/>
    </w:r>
    <w:r>
      <w:rPr>
        <w:rFonts w:ascii="Arial" w:hAnsi="Arial"/>
        <w:noProof/>
        <w:sz w:val="18"/>
      </w:rPr>
      <w:t>1</w:t>
    </w:r>
    <w:r w:rsidR="003D0994">
      <w:rPr>
        <w:rFonts w:ascii="Arial" w:hAnsi="Arial"/>
        <w:sz w:val="18"/>
      </w:rPr>
      <w:fldChar w:fldCharType="end"/>
    </w:r>
  </w:p>
  <w:p w14:paraId="43AEF48E" w14:textId="77777777" w:rsidR="00FD08E8" w:rsidRDefault="00FD08E8" w:rsidP="003C405A">
    <w:pPr>
      <w:pStyle w:val="Footer"/>
      <w:tabs>
        <w:tab w:val="clear" w:pos="4320"/>
        <w:tab w:val="clear" w:pos="8640"/>
        <w:tab w:val="right" w:pos="9360"/>
      </w:tabs>
      <w:jc w:val="center"/>
      <w:rPr>
        <w:rFonts w:ascii="Arial" w:hAnsi="Arial"/>
        <w:sz w:val="18"/>
      </w:rPr>
    </w:pPr>
    <w:r>
      <w:rPr>
        <w:rFonts w:ascii="Arial" w:hAnsi="Arial"/>
        <w:sz w:val="18"/>
      </w:rPr>
      <w:t>PUBLIC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AED45" w14:textId="77777777" w:rsidR="007F78B0" w:rsidRDefault="007F78B0">
      <w:r>
        <w:separator/>
      </w:r>
    </w:p>
  </w:footnote>
  <w:footnote w:type="continuationSeparator" w:id="0">
    <w:p w14:paraId="255A9017" w14:textId="77777777" w:rsidR="007F78B0" w:rsidRDefault="007F78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299C6" w14:textId="291F2E9A" w:rsidR="003D0994" w:rsidRPr="002C17C1" w:rsidRDefault="00D825C5" w:rsidP="002C17C1">
    <w:pPr>
      <w:pStyle w:val="Header"/>
      <w:jc w:val="center"/>
      <w:rPr>
        <w:sz w:val="32"/>
      </w:rPr>
    </w:pPr>
    <w:r>
      <w:rPr>
        <w:sz w:val="32"/>
      </w:rPr>
      <w:t>NOG</w:t>
    </w:r>
    <w:r w:rsidR="00C158EE">
      <w:rPr>
        <w:sz w:val="32"/>
      </w:rPr>
      <w:t xml:space="preserve">RR </w:t>
    </w:r>
    <w:r w:rsidR="003D0994">
      <w:rPr>
        <w:sz w:val="32"/>
      </w:rPr>
      <w:t>Comments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5C26B7FC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C161CED"/>
    <w:multiLevelType w:val="hybridMultilevel"/>
    <w:tmpl w:val="AC4453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B15050"/>
    <w:multiLevelType w:val="hybridMultilevel"/>
    <w:tmpl w:val="CCF0C8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4D1896"/>
    <w:multiLevelType w:val="hybridMultilevel"/>
    <w:tmpl w:val="AC4453F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060C90"/>
    <w:multiLevelType w:val="hybridMultilevel"/>
    <w:tmpl w:val="246208DE"/>
    <w:lvl w:ilvl="0" w:tplc="9434FC1A">
      <w:start w:val="1"/>
      <w:numFmt w:val="bullet"/>
      <w:pStyle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471630018">
    <w:abstractNumId w:val="0"/>
  </w:num>
  <w:num w:numId="2" w16cid:durableId="859777337">
    <w:abstractNumId w:val="4"/>
  </w:num>
  <w:num w:numId="3" w16cid:durableId="2106225186">
    <w:abstractNumId w:val="2"/>
  </w:num>
  <w:num w:numId="4" w16cid:durableId="1942567740">
    <w:abstractNumId w:val="1"/>
  </w:num>
  <w:num w:numId="5" w16cid:durableId="14793728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27D"/>
    <w:rsid w:val="0000317C"/>
    <w:rsid w:val="00005274"/>
    <w:rsid w:val="000068AA"/>
    <w:rsid w:val="00012122"/>
    <w:rsid w:val="00012C6D"/>
    <w:rsid w:val="000130EE"/>
    <w:rsid w:val="00017965"/>
    <w:rsid w:val="000216F9"/>
    <w:rsid w:val="000217DC"/>
    <w:rsid w:val="000231C4"/>
    <w:rsid w:val="00023752"/>
    <w:rsid w:val="000254B1"/>
    <w:rsid w:val="00030186"/>
    <w:rsid w:val="000307D3"/>
    <w:rsid w:val="00032399"/>
    <w:rsid w:val="00036015"/>
    <w:rsid w:val="00037668"/>
    <w:rsid w:val="000471F8"/>
    <w:rsid w:val="0005550A"/>
    <w:rsid w:val="00057328"/>
    <w:rsid w:val="000614CB"/>
    <w:rsid w:val="0006703E"/>
    <w:rsid w:val="00070907"/>
    <w:rsid w:val="00070F60"/>
    <w:rsid w:val="000727CD"/>
    <w:rsid w:val="00075A94"/>
    <w:rsid w:val="00081D21"/>
    <w:rsid w:val="00081E5B"/>
    <w:rsid w:val="00091A73"/>
    <w:rsid w:val="000921FB"/>
    <w:rsid w:val="00092740"/>
    <w:rsid w:val="000961B8"/>
    <w:rsid w:val="00096F60"/>
    <w:rsid w:val="000A0FDF"/>
    <w:rsid w:val="000B0EEF"/>
    <w:rsid w:val="000B25C3"/>
    <w:rsid w:val="000B2ACB"/>
    <w:rsid w:val="000B7675"/>
    <w:rsid w:val="000C438D"/>
    <w:rsid w:val="000C6DED"/>
    <w:rsid w:val="000D10B9"/>
    <w:rsid w:val="000D265E"/>
    <w:rsid w:val="000D4C2B"/>
    <w:rsid w:val="000D5996"/>
    <w:rsid w:val="000D5F55"/>
    <w:rsid w:val="000D644C"/>
    <w:rsid w:val="000D6A8C"/>
    <w:rsid w:val="000D6C1B"/>
    <w:rsid w:val="000D708E"/>
    <w:rsid w:val="000E0AC4"/>
    <w:rsid w:val="000E1B13"/>
    <w:rsid w:val="000E5071"/>
    <w:rsid w:val="000E539E"/>
    <w:rsid w:val="000E5B9F"/>
    <w:rsid w:val="000E6EC9"/>
    <w:rsid w:val="000E7E01"/>
    <w:rsid w:val="000F0B74"/>
    <w:rsid w:val="000F18BF"/>
    <w:rsid w:val="000F20DB"/>
    <w:rsid w:val="000F68E5"/>
    <w:rsid w:val="000F74BB"/>
    <w:rsid w:val="000F7534"/>
    <w:rsid w:val="00104D9B"/>
    <w:rsid w:val="00105248"/>
    <w:rsid w:val="0011115A"/>
    <w:rsid w:val="00112982"/>
    <w:rsid w:val="00114808"/>
    <w:rsid w:val="001152BF"/>
    <w:rsid w:val="00115871"/>
    <w:rsid w:val="00115920"/>
    <w:rsid w:val="001204B5"/>
    <w:rsid w:val="001205B7"/>
    <w:rsid w:val="00122B29"/>
    <w:rsid w:val="0013042B"/>
    <w:rsid w:val="00130FB5"/>
    <w:rsid w:val="0013136A"/>
    <w:rsid w:val="00132855"/>
    <w:rsid w:val="00132A48"/>
    <w:rsid w:val="00132AC5"/>
    <w:rsid w:val="00133DCF"/>
    <w:rsid w:val="00134872"/>
    <w:rsid w:val="00134B73"/>
    <w:rsid w:val="00135635"/>
    <w:rsid w:val="00137DAC"/>
    <w:rsid w:val="00141B54"/>
    <w:rsid w:val="001446C4"/>
    <w:rsid w:val="00145815"/>
    <w:rsid w:val="00152993"/>
    <w:rsid w:val="001534D4"/>
    <w:rsid w:val="00157105"/>
    <w:rsid w:val="001644F9"/>
    <w:rsid w:val="00167C41"/>
    <w:rsid w:val="00170297"/>
    <w:rsid w:val="00173973"/>
    <w:rsid w:val="00175EE5"/>
    <w:rsid w:val="0018295D"/>
    <w:rsid w:val="001847F2"/>
    <w:rsid w:val="0019017E"/>
    <w:rsid w:val="001915D5"/>
    <w:rsid w:val="00194742"/>
    <w:rsid w:val="00194ADE"/>
    <w:rsid w:val="001950F5"/>
    <w:rsid w:val="00195A4C"/>
    <w:rsid w:val="001A0B0B"/>
    <w:rsid w:val="001A1371"/>
    <w:rsid w:val="001A227D"/>
    <w:rsid w:val="001A2544"/>
    <w:rsid w:val="001A2C2A"/>
    <w:rsid w:val="001A421F"/>
    <w:rsid w:val="001A467F"/>
    <w:rsid w:val="001A5609"/>
    <w:rsid w:val="001A7624"/>
    <w:rsid w:val="001A76BB"/>
    <w:rsid w:val="001A777B"/>
    <w:rsid w:val="001B4D06"/>
    <w:rsid w:val="001B60AA"/>
    <w:rsid w:val="001C1C90"/>
    <w:rsid w:val="001C2CAA"/>
    <w:rsid w:val="001C3276"/>
    <w:rsid w:val="001C437F"/>
    <w:rsid w:val="001D098D"/>
    <w:rsid w:val="001D69EE"/>
    <w:rsid w:val="001E170B"/>
    <w:rsid w:val="001E2032"/>
    <w:rsid w:val="001E3766"/>
    <w:rsid w:val="001E6013"/>
    <w:rsid w:val="001E791C"/>
    <w:rsid w:val="001F2A6B"/>
    <w:rsid w:val="001F3D5A"/>
    <w:rsid w:val="001F45EC"/>
    <w:rsid w:val="001F485E"/>
    <w:rsid w:val="001F547A"/>
    <w:rsid w:val="00210FF7"/>
    <w:rsid w:val="002153A4"/>
    <w:rsid w:val="002233A4"/>
    <w:rsid w:val="00225EFF"/>
    <w:rsid w:val="00226C99"/>
    <w:rsid w:val="00227726"/>
    <w:rsid w:val="002315E6"/>
    <w:rsid w:val="0023345C"/>
    <w:rsid w:val="00234190"/>
    <w:rsid w:val="00237394"/>
    <w:rsid w:val="00237F13"/>
    <w:rsid w:val="002413C9"/>
    <w:rsid w:val="002416A9"/>
    <w:rsid w:val="0024340B"/>
    <w:rsid w:val="00247139"/>
    <w:rsid w:val="00254F55"/>
    <w:rsid w:val="00255F5B"/>
    <w:rsid w:val="002575E4"/>
    <w:rsid w:val="00264AEB"/>
    <w:rsid w:val="00264BB8"/>
    <w:rsid w:val="002702CC"/>
    <w:rsid w:val="0027624A"/>
    <w:rsid w:val="002771E6"/>
    <w:rsid w:val="00280870"/>
    <w:rsid w:val="002874FF"/>
    <w:rsid w:val="00287F2A"/>
    <w:rsid w:val="00293309"/>
    <w:rsid w:val="00293883"/>
    <w:rsid w:val="00294D31"/>
    <w:rsid w:val="002A0368"/>
    <w:rsid w:val="002A20AA"/>
    <w:rsid w:val="002A2FC0"/>
    <w:rsid w:val="002A5C3F"/>
    <w:rsid w:val="002A7299"/>
    <w:rsid w:val="002A7577"/>
    <w:rsid w:val="002A7B21"/>
    <w:rsid w:val="002B5B3D"/>
    <w:rsid w:val="002B726E"/>
    <w:rsid w:val="002B7F1F"/>
    <w:rsid w:val="002C17C1"/>
    <w:rsid w:val="002C5F7F"/>
    <w:rsid w:val="002D0DC5"/>
    <w:rsid w:val="002D37DE"/>
    <w:rsid w:val="002D5DE7"/>
    <w:rsid w:val="002D62D6"/>
    <w:rsid w:val="002D7807"/>
    <w:rsid w:val="002E01B9"/>
    <w:rsid w:val="002E32B0"/>
    <w:rsid w:val="002F036C"/>
    <w:rsid w:val="002F12C6"/>
    <w:rsid w:val="002F176E"/>
    <w:rsid w:val="002F1F8F"/>
    <w:rsid w:val="002F2272"/>
    <w:rsid w:val="002F4609"/>
    <w:rsid w:val="002F4CCC"/>
    <w:rsid w:val="003010C0"/>
    <w:rsid w:val="00301331"/>
    <w:rsid w:val="0030163A"/>
    <w:rsid w:val="00301FC4"/>
    <w:rsid w:val="0030270A"/>
    <w:rsid w:val="003031C4"/>
    <w:rsid w:val="00310DD6"/>
    <w:rsid w:val="00314946"/>
    <w:rsid w:val="003168AC"/>
    <w:rsid w:val="00317FFA"/>
    <w:rsid w:val="0032079E"/>
    <w:rsid w:val="0033244C"/>
    <w:rsid w:val="00332A97"/>
    <w:rsid w:val="00333E6F"/>
    <w:rsid w:val="00336B58"/>
    <w:rsid w:val="00337DDA"/>
    <w:rsid w:val="003416B4"/>
    <w:rsid w:val="003439CD"/>
    <w:rsid w:val="0034501B"/>
    <w:rsid w:val="00350C00"/>
    <w:rsid w:val="00357F22"/>
    <w:rsid w:val="0036262B"/>
    <w:rsid w:val="00366113"/>
    <w:rsid w:val="00366D01"/>
    <w:rsid w:val="00370465"/>
    <w:rsid w:val="0037217C"/>
    <w:rsid w:val="00387333"/>
    <w:rsid w:val="003875DC"/>
    <w:rsid w:val="003905B9"/>
    <w:rsid w:val="00392BE9"/>
    <w:rsid w:val="00395650"/>
    <w:rsid w:val="00397253"/>
    <w:rsid w:val="003A2AD5"/>
    <w:rsid w:val="003A3756"/>
    <w:rsid w:val="003A43AD"/>
    <w:rsid w:val="003B208D"/>
    <w:rsid w:val="003B57A4"/>
    <w:rsid w:val="003C270C"/>
    <w:rsid w:val="003C299F"/>
    <w:rsid w:val="003C3F76"/>
    <w:rsid w:val="003C405A"/>
    <w:rsid w:val="003C4B53"/>
    <w:rsid w:val="003C5023"/>
    <w:rsid w:val="003C535D"/>
    <w:rsid w:val="003C6321"/>
    <w:rsid w:val="003C791A"/>
    <w:rsid w:val="003D0994"/>
    <w:rsid w:val="003D419D"/>
    <w:rsid w:val="003D4B2A"/>
    <w:rsid w:val="003E0DB9"/>
    <w:rsid w:val="003E0FB2"/>
    <w:rsid w:val="003E2D9A"/>
    <w:rsid w:val="003E41CE"/>
    <w:rsid w:val="003E71A3"/>
    <w:rsid w:val="003E75FB"/>
    <w:rsid w:val="003E7D74"/>
    <w:rsid w:val="003F11D0"/>
    <w:rsid w:val="003F37D4"/>
    <w:rsid w:val="003F7A8C"/>
    <w:rsid w:val="00400C54"/>
    <w:rsid w:val="0040202F"/>
    <w:rsid w:val="0040451A"/>
    <w:rsid w:val="004062BF"/>
    <w:rsid w:val="00407200"/>
    <w:rsid w:val="004105E4"/>
    <w:rsid w:val="00412AB0"/>
    <w:rsid w:val="00412DE9"/>
    <w:rsid w:val="004145B1"/>
    <w:rsid w:val="004152EF"/>
    <w:rsid w:val="00416DA8"/>
    <w:rsid w:val="00420D7B"/>
    <w:rsid w:val="00422778"/>
    <w:rsid w:val="00423162"/>
    <w:rsid w:val="00423824"/>
    <w:rsid w:val="004242DC"/>
    <w:rsid w:val="004243A2"/>
    <w:rsid w:val="00425848"/>
    <w:rsid w:val="00427D03"/>
    <w:rsid w:val="004301C7"/>
    <w:rsid w:val="00433BCF"/>
    <w:rsid w:val="00433ED8"/>
    <w:rsid w:val="0043567D"/>
    <w:rsid w:val="004361EA"/>
    <w:rsid w:val="00436B87"/>
    <w:rsid w:val="004420FB"/>
    <w:rsid w:val="00443B11"/>
    <w:rsid w:val="004519E3"/>
    <w:rsid w:val="00454843"/>
    <w:rsid w:val="004578F1"/>
    <w:rsid w:val="00457A66"/>
    <w:rsid w:val="0046180D"/>
    <w:rsid w:val="00461825"/>
    <w:rsid w:val="00463DAD"/>
    <w:rsid w:val="004651DF"/>
    <w:rsid w:val="004669D5"/>
    <w:rsid w:val="00466A7D"/>
    <w:rsid w:val="00467DA8"/>
    <w:rsid w:val="00470B22"/>
    <w:rsid w:val="00473C13"/>
    <w:rsid w:val="00477974"/>
    <w:rsid w:val="00477C7F"/>
    <w:rsid w:val="0048025C"/>
    <w:rsid w:val="00480324"/>
    <w:rsid w:val="004855D4"/>
    <w:rsid w:val="004866F6"/>
    <w:rsid w:val="0049177D"/>
    <w:rsid w:val="0049548C"/>
    <w:rsid w:val="0049705B"/>
    <w:rsid w:val="004A0124"/>
    <w:rsid w:val="004B1A99"/>
    <w:rsid w:val="004B60B3"/>
    <w:rsid w:val="004B656F"/>
    <w:rsid w:val="004B79C8"/>
    <w:rsid w:val="004B7B90"/>
    <w:rsid w:val="004C0072"/>
    <w:rsid w:val="004C2E69"/>
    <w:rsid w:val="004C53A1"/>
    <w:rsid w:val="004C580B"/>
    <w:rsid w:val="004C7A77"/>
    <w:rsid w:val="004D05E1"/>
    <w:rsid w:val="004D37D7"/>
    <w:rsid w:val="004D3E2D"/>
    <w:rsid w:val="004E182B"/>
    <w:rsid w:val="004E2C19"/>
    <w:rsid w:val="004E30FD"/>
    <w:rsid w:val="004E333C"/>
    <w:rsid w:val="004E4D49"/>
    <w:rsid w:val="004E5668"/>
    <w:rsid w:val="004F7608"/>
    <w:rsid w:val="00502258"/>
    <w:rsid w:val="0050339F"/>
    <w:rsid w:val="00504862"/>
    <w:rsid w:val="0050701B"/>
    <w:rsid w:val="005079B2"/>
    <w:rsid w:val="005101D8"/>
    <w:rsid w:val="00510ECA"/>
    <w:rsid w:val="0051426B"/>
    <w:rsid w:val="00514C78"/>
    <w:rsid w:val="00516F45"/>
    <w:rsid w:val="00517E6A"/>
    <w:rsid w:val="0052256C"/>
    <w:rsid w:val="00532204"/>
    <w:rsid w:val="00533D66"/>
    <w:rsid w:val="00535910"/>
    <w:rsid w:val="00537E4B"/>
    <w:rsid w:val="0054387B"/>
    <w:rsid w:val="00546E21"/>
    <w:rsid w:val="0055032D"/>
    <w:rsid w:val="00551BFB"/>
    <w:rsid w:val="00551E67"/>
    <w:rsid w:val="005549B6"/>
    <w:rsid w:val="00556B1B"/>
    <w:rsid w:val="0055761E"/>
    <w:rsid w:val="00562CD6"/>
    <w:rsid w:val="00564C10"/>
    <w:rsid w:val="005650DC"/>
    <w:rsid w:val="0057165A"/>
    <w:rsid w:val="005734E7"/>
    <w:rsid w:val="00574DCE"/>
    <w:rsid w:val="005933B2"/>
    <w:rsid w:val="00596E7C"/>
    <w:rsid w:val="005A37DF"/>
    <w:rsid w:val="005A63E4"/>
    <w:rsid w:val="005B1B92"/>
    <w:rsid w:val="005B2370"/>
    <w:rsid w:val="005B6253"/>
    <w:rsid w:val="005B6919"/>
    <w:rsid w:val="005C09C5"/>
    <w:rsid w:val="005C157F"/>
    <w:rsid w:val="005C442A"/>
    <w:rsid w:val="005D26F7"/>
    <w:rsid w:val="005D284C"/>
    <w:rsid w:val="005E0FD6"/>
    <w:rsid w:val="005E6543"/>
    <w:rsid w:val="005F2684"/>
    <w:rsid w:val="005F3E19"/>
    <w:rsid w:val="005F5818"/>
    <w:rsid w:val="005F79C5"/>
    <w:rsid w:val="006132FF"/>
    <w:rsid w:val="0062236D"/>
    <w:rsid w:val="00623B58"/>
    <w:rsid w:val="00625AA2"/>
    <w:rsid w:val="00627527"/>
    <w:rsid w:val="00630334"/>
    <w:rsid w:val="00632795"/>
    <w:rsid w:val="00633148"/>
    <w:rsid w:val="0063367E"/>
    <w:rsid w:val="00633E23"/>
    <w:rsid w:val="006345A6"/>
    <w:rsid w:val="006349A1"/>
    <w:rsid w:val="006377D6"/>
    <w:rsid w:val="00637CD7"/>
    <w:rsid w:val="00644558"/>
    <w:rsid w:val="00645B6F"/>
    <w:rsid w:val="00646073"/>
    <w:rsid w:val="00650AB2"/>
    <w:rsid w:val="00652A5C"/>
    <w:rsid w:val="006558B6"/>
    <w:rsid w:val="0065709C"/>
    <w:rsid w:val="006600B1"/>
    <w:rsid w:val="006607C2"/>
    <w:rsid w:val="00662819"/>
    <w:rsid w:val="00663AAD"/>
    <w:rsid w:val="00672326"/>
    <w:rsid w:val="00673B56"/>
    <w:rsid w:val="00673B94"/>
    <w:rsid w:val="00676781"/>
    <w:rsid w:val="006773AB"/>
    <w:rsid w:val="00680AC6"/>
    <w:rsid w:val="006825A2"/>
    <w:rsid w:val="006835D8"/>
    <w:rsid w:val="00683D91"/>
    <w:rsid w:val="0068437F"/>
    <w:rsid w:val="006927B9"/>
    <w:rsid w:val="00692E89"/>
    <w:rsid w:val="00695690"/>
    <w:rsid w:val="006A387B"/>
    <w:rsid w:val="006B58F2"/>
    <w:rsid w:val="006B74EB"/>
    <w:rsid w:val="006C19DD"/>
    <w:rsid w:val="006C2F5C"/>
    <w:rsid w:val="006C316E"/>
    <w:rsid w:val="006C4799"/>
    <w:rsid w:val="006C54BC"/>
    <w:rsid w:val="006D0F7C"/>
    <w:rsid w:val="006D5B34"/>
    <w:rsid w:val="006E0BEE"/>
    <w:rsid w:val="006E21DA"/>
    <w:rsid w:val="006F27D1"/>
    <w:rsid w:val="006F29FE"/>
    <w:rsid w:val="006F4B67"/>
    <w:rsid w:val="00700351"/>
    <w:rsid w:val="00704B03"/>
    <w:rsid w:val="00707F66"/>
    <w:rsid w:val="00710618"/>
    <w:rsid w:val="00710C70"/>
    <w:rsid w:val="00712F3A"/>
    <w:rsid w:val="007140F5"/>
    <w:rsid w:val="00714B5F"/>
    <w:rsid w:val="007154BC"/>
    <w:rsid w:val="0071553C"/>
    <w:rsid w:val="007269C4"/>
    <w:rsid w:val="0073015E"/>
    <w:rsid w:val="00730373"/>
    <w:rsid w:val="00730F9B"/>
    <w:rsid w:val="00731D42"/>
    <w:rsid w:val="00731D79"/>
    <w:rsid w:val="007324A3"/>
    <w:rsid w:val="00734EAF"/>
    <w:rsid w:val="007360BA"/>
    <w:rsid w:val="00736FD5"/>
    <w:rsid w:val="0074209E"/>
    <w:rsid w:val="00744E65"/>
    <w:rsid w:val="007473EC"/>
    <w:rsid w:val="00747B46"/>
    <w:rsid w:val="00751D46"/>
    <w:rsid w:val="00756172"/>
    <w:rsid w:val="00756CB8"/>
    <w:rsid w:val="00762B6C"/>
    <w:rsid w:val="0076552C"/>
    <w:rsid w:val="00770609"/>
    <w:rsid w:val="00771A39"/>
    <w:rsid w:val="00772CDF"/>
    <w:rsid w:val="00773F03"/>
    <w:rsid w:val="00777110"/>
    <w:rsid w:val="00777165"/>
    <w:rsid w:val="007831B0"/>
    <w:rsid w:val="00785BE1"/>
    <w:rsid w:val="0079041A"/>
    <w:rsid w:val="0079513D"/>
    <w:rsid w:val="007966B8"/>
    <w:rsid w:val="00797217"/>
    <w:rsid w:val="007A3FA3"/>
    <w:rsid w:val="007A7775"/>
    <w:rsid w:val="007B045B"/>
    <w:rsid w:val="007B50AD"/>
    <w:rsid w:val="007C4997"/>
    <w:rsid w:val="007D5EB9"/>
    <w:rsid w:val="007D747C"/>
    <w:rsid w:val="007E4179"/>
    <w:rsid w:val="007E6F70"/>
    <w:rsid w:val="007F2CA8"/>
    <w:rsid w:val="007F4D61"/>
    <w:rsid w:val="007F5067"/>
    <w:rsid w:val="007F7161"/>
    <w:rsid w:val="007F78B0"/>
    <w:rsid w:val="00801BB2"/>
    <w:rsid w:val="008034AD"/>
    <w:rsid w:val="00810B67"/>
    <w:rsid w:val="008160BA"/>
    <w:rsid w:val="00820DAE"/>
    <w:rsid w:val="008219C9"/>
    <w:rsid w:val="0082391D"/>
    <w:rsid w:val="00823A2D"/>
    <w:rsid w:val="00831E0B"/>
    <w:rsid w:val="008323AC"/>
    <w:rsid w:val="008333A4"/>
    <w:rsid w:val="0083660D"/>
    <w:rsid w:val="008406DA"/>
    <w:rsid w:val="00840C2E"/>
    <w:rsid w:val="008440C3"/>
    <w:rsid w:val="008459C2"/>
    <w:rsid w:val="00846473"/>
    <w:rsid w:val="0084694E"/>
    <w:rsid w:val="00847205"/>
    <w:rsid w:val="00850435"/>
    <w:rsid w:val="008521E9"/>
    <w:rsid w:val="00853816"/>
    <w:rsid w:val="00853E5D"/>
    <w:rsid w:val="008545D6"/>
    <w:rsid w:val="00854625"/>
    <w:rsid w:val="0085559E"/>
    <w:rsid w:val="00855BB1"/>
    <w:rsid w:val="008631F1"/>
    <w:rsid w:val="008633DB"/>
    <w:rsid w:val="00863ECE"/>
    <w:rsid w:val="008649A2"/>
    <w:rsid w:val="00865A40"/>
    <w:rsid w:val="00865A8D"/>
    <w:rsid w:val="00866335"/>
    <w:rsid w:val="0086638C"/>
    <w:rsid w:val="00866BEE"/>
    <w:rsid w:val="00870BA3"/>
    <w:rsid w:val="00871F0D"/>
    <w:rsid w:val="0088081F"/>
    <w:rsid w:val="00882053"/>
    <w:rsid w:val="008829DF"/>
    <w:rsid w:val="00883449"/>
    <w:rsid w:val="00883858"/>
    <w:rsid w:val="008856E9"/>
    <w:rsid w:val="008949B3"/>
    <w:rsid w:val="00894BF8"/>
    <w:rsid w:val="0089549E"/>
    <w:rsid w:val="00896822"/>
    <w:rsid w:val="00896B1B"/>
    <w:rsid w:val="008A1AEC"/>
    <w:rsid w:val="008A3545"/>
    <w:rsid w:val="008B16E5"/>
    <w:rsid w:val="008B2F15"/>
    <w:rsid w:val="008B50C2"/>
    <w:rsid w:val="008B5807"/>
    <w:rsid w:val="008B7C72"/>
    <w:rsid w:val="008B7FED"/>
    <w:rsid w:val="008C2873"/>
    <w:rsid w:val="008C29E7"/>
    <w:rsid w:val="008C319A"/>
    <w:rsid w:val="008C3442"/>
    <w:rsid w:val="008C3CB2"/>
    <w:rsid w:val="008C41FB"/>
    <w:rsid w:val="008C57C1"/>
    <w:rsid w:val="008D0B9F"/>
    <w:rsid w:val="008D698C"/>
    <w:rsid w:val="008D798D"/>
    <w:rsid w:val="008D7D94"/>
    <w:rsid w:val="008E2301"/>
    <w:rsid w:val="008E559E"/>
    <w:rsid w:val="008E6E41"/>
    <w:rsid w:val="008E7DE6"/>
    <w:rsid w:val="008F06C0"/>
    <w:rsid w:val="008F0D32"/>
    <w:rsid w:val="008F2495"/>
    <w:rsid w:val="008F502E"/>
    <w:rsid w:val="00903CB8"/>
    <w:rsid w:val="00906FD9"/>
    <w:rsid w:val="0091040E"/>
    <w:rsid w:val="00914DEE"/>
    <w:rsid w:val="00916080"/>
    <w:rsid w:val="0091652E"/>
    <w:rsid w:val="009172D6"/>
    <w:rsid w:val="009177E5"/>
    <w:rsid w:val="009201B5"/>
    <w:rsid w:val="00920F3E"/>
    <w:rsid w:val="00921A68"/>
    <w:rsid w:val="00922B3A"/>
    <w:rsid w:val="009243FA"/>
    <w:rsid w:val="00926377"/>
    <w:rsid w:val="00934522"/>
    <w:rsid w:val="00944A16"/>
    <w:rsid w:val="009522AA"/>
    <w:rsid w:val="009528DC"/>
    <w:rsid w:val="00954F9F"/>
    <w:rsid w:val="00955890"/>
    <w:rsid w:val="00960706"/>
    <w:rsid w:val="0096070A"/>
    <w:rsid w:val="00966250"/>
    <w:rsid w:val="00967268"/>
    <w:rsid w:val="00972441"/>
    <w:rsid w:val="00972F2A"/>
    <w:rsid w:val="0097463A"/>
    <w:rsid w:val="00975506"/>
    <w:rsid w:val="009764CB"/>
    <w:rsid w:val="0098078B"/>
    <w:rsid w:val="00980CB9"/>
    <w:rsid w:val="009810AB"/>
    <w:rsid w:val="009844AA"/>
    <w:rsid w:val="00986B9C"/>
    <w:rsid w:val="00986D85"/>
    <w:rsid w:val="009953F9"/>
    <w:rsid w:val="00996A56"/>
    <w:rsid w:val="009A0A86"/>
    <w:rsid w:val="009A2B74"/>
    <w:rsid w:val="009A55AE"/>
    <w:rsid w:val="009A566D"/>
    <w:rsid w:val="009A5BDC"/>
    <w:rsid w:val="009A73E0"/>
    <w:rsid w:val="009A7C35"/>
    <w:rsid w:val="009A7D43"/>
    <w:rsid w:val="009B3A31"/>
    <w:rsid w:val="009C0C29"/>
    <w:rsid w:val="009C173C"/>
    <w:rsid w:val="009C2FBF"/>
    <w:rsid w:val="009C383C"/>
    <w:rsid w:val="009C4245"/>
    <w:rsid w:val="009C7C3A"/>
    <w:rsid w:val="009D0F2C"/>
    <w:rsid w:val="009D1B0D"/>
    <w:rsid w:val="009D6CE6"/>
    <w:rsid w:val="009E1314"/>
    <w:rsid w:val="009E26EE"/>
    <w:rsid w:val="009E3066"/>
    <w:rsid w:val="009E4769"/>
    <w:rsid w:val="009E49B0"/>
    <w:rsid w:val="009F3521"/>
    <w:rsid w:val="009F5284"/>
    <w:rsid w:val="009F6164"/>
    <w:rsid w:val="009F7971"/>
    <w:rsid w:val="00A00139"/>
    <w:rsid w:val="00A00C03"/>
    <w:rsid w:val="00A015C4"/>
    <w:rsid w:val="00A05944"/>
    <w:rsid w:val="00A076FA"/>
    <w:rsid w:val="00A07C93"/>
    <w:rsid w:val="00A11B8D"/>
    <w:rsid w:val="00A13A9D"/>
    <w:rsid w:val="00A14892"/>
    <w:rsid w:val="00A14FEA"/>
    <w:rsid w:val="00A15172"/>
    <w:rsid w:val="00A22341"/>
    <w:rsid w:val="00A2337E"/>
    <w:rsid w:val="00A27CB5"/>
    <w:rsid w:val="00A31F00"/>
    <w:rsid w:val="00A34D2F"/>
    <w:rsid w:val="00A42B38"/>
    <w:rsid w:val="00A51601"/>
    <w:rsid w:val="00A53365"/>
    <w:rsid w:val="00A5360F"/>
    <w:rsid w:val="00A551B2"/>
    <w:rsid w:val="00A6211E"/>
    <w:rsid w:val="00A65A88"/>
    <w:rsid w:val="00A718D6"/>
    <w:rsid w:val="00A719D0"/>
    <w:rsid w:val="00A73F63"/>
    <w:rsid w:val="00A7458F"/>
    <w:rsid w:val="00A7573D"/>
    <w:rsid w:val="00A76FBF"/>
    <w:rsid w:val="00A7758C"/>
    <w:rsid w:val="00A779E3"/>
    <w:rsid w:val="00A779F5"/>
    <w:rsid w:val="00A77B7C"/>
    <w:rsid w:val="00A8223A"/>
    <w:rsid w:val="00AA17EE"/>
    <w:rsid w:val="00AA1948"/>
    <w:rsid w:val="00AA52B8"/>
    <w:rsid w:val="00AA5707"/>
    <w:rsid w:val="00AA57AD"/>
    <w:rsid w:val="00AB6C6C"/>
    <w:rsid w:val="00AC3274"/>
    <w:rsid w:val="00AC77C0"/>
    <w:rsid w:val="00AD39F7"/>
    <w:rsid w:val="00AD7110"/>
    <w:rsid w:val="00AE27F0"/>
    <w:rsid w:val="00AE4784"/>
    <w:rsid w:val="00AE61BD"/>
    <w:rsid w:val="00AE7FD5"/>
    <w:rsid w:val="00AF314C"/>
    <w:rsid w:val="00AF3979"/>
    <w:rsid w:val="00B0024F"/>
    <w:rsid w:val="00B0316E"/>
    <w:rsid w:val="00B06010"/>
    <w:rsid w:val="00B07D37"/>
    <w:rsid w:val="00B07E8C"/>
    <w:rsid w:val="00B12CC7"/>
    <w:rsid w:val="00B1621B"/>
    <w:rsid w:val="00B21BDC"/>
    <w:rsid w:val="00B23C18"/>
    <w:rsid w:val="00B3397F"/>
    <w:rsid w:val="00B34A13"/>
    <w:rsid w:val="00B35750"/>
    <w:rsid w:val="00B4164C"/>
    <w:rsid w:val="00B46FD6"/>
    <w:rsid w:val="00B516AF"/>
    <w:rsid w:val="00B51993"/>
    <w:rsid w:val="00B54895"/>
    <w:rsid w:val="00B57873"/>
    <w:rsid w:val="00B62ED8"/>
    <w:rsid w:val="00B64341"/>
    <w:rsid w:val="00B6480B"/>
    <w:rsid w:val="00B64AD8"/>
    <w:rsid w:val="00B6651A"/>
    <w:rsid w:val="00B66862"/>
    <w:rsid w:val="00B67014"/>
    <w:rsid w:val="00B671BC"/>
    <w:rsid w:val="00B6749A"/>
    <w:rsid w:val="00B735D2"/>
    <w:rsid w:val="00B73B7B"/>
    <w:rsid w:val="00B73E56"/>
    <w:rsid w:val="00B752F1"/>
    <w:rsid w:val="00B761D0"/>
    <w:rsid w:val="00B77966"/>
    <w:rsid w:val="00B83CAB"/>
    <w:rsid w:val="00B867F8"/>
    <w:rsid w:val="00B87FFE"/>
    <w:rsid w:val="00B90161"/>
    <w:rsid w:val="00B909B9"/>
    <w:rsid w:val="00B92423"/>
    <w:rsid w:val="00B97730"/>
    <w:rsid w:val="00BA1321"/>
    <w:rsid w:val="00BA1E91"/>
    <w:rsid w:val="00BA500F"/>
    <w:rsid w:val="00BA70CC"/>
    <w:rsid w:val="00BB11D2"/>
    <w:rsid w:val="00BB1546"/>
    <w:rsid w:val="00BB34AA"/>
    <w:rsid w:val="00BB77B8"/>
    <w:rsid w:val="00BC0BEE"/>
    <w:rsid w:val="00BC1293"/>
    <w:rsid w:val="00BC1EC4"/>
    <w:rsid w:val="00BC2F68"/>
    <w:rsid w:val="00BD13F6"/>
    <w:rsid w:val="00BD160A"/>
    <w:rsid w:val="00BD607D"/>
    <w:rsid w:val="00BE4DAA"/>
    <w:rsid w:val="00BF1F2D"/>
    <w:rsid w:val="00BF491D"/>
    <w:rsid w:val="00BF585D"/>
    <w:rsid w:val="00BF5A70"/>
    <w:rsid w:val="00C0598D"/>
    <w:rsid w:val="00C10B3C"/>
    <w:rsid w:val="00C11956"/>
    <w:rsid w:val="00C12127"/>
    <w:rsid w:val="00C13026"/>
    <w:rsid w:val="00C147A6"/>
    <w:rsid w:val="00C1578E"/>
    <w:rsid w:val="00C158EE"/>
    <w:rsid w:val="00C16D76"/>
    <w:rsid w:val="00C22B71"/>
    <w:rsid w:val="00C27BF3"/>
    <w:rsid w:val="00C3008F"/>
    <w:rsid w:val="00C3068E"/>
    <w:rsid w:val="00C3071C"/>
    <w:rsid w:val="00C371EA"/>
    <w:rsid w:val="00C379D7"/>
    <w:rsid w:val="00C415B1"/>
    <w:rsid w:val="00C416E9"/>
    <w:rsid w:val="00C423C6"/>
    <w:rsid w:val="00C42875"/>
    <w:rsid w:val="00C42FD5"/>
    <w:rsid w:val="00C43710"/>
    <w:rsid w:val="00C43A2D"/>
    <w:rsid w:val="00C4403B"/>
    <w:rsid w:val="00C44053"/>
    <w:rsid w:val="00C44E90"/>
    <w:rsid w:val="00C46A44"/>
    <w:rsid w:val="00C50D87"/>
    <w:rsid w:val="00C53196"/>
    <w:rsid w:val="00C53DB6"/>
    <w:rsid w:val="00C54CF0"/>
    <w:rsid w:val="00C54EDE"/>
    <w:rsid w:val="00C5559C"/>
    <w:rsid w:val="00C602E5"/>
    <w:rsid w:val="00C6069B"/>
    <w:rsid w:val="00C60C51"/>
    <w:rsid w:val="00C62C6E"/>
    <w:rsid w:val="00C63849"/>
    <w:rsid w:val="00C74487"/>
    <w:rsid w:val="00C748FD"/>
    <w:rsid w:val="00C769AA"/>
    <w:rsid w:val="00C76CD8"/>
    <w:rsid w:val="00C775F7"/>
    <w:rsid w:val="00C81E9B"/>
    <w:rsid w:val="00C856EC"/>
    <w:rsid w:val="00C927E6"/>
    <w:rsid w:val="00C9476B"/>
    <w:rsid w:val="00CA5BD8"/>
    <w:rsid w:val="00CA6A87"/>
    <w:rsid w:val="00CB0EAA"/>
    <w:rsid w:val="00CB1C40"/>
    <w:rsid w:val="00CB2AA5"/>
    <w:rsid w:val="00CB36F7"/>
    <w:rsid w:val="00CB5681"/>
    <w:rsid w:val="00CC2DC5"/>
    <w:rsid w:val="00CC3AD8"/>
    <w:rsid w:val="00CC5B3E"/>
    <w:rsid w:val="00CD0B95"/>
    <w:rsid w:val="00CD1E91"/>
    <w:rsid w:val="00CD3709"/>
    <w:rsid w:val="00CD79E3"/>
    <w:rsid w:val="00CE0887"/>
    <w:rsid w:val="00CE0B86"/>
    <w:rsid w:val="00CE68A2"/>
    <w:rsid w:val="00CF19C6"/>
    <w:rsid w:val="00CF26A3"/>
    <w:rsid w:val="00CF3896"/>
    <w:rsid w:val="00CF4F06"/>
    <w:rsid w:val="00CF57E8"/>
    <w:rsid w:val="00CF5C5E"/>
    <w:rsid w:val="00CF651B"/>
    <w:rsid w:val="00D0047A"/>
    <w:rsid w:val="00D02877"/>
    <w:rsid w:val="00D05D42"/>
    <w:rsid w:val="00D06779"/>
    <w:rsid w:val="00D07E05"/>
    <w:rsid w:val="00D11036"/>
    <w:rsid w:val="00D12CB5"/>
    <w:rsid w:val="00D172B6"/>
    <w:rsid w:val="00D1761F"/>
    <w:rsid w:val="00D20CCE"/>
    <w:rsid w:val="00D24DCF"/>
    <w:rsid w:val="00D26BB3"/>
    <w:rsid w:val="00D315AD"/>
    <w:rsid w:val="00D32711"/>
    <w:rsid w:val="00D34A02"/>
    <w:rsid w:val="00D355CF"/>
    <w:rsid w:val="00D3669B"/>
    <w:rsid w:val="00D37573"/>
    <w:rsid w:val="00D37787"/>
    <w:rsid w:val="00D4046E"/>
    <w:rsid w:val="00D41B2E"/>
    <w:rsid w:val="00D45693"/>
    <w:rsid w:val="00D46D91"/>
    <w:rsid w:val="00D475DD"/>
    <w:rsid w:val="00D50481"/>
    <w:rsid w:val="00D54D4A"/>
    <w:rsid w:val="00D55A15"/>
    <w:rsid w:val="00D575A6"/>
    <w:rsid w:val="00D578A4"/>
    <w:rsid w:val="00D6266A"/>
    <w:rsid w:val="00D63039"/>
    <w:rsid w:val="00D74552"/>
    <w:rsid w:val="00D825C5"/>
    <w:rsid w:val="00D82B18"/>
    <w:rsid w:val="00D82CB4"/>
    <w:rsid w:val="00D84498"/>
    <w:rsid w:val="00D8655E"/>
    <w:rsid w:val="00D871D1"/>
    <w:rsid w:val="00D91240"/>
    <w:rsid w:val="00D9340C"/>
    <w:rsid w:val="00DA3DDF"/>
    <w:rsid w:val="00DB0D82"/>
    <w:rsid w:val="00DB220E"/>
    <w:rsid w:val="00DB23A8"/>
    <w:rsid w:val="00DB2A47"/>
    <w:rsid w:val="00DB5CFE"/>
    <w:rsid w:val="00DC0D1D"/>
    <w:rsid w:val="00DC327E"/>
    <w:rsid w:val="00DC5A3D"/>
    <w:rsid w:val="00DC704B"/>
    <w:rsid w:val="00DD1070"/>
    <w:rsid w:val="00DD205C"/>
    <w:rsid w:val="00DD3763"/>
    <w:rsid w:val="00DD4739"/>
    <w:rsid w:val="00DD4F18"/>
    <w:rsid w:val="00DD55E5"/>
    <w:rsid w:val="00DE2744"/>
    <w:rsid w:val="00DE5BBD"/>
    <w:rsid w:val="00DE5F33"/>
    <w:rsid w:val="00DE65B3"/>
    <w:rsid w:val="00DF7565"/>
    <w:rsid w:val="00DF7A07"/>
    <w:rsid w:val="00E02B7F"/>
    <w:rsid w:val="00E03D5A"/>
    <w:rsid w:val="00E0710E"/>
    <w:rsid w:val="00E07B54"/>
    <w:rsid w:val="00E07BF4"/>
    <w:rsid w:val="00E10427"/>
    <w:rsid w:val="00E117F6"/>
    <w:rsid w:val="00E11F78"/>
    <w:rsid w:val="00E176A8"/>
    <w:rsid w:val="00E17AC4"/>
    <w:rsid w:val="00E17E44"/>
    <w:rsid w:val="00E23332"/>
    <w:rsid w:val="00E23DAF"/>
    <w:rsid w:val="00E322F3"/>
    <w:rsid w:val="00E32AF4"/>
    <w:rsid w:val="00E3577C"/>
    <w:rsid w:val="00E37EB1"/>
    <w:rsid w:val="00E40B1B"/>
    <w:rsid w:val="00E46205"/>
    <w:rsid w:val="00E46A19"/>
    <w:rsid w:val="00E46FBD"/>
    <w:rsid w:val="00E47885"/>
    <w:rsid w:val="00E5477B"/>
    <w:rsid w:val="00E57830"/>
    <w:rsid w:val="00E60811"/>
    <w:rsid w:val="00E621E1"/>
    <w:rsid w:val="00E64999"/>
    <w:rsid w:val="00E71DAF"/>
    <w:rsid w:val="00E723B3"/>
    <w:rsid w:val="00E7279A"/>
    <w:rsid w:val="00E74287"/>
    <w:rsid w:val="00E76A38"/>
    <w:rsid w:val="00E836FD"/>
    <w:rsid w:val="00E843C7"/>
    <w:rsid w:val="00E85E4D"/>
    <w:rsid w:val="00E905AF"/>
    <w:rsid w:val="00E928E4"/>
    <w:rsid w:val="00EA2DB2"/>
    <w:rsid w:val="00EA3DE7"/>
    <w:rsid w:val="00EA5295"/>
    <w:rsid w:val="00EA6737"/>
    <w:rsid w:val="00EB2BA3"/>
    <w:rsid w:val="00EC55B3"/>
    <w:rsid w:val="00EC57F2"/>
    <w:rsid w:val="00EC5DB0"/>
    <w:rsid w:val="00ED330C"/>
    <w:rsid w:val="00ED44B7"/>
    <w:rsid w:val="00ED5799"/>
    <w:rsid w:val="00ED7989"/>
    <w:rsid w:val="00EE6D8A"/>
    <w:rsid w:val="00EF6659"/>
    <w:rsid w:val="00EF717D"/>
    <w:rsid w:val="00F044CC"/>
    <w:rsid w:val="00F04F44"/>
    <w:rsid w:val="00F053E1"/>
    <w:rsid w:val="00F057BA"/>
    <w:rsid w:val="00F07F9E"/>
    <w:rsid w:val="00F108D3"/>
    <w:rsid w:val="00F14C3B"/>
    <w:rsid w:val="00F15639"/>
    <w:rsid w:val="00F168F7"/>
    <w:rsid w:val="00F170C9"/>
    <w:rsid w:val="00F217A5"/>
    <w:rsid w:val="00F24D97"/>
    <w:rsid w:val="00F26AC6"/>
    <w:rsid w:val="00F306EC"/>
    <w:rsid w:val="00F3262A"/>
    <w:rsid w:val="00F37D6A"/>
    <w:rsid w:val="00F420E0"/>
    <w:rsid w:val="00F447B2"/>
    <w:rsid w:val="00F4613E"/>
    <w:rsid w:val="00F4794A"/>
    <w:rsid w:val="00F55B05"/>
    <w:rsid w:val="00F56661"/>
    <w:rsid w:val="00F577C3"/>
    <w:rsid w:val="00F61EE4"/>
    <w:rsid w:val="00F63618"/>
    <w:rsid w:val="00F64258"/>
    <w:rsid w:val="00F64E23"/>
    <w:rsid w:val="00F6599C"/>
    <w:rsid w:val="00F66760"/>
    <w:rsid w:val="00F735A2"/>
    <w:rsid w:val="00F7584D"/>
    <w:rsid w:val="00F7598F"/>
    <w:rsid w:val="00F83D18"/>
    <w:rsid w:val="00F875FC"/>
    <w:rsid w:val="00F9363F"/>
    <w:rsid w:val="00F94665"/>
    <w:rsid w:val="00F956FA"/>
    <w:rsid w:val="00F967BA"/>
    <w:rsid w:val="00F96FB2"/>
    <w:rsid w:val="00F97926"/>
    <w:rsid w:val="00FA05B4"/>
    <w:rsid w:val="00FA0B26"/>
    <w:rsid w:val="00FA2D3B"/>
    <w:rsid w:val="00FA3131"/>
    <w:rsid w:val="00FB19DE"/>
    <w:rsid w:val="00FB22FC"/>
    <w:rsid w:val="00FB2A77"/>
    <w:rsid w:val="00FB51D8"/>
    <w:rsid w:val="00FB583E"/>
    <w:rsid w:val="00FB67FF"/>
    <w:rsid w:val="00FC2035"/>
    <w:rsid w:val="00FC3D56"/>
    <w:rsid w:val="00FC53D6"/>
    <w:rsid w:val="00FC6D2C"/>
    <w:rsid w:val="00FD08E8"/>
    <w:rsid w:val="00FD4104"/>
    <w:rsid w:val="00FD60AD"/>
    <w:rsid w:val="00FD7412"/>
    <w:rsid w:val="00FE0295"/>
    <w:rsid w:val="00FE1C1D"/>
    <w:rsid w:val="00FE391A"/>
    <w:rsid w:val="00FE5B3D"/>
    <w:rsid w:val="00FE78ED"/>
    <w:rsid w:val="00FF0D98"/>
    <w:rsid w:val="00FF1AAC"/>
    <w:rsid w:val="00FF2BF8"/>
    <w:rsid w:val="00FF3EEE"/>
    <w:rsid w:val="00FF4859"/>
    <w:rsid w:val="00FF70CE"/>
    <w:rsid w:val="00FF7255"/>
    <w:rsid w:val="01EE7D3A"/>
    <w:rsid w:val="04027153"/>
    <w:rsid w:val="04033BEF"/>
    <w:rsid w:val="0471D4C6"/>
    <w:rsid w:val="047D41EA"/>
    <w:rsid w:val="07FB7B6D"/>
    <w:rsid w:val="09285382"/>
    <w:rsid w:val="09D8246F"/>
    <w:rsid w:val="0A5B309E"/>
    <w:rsid w:val="0AD7ECDC"/>
    <w:rsid w:val="0AFD869C"/>
    <w:rsid w:val="0C0A1F0E"/>
    <w:rsid w:val="0D401A42"/>
    <w:rsid w:val="0D75D522"/>
    <w:rsid w:val="0F652DE7"/>
    <w:rsid w:val="0FEFB8D2"/>
    <w:rsid w:val="13418E68"/>
    <w:rsid w:val="14912E1B"/>
    <w:rsid w:val="14C4398C"/>
    <w:rsid w:val="17C47A4D"/>
    <w:rsid w:val="18199DB0"/>
    <w:rsid w:val="184DB3F7"/>
    <w:rsid w:val="1C986D53"/>
    <w:rsid w:val="1D7B69B1"/>
    <w:rsid w:val="1D91C87F"/>
    <w:rsid w:val="1E1A9B60"/>
    <w:rsid w:val="1EBA7257"/>
    <w:rsid w:val="23BE72DB"/>
    <w:rsid w:val="24984D07"/>
    <w:rsid w:val="249FC3D7"/>
    <w:rsid w:val="25357C2E"/>
    <w:rsid w:val="26D78013"/>
    <w:rsid w:val="28A04A10"/>
    <w:rsid w:val="2B9DA93A"/>
    <w:rsid w:val="2BE4DA87"/>
    <w:rsid w:val="2D745FBC"/>
    <w:rsid w:val="2ED7342A"/>
    <w:rsid w:val="2F87E53C"/>
    <w:rsid w:val="315FAC9B"/>
    <w:rsid w:val="31680DDB"/>
    <w:rsid w:val="31868C82"/>
    <w:rsid w:val="3257D772"/>
    <w:rsid w:val="3399869E"/>
    <w:rsid w:val="33D6819F"/>
    <w:rsid w:val="362E0E29"/>
    <w:rsid w:val="368C3DAF"/>
    <w:rsid w:val="36F8CD61"/>
    <w:rsid w:val="376F67B4"/>
    <w:rsid w:val="3B82F643"/>
    <w:rsid w:val="3D54F8EF"/>
    <w:rsid w:val="3E5825D8"/>
    <w:rsid w:val="3E92203F"/>
    <w:rsid w:val="3EEE8F4E"/>
    <w:rsid w:val="411D5899"/>
    <w:rsid w:val="412F7CA9"/>
    <w:rsid w:val="42D286F7"/>
    <w:rsid w:val="43BE1869"/>
    <w:rsid w:val="4425FF62"/>
    <w:rsid w:val="445B8C98"/>
    <w:rsid w:val="4461496A"/>
    <w:rsid w:val="44A538EB"/>
    <w:rsid w:val="44A6C540"/>
    <w:rsid w:val="459B585E"/>
    <w:rsid w:val="45DC0829"/>
    <w:rsid w:val="4671927F"/>
    <w:rsid w:val="469AAAE3"/>
    <w:rsid w:val="48269A91"/>
    <w:rsid w:val="4852642A"/>
    <w:rsid w:val="49010E7E"/>
    <w:rsid w:val="4A545B3E"/>
    <w:rsid w:val="4AB6D3FC"/>
    <w:rsid w:val="4B693386"/>
    <w:rsid w:val="4D2246BC"/>
    <w:rsid w:val="4D92AB2D"/>
    <w:rsid w:val="4E249FD9"/>
    <w:rsid w:val="4EBD81CB"/>
    <w:rsid w:val="4EC073AE"/>
    <w:rsid w:val="4EFD0BD7"/>
    <w:rsid w:val="4FAD7BB5"/>
    <w:rsid w:val="4FB1D747"/>
    <w:rsid w:val="53582D44"/>
    <w:rsid w:val="539AFDBE"/>
    <w:rsid w:val="5444CFC0"/>
    <w:rsid w:val="565BD58B"/>
    <w:rsid w:val="57DFC3A2"/>
    <w:rsid w:val="5A88F42E"/>
    <w:rsid w:val="5BF486CF"/>
    <w:rsid w:val="5C5171C9"/>
    <w:rsid w:val="5CDA57B4"/>
    <w:rsid w:val="5E8438E1"/>
    <w:rsid w:val="5ECEB17F"/>
    <w:rsid w:val="611451F2"/>
    <w:rsid w:val="6230302B"/>
    <w:rsid w:val="62E453F1"/>
    <w:rsid w:val="638002C7"/>
    <w:rsid w:val="63998251"/>
    <w:rsid w:val="662F216F"/>
    <w:rsid w:val="6657017E"/>
    <w:rsid w:val="66F5D352"/>
    <w:rsid w:val="68954594"/>
    <w:rsid w:val="695CF5F1"/>
    <w:rsid w:val="6ABB4B6A"/>
    <w:rsid w:val="6C0AFCE6"/>
    <w:rsid w:val="6C14ECE3"/>
    <w:rsid w:val="6E7421C2"/>
    <w:rsid w:val="6EF1F51A"/>
    <w:rsid w:val="6FC4FF56"/>
    <w:rsid w:val="7072C63E"/>
    <w:rsid w:val="7167FCC4"/>
    <w:rsid w:val="71A3BCAE"/>
    <w:rsid w:val="71D64B50"/>
    <w:rsid w:val="735E378A"/>
    <w:rsid w:val="739CA2B2"/>
    <w:rsid w:val="74E891EF"/>
    <w:rsid w:val="75885130"/>
    <w:rsid w:val="75E71118"/>
    <w:rsid w:val="767A22B4"/>
    <w:rsid w:val="77CF93F5"/>
    <w:rsid w:val="79050E17"/>
    <w:rsid w:val="79B97610"/>
    <w:rsid w:val="7C9DB8E5"/>
    <w:rsid w:val="7D5FAA35"/>
    <w:rsid w:val="7D7E6E97"/>
    <w:rsid w:val="7D89472B"/>
    <w:rsid w:val="7F375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C0C940"/>
  <w15:chartTrackingRefBased/>
  <w15:docId w15:val="{7A50CF5E-FC0B-4593-A1E1-4EDB1A86A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aliases w:val="h1"/>
    <w:basedOn w:val="Normal"/>
    <w:next w:val="Normal"/>
    <w:qFormat/>
    <w:pPr>
      <w:keepNext/>
      <w:numPr>
        <w:numId w:val="1"/>
      </w:numPr>
      <w:spacing w:after="240"/>
      <w:outlineLvl w:val="0"/>
    </w:pPr>
    <w:rPr>
      <w:b/>
      <w:caps/>
      <w:szCs w:val="20"/>
    </w:rPr>
  </w:style>
  <w:style w:type="paragraph" w:styleId="Heading2">
    <w:name w:val="heading 2"/>
    <w:aliases w:val="h2"/>
    <w:basedOn w:val="Normal"/>
    <w:next w:val="Normal"/>
    <w:qFormat/>
    <w:pPr>
      <w:keepNext/>
      <w:numPr>
        <w:ilvl w:val="1"/>
        <w:numId w:val="1"/>
      </w:numPr>
      <w:spacing w:before="240" w:after="240"/>
      <w:outlineLvl w:val="1"/>
    </w:pPr>
    <w:rPr>
      <w:b/>
      <w:szCs w:val="20"/>
    </w:rPr>
  </w:style>
  <w:style w:type="paragraph" w:styleId="Heading3">
    <w:name w:val="heading 3"/>
    <w:aliases w:val="h3"/>
    <w:basedOn w:val="Normal"/>
    <w:next w:val="Normal"/>
    <w:qFormat/>
    <w:pPr>
      <w:keepNext/>
      <w:numPr>
        <w:ilvl w:val="2"/>
        <w:numId w:val="1"/>
      </w:numPr>
      <w:spacing w:before="120" w:after="120"/>
      <w:outlineLvl w:val="2"/>
    </w:pPr>
    <w:rPr>
      <w:b/>
      <w:bCs/>
      <w:i/>
      <w:iCs/>
      <w:szCs w:val="20"/>
    </w:rPr>
  </w:style>
  <w:style w:type="paragraph" w:styleId="Heading4">
    <w:name w:val="heading 4"/>
    <w:aliases w:val="h4"/>
    <w:basedOn w:val="Normal"/>
    <w:next w:val="Normal"/>
    <w:qFormat/>
    <w:pPr>
      <w:keepNext/>
      <w:widowControl w:val="0"/>
      <w:numPr>
        <w:ilvl w:val="3"/>
        <w:numId w:val="1"/>
      </w:numPr>
      <w:spacing w:before="360" w:after="240"/>
      <w:outlineLvl w:val="3"/>
    </w:pPr>
    <w:rPr>
      <w:b/>
      <w:bCs/>
      <w:snapToGrid w:val="0"/>
      <w:szCs w:val="20"/>
    </w:rPr>
  </w:style>
  <w:style w:type="paragraph" w:styleId="Heading5">
    <w:name w:val="heading 5"/>
    <w:aliases w:val="h5"/>
    <w:basedOn w:val="Normal"/>
    <w:next w:val="Normal"/>
    <w:qFormat/>
    <w:pPr>
      <w:spacing w:before="240" w:after="60"/>
      <w:outlineLvl w:val="4"/>
    </w:pPr>
    <w:rPr>
      <w:b/>
      <w:i/>
      <w:sz w:val="26"/>
      <w:szCs w:val="20"/>
    </w:rPr>
  </w:style>
  <w:style w:type="paragraph" w:styleId="Heading6">
    <w:name w:val="heading 6"/>
    <w:aliases w:val="h6"/>
    <w:basedOn w:val="Normal"/>
    <w:next w:val="Normal"/>
    <w:qFormat/>
    <w:pPr>
      <w:spacing w:before="240" w:after="60"/>
      <w:outlineLvl w:val="5"/>
    </w:pPr>
    <w:rPr>
      <w:b/>
      <w:sz w:val="22"/>
      <w:szCs w:val="20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szCs w:val="20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i/>
      <w:szCs w:val="20"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Arial" w:hAnsi="Arial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rFonts w:ascii="Arial" w:hAnsi="Arial"/>
      <w:b/>
      <w:bCs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TXUNormal">
    <w:name w:val="TXUNormal"/>
    <w:pPr>
      <w:spacing w:after="120"/>
    </w:pPr>
  </w:style>
  <w:style w:type="paragraph" w:customStyle="1" w:styleId="TXUHeader">
    <w:name w:val="TXUHeader"/>
    <w:basedOn w:val="TXUNormal"/>
    <w:pPr>
      <w:tabs>
        <w:tab w:val="right" w:pos="9360"/>
      </w:tabs>
      <w:spacing w:after="0"/>
    </w:pPr>
    <w:rPr>
      <w:noProof/>
      <w:sz w:val="16"/>
    </w:rPr>
  </w:style>
  <w:style w:type="paragraph" w:customStyle="1" w:styleId="TXUHeaderForm">
    <w:name w:val="TXUHeaderForm"/>
    <w:basedOn w:val="TXUHeader"/>
    <w:next w:val="Normal"/>
    <w:rPr>
      <w:sz w:val="24"/>
    </w:rPr>
  </w:style>
  <w:style w:type="paragraph" w:customStyle="1" w:styleId="TXUSubject">
    <w:name w:val="TXUSubject"/>
    <w:basedOn w:val="TXUNormal"/>
    <w:next w:val="TXUNormal"/>
    <w:pPr>
      <w:spacing w:after="240"/>
    </w:pPr>
    <w:rPr>
      <w:b/>
    </w:rPr>
  </w:style>
  <w:style w:type="paragraph" w:customStyle="1" w:styleId="TXUFooter">
    <w:name w:val="TXUFooter"/>
    <w:basedOn w:val="TXUNormal"/>
    <w:pPr>
      <w:pBdr>
        <w:top w:val="single" w:sz="4" w:space="1" w:color="auto"/>
      </w:pBdr>
      <w:tabs>
        <w:tab w:val="center" w:pos="4536"/>
        <w:tab w:val="right" w:pos="9360"/>
      </w:tabs>
      <w:spacing w:after="0"/>
    </w:pPr>
    <w:rPr>
      <w:sz w:val="16"/>
    </w:rPr>
  </w:style>
  <w:style w:type="paragraph" w:customStyle="1" w:styleId="TXUFooterPage">
    <w:name w:val="TXUFooterPage"/>
    <w:basedOn w:val="TXUFooter"/>
    <w:next w:val="TXUFooter"/>
    <w:rPr>
      <w:sz w:val="20"/>
    </w:rPr>
  </w:style>
  <w:style w:type="paragraph" w:customStyle="1" w:styleId="Comments">
    <w:name w:val="Comments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CCCCC"/>
      <w:spacing w:before="120" w:after="120"/>
      <w:ind w:left="720" w:right="720"/>
    </w:pPr>
    <w:rPr>
      <w:szCs w:val="20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odyText">
    <w:name w:val="Body Text"/>
    <w:basedOn w:val="Normal"/>
    <w:pPr>
      <w:spacing w:before="120" w:after="120"/>
    </w:pPr>
  </w:style>
  <w:style w:type="paragraph" w:styleId="BodyTextIndent">
    <w:name w:val="Body Text Indent"/>
    <w:basedOn w:val="Normal"/>
    <w:pPr>
      <w:spacing w:before="120" w:after="120"/>
      <w:ind w:left="720"/>
    </w:pPr>
  </w:style>
  <w:style w:type="paragraph" w:customStyle="1" w:styleId="Bullet">
    <w:name w:val="Bullet"/>
    <w:basedOn w:val="Normal"/>
    <w:pPr>
      <w:numPr>
        <w:numId w:val="2"/>
      </w:numPr>
      <w:spacing w:before="60" w:after="120"/>
    </w:pPr>
    <w:rPr>
      <w:szCs w:val="20"/>
    </w:rPr>
  </w:style>
  <w:style w:type="paragraph" w:styleId="BalloonText">
    <w:name w:val="Balloon Text"/>
    <w:basedOn w:val="Normal"/>
    <w:semiHidden/>
    <w:rsid w:val="00673B94"/>
    <w:rPr>
      <w:rFonts w:ascii="Tahoma" w:hAnsi="Tahoma" w:cs="Tahoma"/>
      <w:sz w:val="16"/>
      <w:szCs w:val="16"/>
    </w:rPr>
  </w:style>
  <w:style w:type="paragraph" w:customStyle="1" w:styleId="NormalArial">
    <w:name w:val="Normal+Arial"/>
    <w:basedOn w:val="Normal"/>
    <w:rPr>
      <w:rFonts w:ascii="Arial" w:hAnsi="Arial"/>
    </w:rPr>
  </w:style>
  <w:style w:type="table" w:styleId="TableGrid">
    <w:name w:val="Table Grid"/>
    <w:basedOn w:val="TableNormal"/>
    <w:rsid w:val="00075A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semiHidden/>
    <w:rsid w:val="00DD4739"/>
    <w:rPr>
      <w:sz w:val="16"/>
      <w:szCs w:val="16"/>
    </w:rPr>
  </w:style>
  <w:style w:type="paragraph" w:styleId="CommentText">
    <w:name w:val="annotation text"/>
    <w:basedOn w:val="Normal"/>
    <w:semiHidden/>
    <w:rsid w:val="00DD4739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DD4739"/>
    <w:rPr>
      <w:b/>
      <w:bCs/>
    </w:rPr>
  </w:style>
  <w:style w:type="character" w:styleId="UnresolvedMention">
    <w:name w:val="Unresolved Mention"/>
    <w:basedOn w:val="DefaultParagraphFont"/>
    <w:uiPriority w:val="99"/>
    <w:unhideWhenUsed/>
    <w:rsid w:val="004C53A1"/>
    <w:rPr>
      <w:color w:val="605E5C"/>
      <w:shd w:val="clear" w:color="auto" w:fill="E1DFDD"/>
    </w:rPr>
  </w:style>
  <w:style w:type="table" w:customStyle="1" w:styleId="FormulaVariableTable1">
    <w:name w:val="Formula Variable Table1"/>
    <w:basedOn w:val="TableNormal"/>
    <w:rsid w:val="004C53A1"/>
    <w:tblPr>
      <w:tblInd w:w="144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</w:tblPr>
    <w:tblStylePr w:type="firstRow">
      <w:rPr>
        <w:b/>
        <w:i w:val="0"/>
      </w:rPr>
    </w:tblStylePr>
    <w:tblStylePr w:type="firstCol">
      <w:rPr>
        <w:rFonts w:ascii="Times New Roman" w:hAnsi="Times New Roman"/>
      </w:rPr>
      <w:tblPr/>
      <w:tcPr>
        <w:tc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  <w:tl2br w:val="nil"/>
          <w:tr2bl w:val="nil"/>
        </w:tcBorders>
      </w:tcPr>
    </w:tblStylePr>
  </w:style>
  <w:style w:type="paragraph" w:styleId="Revision">
    <w:name w:val="Revision"/>
    <w:hidden/>
    <w:uiPriority w:val="99"/>
    <w:semiHidden/>
    <w:rsid w:val="00FD60AD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C54CF0"/>
    <w:pPr>
      <w:ind w:left="720"/>
    </w:pPr>
  </w:style>
  <w:style w:type="character" w:styleId="Mention">
    <w:name w:val="Mention"/>
    <w:basedOn w:val="DefaultParagraphFont"/>
    <w:uiPriority w:val="99"/>
    <w:unhideWhenUsed/>
    <w:rsid w:val="004578F1"/>
    <w:rPr>
      <w:color w:val="2B579A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C41F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34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2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trick.Gravois@ercot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ercot.com/mktrules/issues/NOGRR289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1233</Words>
  <Characters>7033</Characters>
  <Application>Microsoft Office Word</Application>
  <DocSecurity>4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Protocols Workshop</vt:lpstr>
    </vt:vector>
  </TitlesOfParts>
  <Company/>
  <LinksUpToDate>false</LinksUpToDate>
  <CharactersWithSpaces>8250</CharactersWithSpaces>
  <SharedDoc>false</SharedDoc>
  <HLinks>
    <vt:vector size="18" baseType="variant">
      <vt:variant>
        <vt:i4>131173</vt:i4>
      </vt:variant>
      <vt:variant>
        <vt:i4>3</vt:i4>
      </vt:variant>
      <vt:variant>
        <vt:i4>0</vt:i4>
      </vt:variant>
      <vt:variant>
        <vt:i4>5</vt:i4>
      </vt:variant>
      <vt:variant>
        <vt:lpwstr>mailto:Patrick.Gravois@ercot.com</vt:lpwstr>
      </vt:variant>
      <vt:variant>
        <vt:lpwstr/>
      </vt:variant>
      <vt:variant>
        <vt:i4>8060972</vt:i4>
      </vt:variant>
      <vt:variant>
        <vt:i4>0</vt:i4>
      </vt:variant>
      <vt:variant>
        <vt:i4>0</vt:i4>
      </vt:variant>
      <vt:variant>
        <vt:i4>5</vt:i4>
      </vt:variant>
      <vt:variant>
        <vt:lpwstr>https://www.ercot.com/mktrules/issues/NOGRR289</vt:lpwstr>
      </vt:variant>
      <vt:variant>
        <vt:lpwstr/>
      </vt:variant>
      <vt:variant>
        <vt:i4>131173</vt:i4>
      </vt:variant>
      <vt:variant>
        <vt:i4>0</vt:i4>
      </vt:variant>
      <vt:variant>
        <vt:i4>0</vt:i4>
      </vt:variant>
      <vt:variant>
        <vt:i4>5</vt:i4>
      </vt:variant>
      <vt:variant>
        <vt:lpwstr>mailto:Patrick.Gravois@ercot.com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Protocols Workshop</dc:title>
  <dc:subject/>
  <dc:creator>ERCOT/if</dc:creator>
  <cp:keywords/>
  <dc:description/>
  <cp:lastModifiedBy>C Phillips</cp:lastModifiedBy>
  <cp:revision>2</cp:revision>
  <cp:lastPrinted>2001-06-20T20:28:00Z</cp:lastPrinted>
  <dcterms:created xsi:type="dcterms:W3CDTF">2026-09-25T22:08:00Z</dcterms:created>
  <dcterms:modified xsi:type="dcterms:W3CDTF">2026-09-25T22:08:00Z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084cbda-52b8-46fb-a7b7-cb5bd465ed85_Enabled">
    <vt:lpwstr>true</vt:lpwstr>
  </property>
  <property fmtid="{D5CDD505-2E9C-101B-9397-08002B2CF9AE}" pid="3" name="MSIP_Label_7084cbda-52b8-46fb-a7b7-cb5bd465ed85_SetDate">
    <vt:lpwstr>2026-07-28T15:20:23Z</vt:lpwstr>
  </property>
  <property fmtid="{D5CDD505-2E9C-101B-9397-08002B2CF9AE}" pid="4" name="MSIP_Label_7084cbda-52b8-46fb-a7b7-cb5bd465ed85_Method">
    <vt:lpwstr>Standard</vt:lpwstr>
  </property>
  <property fmtid="{D5CDD505-2E9C-101B-9397-08002B2CF9AE}" pid="5" name="MSIP_Label_7084cbda-52b8-46fb-a7b7-cb5bd465ed85_Name">
    <vt:lpwstr>Internal</vt:lpwstr>
  </property>
  <property fmtid="{D5CDD505-2E9C-101B-9397-08002B2CF9AE}" pid="6" name="MSIP_Label_7084cbda-52b8-46fb-a7b7-cb5bd465ed85_SiteId">
    <vt:lpwstr>0afb747d-bff7-4596-a9fc-950ef9e0ec45</vt:lpwstr>
  </property>
  <property fmtid="{D5CDD505-2E9C-101B-9397-08002B2CF9AE}" pid="7" name="MSIP_Label_7084cbda-52b8-46fb-a7b7-cb5bd465ed85_ActionId">
    <vt:lpwstr>5b8b4257-ca13-47c1-af07-a7a52f731d4c</vt:lpwstr>
  </property>
  <property fmtid="{D5CDD505-2E9C-101B-9397-08002B2CF9AE}" pid="8" name="MSIP_Label_7084cbda-52b8-46fb-a7b7-cb5bd465ed85_ContentBits">
    <vt:lpwstr>0</vt:lpwstr>
  </property>
  <property fmtid="{D5CDD505-2E9C-101B-9397-08002B2CF9AE}" pid="9" name="MSIP_Label_7084cbda-52b8-46fb-a7b7-cb5bd465ed85_Tag">
    <vt:lpwstr>10, 3, 0, 2</vt:lpwstr>
  </property>
</Properties>
</file>