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37"/>
        <w:gridCol w:w="1193"/>
        <w:gridCol w:w="6390"/>
      </w:tblGrid>
      <w:tr w:rsidR="00067FE2" w14:paraId="16E3CD8E" w14:textId="77777777" w:rsidTr="00B42548"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9F6C8F" w14:textId="77777777" w:rsidR="00067FE2" w:rsidRDefault="00067FE2" w:rsidP="0004194E">
            <w:pPr>
              <w:pStyle w:val="Header"/>
              <w:spacing w:before="120" w:after="120"/>
            </w:pPr>
            <w:r>
              <w:t>N</w:t>
            </w:r>
            <w:r w:rsidR="00C76A2C">
              <w:t>OG</w:t>
            </w:r>
            <w:r>
              <w:t>RR Number</w:t>
            </w:r>
          </w:p>
        </w:tc>
        <w:tc>
          <w:tcPr>
            <w:tcW w:w="1237" w:type="dxa"/>
            <w:tcBorders>
              <w:bottom w:val="single" w:sz="4" w:space="0" w:color="auto"/>
            </w:tcBorders>
            <w:vAlign w:val="center"/>
          </w:tcPr>
          <w:p w14:paraId="401471A8" w14:textId="4F392ECB" w:rsidR="00067FE2" w:rsidRDefault="0094132C" w:rsidP="0004194E">
            <w:pPr>
              <w:pStyle w:val="Header"/>
              <w:spacing w:before="120" w:after="120"/>
              <w:jc w:val="center"/>
            </w:pPr>
            <w:hyperlink r:id="rId11" w:history="1">
              <w:r w:rsidRPr="0094132C">
                <w:rPr>
                  <w:rStyle w:val="Hyperlink"/>
                </w:rPr>
                <w:t>286</w:t>
              </w:r>
            </w:hyperlink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590D59" w14:textId="77777777" w:rsidR="00067FE2" w:rsidRDefault="00C76A2C" w:rsidP="0004194E">
            <w:pPr>
              <w:pStyle w:val="Header"/>
              <w:spacing w:before="120" w:after="120"/>
            </w:pPr>
            <w:r>
              <w:t>NOG</w:t>
            </w:r>
            <w:r w:rsidR="00067FE2">
              <w:t>R</w:t>
            </w:r>
            <w:r>
              <w:t>R</w:t>
            </w:r>
            <w:r w:rsidR="00067FE2">
              <w:t xml:space="preserve"> Title</w:t>
            </w:r>
          </w:p>
        </w:tc>
        <w:tc>
          <w:tcPr>
            <w:tcW w:w="6390" w:type="dxa"/>
            <w:tcBorders>
              <w:bottom w:val="single" w:sz="4" w:space="0" w:color="auto"/>
            </w:tcBorders>
            <w:vAlign w:val="center"/>
          </w:tcPr>
          <w:p w14:paraId="52620EEF" w14:textId="5D891DD1" w:rsidR="00067FE2" w:rsidRDefault="0097285E" w:rsidP="00F44236">
            <w:pPr>
              <w:pStyle w:val="Header"/>
            </w:pPr>
            <w:r>
              <w:t>Addition of 765</w:t>
            </w:r>
            <w:r w:rsidR="00A86DA2">
              <w:t>-</w:t>
            </w:r>
            <w:r>
              <w:t>kV Operational Voltage Limits</w:t>
            </w:r>
          </w:p>
        </w:tc>
      </w:tr>
      <w:tr w:rsidR="00B42548" w:rsidRPr="00E01925" w14:paraId="3288B1CC" w14:textId="77777777" w:rsidTr="00B42548">
        <w:trPr>
          <w:trHeight w:val="613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00F68655" w14:textId="4EC2E33E" w:rsidR="00B42548" w:rsidRPr="00B42548" w:rsidRDefault="00B42548" w:rsidP="00B42548">
            <w:pPr>
              <w:pStyle w:val="Header"/>
              <w:spacing w:before="120" w:after="120"/>
              <w:rPr>
                <w:bCs w:val="0"/>
              </w:rPr>
            </w:pPr>
            <w:r w:rsidRPr="00E01925">
              <w:rPr>
                <w:bCs w:val="0"/>
              </w:rPr>
              <w:t xml:space="preserve">Date </w:t>
            </w:r>
            <w:r>
              <w:rPr>
                <w:bCs w:val="0"/>
              </w:rPr>
              <w:t>of Decision</w:t>
            </w:r>
          </w:p>
        </w:tc>
        <w:tc>
          <w:tcPr>
            <w:tcW w:w="7583" w:type="dxa"/>
            <w:gridSpan w:val="2"/>
            <w:shd w:val="clear" w:color="auto" w:fill="FFFFFF" w:themeFill="background1"/>
            <w:vAlign w:val="center"/>
          </w:tcPr>
          <w:p w14:paraId="1C09798C" w14:textId="6CC3D25E" w:rsidR="00B42548" w:rsidRPr="00E01925" w:rsidRDefault="007E6FE2" w:rsidP="0004194E">
            <w:pPr>
              <w:pStyle w:val="NormalArial"/>
              <w:spacing w:before="120" w:after="120"/>
            </w:pPr>
            <w:r>
              <w:t>September 15</w:t>
            </w:r>
            <w:r w:rsidR="00B42548">
              <w:t>, 2026</w:t>
            </w:r>
          </w:p>
        </w:tc>
      </w:tr>
      <w:tr w:rsidR="00B42548" w:rsidRPr="00E01925" w14:paraId="75940B74" w14:textId="77777777" w:rsidTr="00B42548">
        <w:trPr>
          <w:trHeight w:val="612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2DE3C209" w14:textId="7A5D09FF" w:rsidR="00B42548" w:rsidRDefault="00B42548" w:rsidP="0004194E">
            <w:pPr>
              <w:pStyle w:val="Header"/>
              <w:spacing w:before="120" w:after="120"/>
            </w:pPr>
            <w:r>
              <w:t>Action</w:t>
            </w:r>
          </w:p>
        </w:tc>
        <w:tc>
          <w:tcPr>
            <w:tcW w:w="7583" w:type="dxa"/>
            <w:gridSpan w:val="2"/>
            <w:shd w:val="clear" w:color="auto" w:fill="FFFFFF" w:themeFill="background1"/>
            <w:vAlign w:val="center"/>
          </w:tcPr>
          <w:p w14:paraId="1597A4A5" w14:textId="4B3F5595" w:rsidR="00B42548" w:rsidRPr="00B42548" w:rsidRDefault="00BB09AC" w:rsidP="0004194E">
            <w:pPr>
              <w:pStyle w:val="Header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Recommended Approval</w:t>
            </w:r>
          </w:p>
        </w:tc>
      </w:tr>
      <w:tr w:rsidR="00B42548" w:rsidRPr="00E01925" w14:paraId="1732BC87" w14:textId="77777777" w:rsidTr="00B42548">
        <w:trPr>
          <w:trHeight w:val="612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1A85E8C4" w14:textId="218F42F0" w:rsidR="00B42548" w:rsidRPr="00B42548" w:rsidRDefault="00B42548" w:rsidP="0004194E">
            <w:pPr>
              <w:pStyle w:val="Header"/>
              <w:spacing w:before="120" w:after="120"/>
            </w:pPr>
            <w:r>
              <w:t>Timeline</w:t>
            </w:r>
          </w:p>
        </w:tc>
        <w:tc>
          <w:tcPr>
            <w:tcW w:w="7583" w:type="dxa"/>
            <w:gridSpan w:val="2"/>
            <w:shd w:val="clear" w:color="auto" w:fill="FFFFFF" w:themeFill="background1"/>
            <w:vAlign w:val="center"/>
          </w:tcPr>
          <w:p w14:paraId="2C215E7D" w14:textId="5CAFA0A5" w:rsidR="00B42548" w:rsidRPr="00B42548" w:rsidRDefault="00B42548" w:rsidP="0004194E">
            <w:pPr>
              <w:pStyle w:val="Header"/>
              <w:spacing w:before="120" w:after="120"/>
              <w:rPr>
                <w:b w:val="0"/>
                <w:bCs w:val="0"/>
              </w:rPr>
            </w:pPr>
            <w:r w:rsidRPr="00B42548">
              <w:rPr>
                <w:b w:val="0"/>
                <w:bCs w:val="0"/>
              </w:rPr>
              <w:t>Normal</w:t>
            </w:r>
          </w:p>
        </w:tc>
      </w:tr>
      <w:tr w:rsidR="00E514D8" w:rsidRPr="00E01925" w14:paraId="69729311" w14:textId="77777777" w:rsidTr="00B42548">
        <w:trPr>
          <w:trHeight w:val="612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1B34A37B" w14:textId="26B1879F" w:rsidR="00E514D8" w:rsidRDefault="00E514D8" w:rsidP="0004194E">
            <w:pPr>
              <w:pStyle w:val="Header"/>
              <w:spacing w:before="120" w:after="120"/>
            </w:pPr>
            <w:r>
              <w:t>Estimated Impacts</w:t>
            </w:r>
          </w:p>
        </w:tc>
        <w:tc>
          <w:tcPr>
            <w:tcW w:w="7583" w:type="dxa"/>
            <w:gridSpan w:val="2"/>
            <w:shd w:val="clear" w:color="auto" w:fill="FFFFFF" w:themeFill="background1"/>
            <w:vAlign w:val="center"/>
          </w:tcPr>
          <w:p w14:paraId="1EDAD2BC" w14:textId="6D784C86" w:rsidR="00BB09AC" w:rsidRPr="00BB09AC" w:rsidRDefault="00BB09AC" w:rsidP="00BB09AC">
            <w:pPr>
              <w:pStyle w:val="Header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Cost/Budgetary</w:t>
            </w:r>
            <w:proofErr w:type="gramStart"/>
            <w:r>
              <w:rPr>
                <w:b w:val="0"/>
                <w:bCs w:val="0"/>
              </w:rPr>
              <w:t xml:space="preserve">:  </w:t>
            </w:r>
            <w:r w:rsidRPr="00BB09AC">
              <w:rPr>
                <w:rFonts w:cs="Arial"/>
                <w:b w:val="0"/>
                <w:bCs w:val="0"/>
              </w:rPr>
              <w:t>Less</w:t>
            </w:r>
            <w:proofErr w:type="gramEnd"/>
            <w:r w:rsidRPr="00BB09AC">
              <w:rPr>
                <w:rFonts w:cs="Arial"/>
                <w:b w:val="0"/>
                <w:bCs w:val="0"/>
              </w:rPr>
              <w:t xml:space="preserve"> than $10k</w:t>
            </w:r>
          </w:p>
          <w:p w14:paraId="4D7054D0" w14:textId="6CAC61C4" w:rsidR="00E514D8" w:rsidRPr="00B42548" w:rsidRDefault="00BB09AC" w:rsidP="00BB09AC">
            <w:pPr>
              <w:pStyle w:val="Header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Project Duration: No project required</w:t>
            </w:r>
            <w:r w:rsidDel="00BB09AC">
              <w:rPr>
                <w:b w:val="0"/>
                <w:bCs w:val="0"/>
              </w:rPr>
              <w:t xml:space="preserve"> </w:t>
            </w:r>
          </w:p>
        </w:tc>
      </w:tr>
      <w:tr w:rsidR="00B42548" w:rsidRPr="00E01925" w14:paraId="49C362AB" w14:textId="77777777" w:rsidTr="00B42548">
        <w:trPr>
          <w:trHeight w:val="612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3A50CAC0" w14:textId="0A812335" w:rsidR="00B42548" w:rsidRDefault="00B42548" w:rsidP="0004194E">
            <w:pPr>
              <w:pStyle w:val="Header"/>
              <w:spacing w:before="120" w:after="120"/>
            </w:pPr>
            <w:r>
              <w:t>Proposed Effective Date</w:t>
            </w:r>
          </w:p>
        </w:tc>
        <w:tc>
          <w:tcPr>
            <w:tcW w:w="7583" w:type="dxa"/>
            <w:gridSpan w:val="2"/>
            <w:shd w:val="clear" w:color="auto" w:fill="FFFFFF" w:themeFill="background1"/>
            <w:vAlign w:val="center"/>
          </w:tcPr>
          <w:p w14:paraId="487EF680" w14:textId="25BE302D" w:rsidR="00B42548" w:rsidRPr="00B42548" w:rsidRDefault="004F5529" w:rsidP="0004194E">
            <w:pPr>
              <w:pStyle w:val="Header"/>
              <w:spacing w:before="120" w:after="12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Upon system implementation</w:t>
            </w:r>
          </w:p>
        </w:tc>
      </w:tr>
      <w:tr w:rsidR="00B42548" w14:paraId="715E01A7" w14:textId="77777777" w:rsidTr="00B42548">
        <w:trPr>
          <w:trHeight w:val="773"/>
        </w:trPr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D44235" w14:textId="64ADECF0" w:rsidR="00B42548" w:rsidRDefault="00B42548" w:rsidP="0004194E">
            <w:pPr>
              <w:pStyle w:val="Header"/>
              <w:spacing w:before="120" w:after="120"/>
            </w:pPr>
            <w:r>
              <w:t>Priority and Rank Assigned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</w:tcBorders>
            <w:vAlign w:val="center"/>
          </w:tcPr>
          <w:p w14:paraId="0FFCD402" w14:textId="46CD6939" w:rsidR="00B42548" w:rsidRDefault="005E348E" w:rsidP="0004194E">
            <w:pPr>
              <w:pStyle w:val="NormalArial"/>
              <w:spacing w:before="120" w:after="120"/>
            </w:pPr>
            <w:r>
              <w:t>Not applicable</w:t>
            </w:r>
          </w:p>
        </w:tc>
      </w:tr>
      <w:tr w:rsidR="009D17F0" w14:paraId="06140097" w14:textId="77777777" w:rsidTr="00B42548">
        <w:trPr>
          <w:trHeight w:val="773"/>
        </w:trPr>
        <w:tc>
          <w:tcPr>
            <w:tcW w:w="28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5E8729" w14:textId="77777777" w:rsidR="009D17F0" w:rsidRDefault="0007682E" w:rsidP="0004194E">
            <w:pPr>
              <w:pStyle w:val="Header"/>
              <w:spacing w:before="120" w:after="120"/>
            </w:pPr>
            <w:r>
              <w:t xml:space="preserve">Nodal </w:t>
            </w:r>
            <w:r w:rsidR="00C76A2C">
              <w:t>Operating Guide</w:t>
            </w:r>
            <w:r>
              <w:t xml:space="preserve"> Sections</w:t>
            </w:r>
            <w:r w:rsidR="009D17F0">
              <w:t xml:space="preserve"> Requiring Revision </w:t>
            </w:r>
          </w:p>
        </w:tc>
        <w:tc>
          <w:tcPr>
            <w:tcW w:w="7583" w:type="dxa"/>
            <w:gridSpan w:val="2"/>
            <w:tcBorders>
              <w:top w:val="single" w:sz="4" w:space="0" w:color="auto"/>
            </w:tcBorders>
            <w:vAlign w:val="center"/>
          </w:tcPr>
          <w:p w14:paraId="1273F894" w14:textId="2D2B49DB" w:rsidR="009D17F0" w:rsidRPr="00FB509B" w:rsidRDefault="0097285E" w:rsidP="0004194E">
            <w:pPr>
              <w:pStyle w:val="NormalArial"/>
              <w:spacing w:before="120" w:after="120"/>
            </w:pPr>
            <w:r>
              <w:t>2.7.3.1, Operational Guidelines</w:t>
            </w:r>
          </w:p>
        </w:tc>
      </w:tr>
      <w:tr w:rsidR="00C9766A" w14:paraId="289A3DAF" w14:textId="77777777" w:rsidTr="00B42548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674485" w14:textId="77777777" w:rsidR="00C9766A" w:rsidRDefault="00625E5D" w:rsidP="0004194E">
            <w:pPr>
              <w:pStyle w:val="Header"/>
              <w:spacing w:before="120" w:after="120"/>
            </w:pPr>
            <w:r>
              <w:t xml:space="preserve">Related Documents </w:t>
            </w:r>
            <w:r w:rsidR="00C9766A">
              <w:t xml:space="preserve">Requiring </w:t>
            </w:r>
            <w:r>
              <w:t>Revision/</w:t>
            </w:r>
            <w:r w:rsidR="0017783C">
              <w:t>R</w:t>
            </w:r>
            <w:r w:rsidR="003069F4">
              <w:t>elated Revision Request</w:t>
            </w:r>
            <w:r w:rsidR="0007682E">
              <w:t>s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3CBC8DD7" w14:textId="37EF1678" w:rsidR="00C9766A" w:rsidRPr="00FB509B" w:rsidRDefault="0097285E" w:rsidP="0004194E">
            <w:pPr>
              <w:pStyle w:val="NormalArial"/>
              <w:spacing w:before="120" w:after="120"/>
            </w:pPr>
            <w:r>
              <w:t>None</w:t>
            </w:r>
          </w:p>
        </w:tc>
      </w:tr>
      <w:tr w:rsidR="009D17F0" w14:paraId="01704E71" w14:textId="77777777" w:rsidTr="00B42548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D2E7A" w14:textId="77777777" w:rsidR="009D17F0" w:rsidRDefault="009D17F0" w:rsidP="0004194E">
            <w:pPr>
              <w:pStyle w:val="Header"/>
              <w:spacing w:before="120" w:after="120"/>
            </w:pPr>
            <w:r>
              <w:t>Revision Description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062CD83D" w14:textId="77C5CC8B" w:rsidR="009D17F0" w:rsidRPr="00FB509B" w:rsidRDefault="0097285E" w:rsidP="0004194E">
            <w:pPr>
              <w:pStyle w:val="NormalArial"/>
              <w:spacing w:before="120" w:after="120"/>
            </w:pPr>
            <w:r>
              <w:t xml:space="preserve">This Nodal Operating Guide Revision Request </w:t>
            </w:r>
            <w:r w:rsidR="0004194E">
              <w:t xml:space="preserve">(NOGRR) </w:t>
            </w:r>
            <w:r>
              <w:t xml:space="preserve">defines necessary operational guidelines to support the </w:t>
            </w:r>
            <w:r w:rsidR="00D74A04">
              <w:t>reliable operation</w:t>
            </w:r>
            <w:r>
              <w:t xml:space="preserve"> of 765-kV equipment.</w:t>
            </w:r>
          </w:p>
        </w:tc>
      </w:tr>
      <w:tr w:rsidR="009D17F0" w14:paraId="54290F4A" w14:textId="77777777" w:rsidTr="00B42548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4C7DF3F5" w14:textId="77777777" w:rsidR="009D17F0" w:rsidRDefault="009D17F0" w:rsidP="0004194E">
            <w:pPr>
              <w:pStyle w:val="Header"/>
              <w:spacing w:before="120" w:after="120"/>
            </w:pPr>
            <w:r>
              <w:t>Reason for Revision</w:t>
            </w:r>
          </w:p>
        </w:tc>
        <w:tc>
          <w:tcPr>
            <w:tcW w:w="7583" w:type="dxa"/>
            <w:gridSpan w:val="2"/>
            <w:vAlign w:val="center"/>
          </w:tcPr>
          <w:p w14:paraId="5AD2A0C5" w14:textId="2808CA0B" w:rsidR="00FF5898" w:rsidRDefault="00591C3C" w:rsidP="00FF5898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2C6338C" wp14:editId="5E20B691">
                  <wp:extent cx="200025" cy="190500"/>
                  <wp:effectExtent l="0" t="0" r="0" b="0"/>
                  <wp:docPr id="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5898" w:rsidRPr="006629C8">
              <w:t xml:space="preserve">  </w:t>
            </w:r>
            <w:hyperlink r:id="rId13" w:history="1">
              <w:r w:rsidR="00FF5898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FF5898">
              <w:rPr>
                <w:rFonts w:cs="Arial"/>
                <w:color w:val="000000"/>
              </w:rPr>
              <w:t xml:space="preserve"> Objective 1 – </w:t>
            </w:r>
            <w:r w:rsidR="00FF5898" w:rsidRPr="00BD53C5">
              <w:rPr>
                <w:rFonts w:cs="Arial"/>
                <w:color w:val="000000"/>
              </w:rPr>
              <w:t>Be an industry leader for grid reliability and resilience</w:t>
            </w:r>
          </w:p>
          <w:p w14:paraId="5D6E87A5" w14:textId="1513DB20" w:rsidR="00FF5898" w:rsidRPr="00BD53C5" w:rsidRDefault="00591C3C" w:rsidP="00FF5898">
            <w:pPr>
              <w:pStyle w:val="NormalArial"/>
              <w:tabs>
                <w:tab w:val="left" w:pos="432"/>
              </w:tabs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8B45D6B" wp14:editId="4B8DAC32">
                  <wp:extent cx="200025" cy="190500"/>
                  <wp:effectExtent l="0" t="0" r="0" b="0"/>
                  <wp:docPr id="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5898" w:rsidRPr="00CD242D">
              <w:t xml:space="preserve">  </w:t>
            </w:r>
            <w:hyperlink r:id="rId14" w:history="1">
              <w:r w:rsidR="00FF5898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FF5898">
              <w:rPr>
                <w:rFonts w:cs="Arial"/>
                <w:color w:val="000000"/>
              </w:rPr>
              <w:t xml:space="preserve"> Objective 2 - </w:t>
            </w:r>
            <w:r w:rsidR="00FF5898" w:rsidRPr="00BD53C5">
              <w:rPr>
                <w:rFonts w:cs="Arial"/>
                <w:color w:val="000000"/>
              </w:rPr>
              <w:t>Enhance the ERCOT region’s economic competitiveness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>with respect to trends in wholesale power rates and retail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>electricity prices to consumers</w:t>
            </w:r>
          </w:p>
          <w:p w14:paraId="7456BC39" w14:textId="309AE4B6" w:rsidR="00FF5898" w:rsidRPr="00BD53C5" w:rsidRDefault="00591C3C" w:rsidP="00FF5898">
            <w:pPr>
              <w:pStyle w:val="NormalArial"/>
              <w:spacing w:before="120"/>
              <w:ind w:left="432" w:hanging="432"/>
              <w:rPr>
                <w:rFonts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3A70D0BA" wp14:editId="52480955">
                  <wp:extent cx="200025" cy="190500"/>
                  <wp:effectExtent l="0" t="0" r="0" b="0"/>
                  <wp:docPr id="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5898" w:rsidRPr="006629C8">
              <w:t xml:space="preserve">  </w:t>
            </w:r>
            <w:hyperlink r:id="rId15" w:history="1">
              <w:r w:rsidR="00FF5898" w:rsidRPr="00BD53C5">
                <w:rPr>
                  <w:rStyle w:val="Hyperlink"/>
                  <w:rFonts w:cs="Arial"/>
                </w:rPr>
                <w:t>Strategic Plan</w:t>
              </w:r>
            </w:hyperlink>
            <w:r w:rsidR="00FF5898">
              <w:rPr>
                <w:rFonts w:cs="Arial"/>
                <w:color w:val="000000"/>
              </w:rPr>
              <w:t xml:space="preserve"> Objective 3 - </w:t>
            </w:r>
            <w:r w:rsidR="00FF5898" w:rsidRPr="00BD53C5">
              <w:rPr>
                <w:rFonts w:cs="Arial"/>
                <w:color w:val="000000"/>
              </w:rPr>
              <w:t>Advance ERCOT, Inc. as an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>independent leading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 xml:space="preserve">industry expert and an </w:t>
            </w:r>
            <w:proofErr w:type="gramStart"/>
            <w:r w:rsidR="00FF5898" w:rsidRPr="00BD53C5">
              <w:rPr>
                <w:rFonts w:cs="Arial"/>
                <w:color w:val="000000"/>
              </w:rPr>
              <w:t>employer</w:t>
            </w:r>
            <w:proofErr w:type="gramEnd"/>
            <w:r w:rsidR="00FF5898" w:rsidRPr="00BD53C5">
              <w:rPr>
                <w:rFonts w:cs="Arial"/>
                <w:color w:val="000000"/>
              </w:rPr>
              <w:t xml:space="preserve"> of choice by fostering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>innovation, investing in our people, and emphasizing the</w:t>
            </w:r>
            <w:r w:rsidR="00FF5898">
              <w:rPr>
                <w:rFonts w:cs="Arial"/>
                <w:color w:val="000000"/>
              </w:rPr>
              <w:t xml:space="preserve"> </w:t>
            </w:r>
            <w:r w:rsidR="00FF5898" w:rsidRPr="00BD53C5">
              <w:rPr>
                <w:rFonts w:cs="Arial"/>
                <w:color w:val="000000"/>
              </w:rPr>
              <w:t>importance of our mission</w:t>
            </w:r>
          </w:p>
          <w:p w14:paraId="3E7FDD81" w14:textId="0956D9C9" w:rsidR="00FF5898" w:rsidRDefault="00E43D5B" w:rsidP="00FF5898">
            <w:pPr>
              <w:pStyle w:val="NormalArial"/>
              <w:spacing w:before="120"/>
              <w:rPr>
                <w:iCs/>
                <w:kern w:val="24"/>
              </w:rPr>
            </w:pPr>
            <w:r>
              <w:pict w14:anchorId="259A4672">
                <v:shape id="_x0000_i1026" type="#_x0000_t75" style="width:15.6pt;height:15pt;visibility:visible;mso-wrap-style:square">
                  <v:imagedata r:id="rId16" o:title=""/>
                </v:shape>
              </w:pict>
            </w:r>
            <w:r w:rsidR="00FF5898" w:rsidRPr="006629C8">
              <w:t xml:space="preserve">  </w:t>
            </w:r>
            <w:r w:rsidR="005928F2" w:rsidRPr="00344591">
              <w:rPr>
                <w:iCs/>
                <w:kern w:val="24"/>
              </w:rPr>
              <w:t>General system and/or process improvement(s)</w:t>
            </w:r>
          </w:p>
          <w:p w14:paraId="4A616F03" w14:textId="7CAB57E9" w:rsidR="00FF5898" w:rsidRDefault="00591C3C" w:rsidP="00FF5898">
            <w:pPr>
              <w:pStyle w:val="NormalArial"/>
              <w:spacing w:before="120"/>
              <w:rPr>
                <w:iCs/>
                <w:kern w:val="24"/>
              </w:rPr>
            </w:pPr>
            <w:r>
              <w:rPr>
                <w:noProof/>
              </w:rPr>
              <w:drawing>
                <wp:inline distT="0" distB="0" distL="0" distR="0" wp14:anchorId="5DBDF2A1" wp14:editId="0B8EB466">
                  <wp:extent cx="200025" cy="190500"/>
                  <wp:effectExtent l="0" t="0" r="0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5898" w:rsidRPr="006629C8">
              <w:t xml:space="preserve">  </w:t>
            </w:r>
            <w:r w:rsidR="00FF5898">
              <w:rPr>
                <w:iCs/>
                <w:kern w:val="24"/>
              </w:rPr>
              <w:t>Regulatory requirements</w:t>
            </w:r>
          </w:p>
          <w:p w14:paraId="16EC9511" w14:textId="6B6A4C3C" w:rsidR="00FF5898" w:rsidRPr="00CD242D" w:rsidRDefault="00591C3C" w:rsidP="00FF5898">
            <w:pPr>
              <w:pStyle w:val="NormalArial"/>
              <w:spacing w:before="120"/>
              <w:rPr>
                <w:rFonts w:cs="Arial"/>
                <w:color w:val="00000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11F436" wp14:editId="0E68F421">
                  <wp:extent cx="200025" cy="19050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5898" w:rsidRPr="006629C8">
              <w:t xml:space="preserve">  </w:t>
            </w:r>
            <w:r w:rsidR="00FF5898">
              <w:rPr>
                <w:rFonts w:cs="Arial"/>
                <w:color w:val="000000"/>
              </w:rPr>
              <w:t>ERCOT Board/PUCT Directive</w:t>
            </w:r>
          </w:p>
          <w:p w14:paraId="0D1F71E3" w14:textId="77777777" w:rsidR="00FF5898" w:rsidRDefault="00FF5898" w:rsidP="00FF5898">
            <w:pPr>
              <w:pStyle w:val="NormalArial"/>
              <w:rPr>
                <w:i/>
                <w:sz w:val="20"/>
                <w:szCs w:val="20"/>
              </w:rPr>
            </w:pPr>
          </w:p>
          <w:p w14:paraId="44606911" w14:textId="4A9D26AA" w:rsidR="00561F0E" w:rsidRDefault="00FF5898" w:rsidP="00FF5898">
            <w:pPr>
              <w:pStyle w:val="NormalArial"/>
              <w:rPr>
                <w:i/>
                <w:sz w:val="20"/>
                <w:szCs w:val="20"/>
              </w:rPr>
            </w:pPr>
            <w:r w:rsidRPr="00CD242D">
              <w:rPr>
                <w:i/>
                <w:sz w:val="20"/>
                <w:szCs w:val="20"/>
              </w:rPr>
              <w:t xml:space="preserve">(please select </w:t>
            </w:r>
            <w:r>
              <w:rPr>
                <w:i/>
                <w:sz w:val="20"/>
                <w:szCs w:val="20"/>
              </w:rPr>
              <w:t xml:space="preserve">ONLY ONE – if more than one </w:t>
            </w:r>
            <w:proofErr w:type="gramStart"/>
            <w:r>
              <w:rPr>
                <w:i/>
                <w:sz w:val="20"/>
                <w:szCs w:val="20"/>
              </w:rPr>
              <w:t>apply</w:t>
            </w:r>
            <w:proofErr w:type="gramEnd"/>
            <w:r>
              <w:rPr>
                <w:i/>
                <w:sz w:val="20"/>
                <w:szCs w:val="20"/>
              </w:rPr>
              <w:t>, please select the ONE that is most relevant)</w:t>
            </w:r>
          </w:p>
          <w:p w14:paraId="44D901DB" w14:textId="5F895672" w:rsidR="00FC3D4B" w:rsidRPr="001313B4" w:rsidRDefault="00FC3D4B" w:rsidP="00E71C39">
            <w:pPr>
              <w:pStyle w:val="NormalArial"/>
              <w:rPr>
                <w:iCs/>
                <w:kern w:val="24"/>
              </w:rPr>
            </w:pPr>
          </w:p>
        </w:tc>
      </w:tr>
      <w:tr w:rsidR="00FF5898" w14:paraId="6D08E83F" w14:textId="77777777" w:rsidTr="000E49D9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463C76D4" w14:textId="606C9593" w:rsidR="00FF5898" w:rsidRDefault="00FF5898" w:rsidP="00696B1A">
            <w:pPr>
              <w:pStyle w:val="Header"/>
              <w:spacing w:before="120" w:after="120"/>
            </w:pPr>
            <w:r>
              <w:lastRenderedPageBreak/>
              <w:t>Justification of Reason for Revision and Market Impacts</w:t>
            </w:r>
          </w:p>
        </w:tc>
        <w:tc>
          <w:tcPr>
            <w:tcW w:w="7583" w:type="dxa"/>
            <w:gridSpan w:val="2"/>
            <w:vAlign w:val="center"/>
          </w:tcPr>
          <w:p w14:paraId="3A869AC1" w14:textId="4DFB5297" w:rsidR="00FF5898" w:rsidRDefault="00D74A04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 xml:space="preserve">This revision is needed to recognize the </w:t>
            </w:r>
            <w:r w:rsidR="00170391">
              <w:rPr>
                <w:iCs/>
                <w:kern w:val="24"/>
              </w:rPr>
              <w:t xml:space="preserve">introduction </w:t>
            </w:r>
            <w:r>
              <w:rPr>
                <w:iCs/>
                <w:kern w:val="24"/>
              </w:rPr>
              <w:t xml:space="preserve">of 765-kV equipment to the ERCOT system. </w:t>
            </w:r>
            <w:r w:rsidR="00CA6322">
              <w:rPr>
                <w:iCs/>
                <w:kern w:val="24"/>
              </w:rPr>
              <w:t xml:space="preserve">The Joint Sponsors of this revision confirm that the operating voltages expressed below conform to levels that respect equipment limits and maximize safe and reliable operation of the 765-kV system. </w:t>
            </w:r>
          </w:p>
          <w:p w14:paraId="7D1EBA2C" w14:textId="5EDDD653" w:rsidR="001101AC" w:rsidRPr="00074A54" w:rsidRDefault="00E31F9F" w:rsidP="00696B1A">
            <w:pPr>
              <w:spacing w:before="120" w:after="120"/>
              <w:rPr>
                <w:rFonts w:ascii="Arial" w:hAnsi="Arial"/>
                <w:iCs/>
                <w:kern w:val="24"/>
              </w:rPr>
            </w:pPr>
            <w:r>
              <w:rPr>
                <w:rFonts w:ascii="Arial" w:hAnsi="Arial"/>
                <w:iCs/>
                <w:kern w:val="24"/>
              </w:rPr>
              <w:t>Typical e</w:t>
            </w:r>
            <w:r w:rsidR="001101AC" w:rsidRPr="00074A54">
              <w:rPr>
                <w:rFonts w:ascii="Arial" w:hAnsi="Arial"/>
                <w:iCs/>
                <w:kern w:val="24"/>
              </w:rPr>
              <w:t xml:space="preserve">quipment </w:t>
            </w:r>
            <w:r>
              <w:rPr>
                <w:rFonts w:ascii="Arial" w:hAnsi="Arial"/>
                <w:iCs/>
                <w:kern w:val="24"/>
              </w:rPr>
              <w:t xml:space="preserve">class </w:t>
            </w:r>
            <w:r w:rsidR="001101AC" w:rsidRPr="00074A54">
              <w:rPr>
                <w:rFonts w:ascii="Arial" w:hAnsi="Arial"/>
                <w:iCs/>
                <w:kern w:val="24"/>
              </w:rPr>
              <w:t>limitations as well as operating experience in other regions informed the normal and emergency operating limits for the 765</w:t>
            </w:r>
            <w:r w:rsidR="00CE748F">
              <w:rPr>
                <w:rFonts w:ascii="Arial" w:hAnsi="Arial"/>
                <w:iCs/>
                <w:kern w:val="24"/>
              </w:rPr>
              <w:t>-</w:t>
            </w:r>
            <w:r w:rsidR="001101AC" w:rsidRPr="00074A54">
              <w:rPr>
                <w:rFonts w:ascii="Arial" w:hAnsi="Arial"/>
                <w:iCs/>
                <w:kern w:val="24"/>
              </w:rPr>
              <w:t>kV nominal system. During the initial buildout of the 765</w:t>
            </w:r>
            <w:r w:rsidR="00CE748F">
              <w:rPr>
                <w:rFonts w:ascii="Arial" w:hAnsi="Arial"/>
                <w:iCs/>
                <w:kern w:val="24"/>
              </w:rPr>
              <w:t>-</w:t>
            </w:r>
            <w:r w:rsidR="001101AC" w:rsidRPr="00074A54">
              <w:rPr>
                <w:rFonts w:ascii="Arial" w:hAnsi="Arial"/>
                <w:iCs/>
                <w:kern w:val="24"/>
              </w:rPr>
              <w:t xml:space="preserve">kV system, the system voltage target for the Voltage Profile Working Group </w:t>
            </w:r>
            <w:r w:rsidR="003A71BD">
              <w:rPr>
                <w:rFonts w:ascii="Arial" w:hAnsi="Arial"/>
                <w:iCs/>
                <w:kern w:val="24"/>
              </w:rPr>
              <w:t xml:space="preserve">(VPWG) </w:t>
            </w:r>
            <w:r w:rsidR="001101AC">
              <w:rPr>
                <w:rFonts w:ascii="Arial" w:hAnsi="Arial"/>
                <w:iCs/>
                <w:kern w:val="24"/>
              </w:rPr>
              <w:t>to start with is expected to be 746</w:t>
            </w:r>
            <w:r w:rsidR="00CE748F">
              <w:rPr>
                <w:rFonts w:ascii="Arial" w:hAnsi="Arial"/>
                <w:iCs/>
                <w:kern w:val="24"/>
              </w:rPr>
              <w:t>-</w:t>
            </w:r>
            <w:r w:rsidR="001101AC">
              <w:rPr>
                <w:rFonts w:ascii="Arial" w:hAnsi="Arial"/>
                <w:iCs/>
                <w:kern w:val="24"/>
              </w:rPr>
              <w:t>kV, or 97.5%</w:t>
            </w:r>
            <w:r>
              <w:rPr>
                <w:rFonts w:ascii="Arial" w:hAnsi="Arial"/>
                <w:iCs/>
                <w:kern w:val="24"/>
              </w:rPr>
              <w:t xml:space="preserve"> of nominal</w:t>
            </w:r>
            <w:r w:rsidR="001101AC">
              <w:rPr>
                <w:rFonts w:ascii="Arial" w:hAnsi="Arial"/>
                <w:iCs/>
                <w:kern w:val="24"/>
              </w:rPr>
              <w:t>. Th</w:t>
            </w:r>
            <w:r w:rsidR="00831CDD">
              <w:rPr>
                <w:rFonts w:ascii="Arial" w:hAnsi="Arial"/>
                <w:iCs/>
                <w:kern w:val="24"/>
              </w:rPr>
              <w:t>is level</w:t>
            </w:r>
            <w:r w:rsidR="001101AC">
              <w:rPr>
                <w:rFonts w:ascii="Arial" w:hAnsi="Arial"/>
                <w:iCs/>
                <w:kern w:val="24"/>
              </w:rPr>
              <w:t xml:space="preserve"> </w:t>
            </w:r>
            <w:r>
              <w:rPr>
                <w:rFonts w:ascii="Arial" w:hAnsi="Arial"/>
                <w:iCs/>
                <w:kern w:val="24"/>
              </w:rPr>
              <w:t>should help</w:t>
            </w:r>
            <w:r w:rsidR="001101AC">
              <w:rPr>
                <w:rFonts w:ascii="Arial" w:hAnsi="Arial"/>
                <w:iCs/>
                <w:kern w:val="24"/>
              </w:rPr>
              <w:t xml:space="preserve"> reduce concerns about potential overvoltage on long lines</w:t>
            </w:r>
            <w:r>
              <w:rPr>
                <w:rFonts w:ascii="Arial" w:hAnsi="Arial"/>
                <w:iCs/>
                <w:kern w:val="24"/>
              </w:rPr>
              <w:t>.</w:t>
            </w:r>
          </w:p>
          <w:p w14:paraId="18A780E7" w14:textId="09E12605" w:rsidR="005C691F" w:rsidRPr="00625E5D" w:rsidRDefault="005C691F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 w:rsidRPr="005C691F">
              <w:rPr>
                <w:iCs/>
                <w:kern w:val="24"/>
              </w:rPr>
              <w:t>As the 765-kV system evolves from radial to networked facilities over time, the operating voltages proposed in this NOGRR may need to be revised.</w:t>
            </w:r>
          </w:p>
        </w:tc>
      </w:tr>
      <w:tr w:rsidR="00B42548" w14:paraId="20A49FEE" w14:textId="77777777" w:rsidTr="00B42548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725550" w14:textId="29A59905" w:rsidR="00B42548" w:rsidRDefault="00B42548" w:rsidP="00696B1A">
            <w:pPr>
              <w:pStyle w:val="Header"/>
              <w:spacing w:before="120" w:after="120"/>
            </w:pPr>
            <w:r>
              <w:t>ROS Decision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3B9A1DA1" w14:textId="77777777" w:rsidR="00B42548" w:rsidRDefault="00B42548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4/2/26, ROS voted unanimously to table NOGRR286</w:t>
            </w:r>
            <w:r w:rsidR="004A25C5">
              <w:rPr>
                <w:iCs/>
                <w:kern w:val="24"/>
              </w:rPr>
              <w:t xml:space="preserve"> and refer the issue to the Voltage Profile Working Group (VPWG)</w:t>
            </w:r>
            <w:r>
              <w:rPr>
                <w:iCs/>
                <w:kern w:val="24"/>
              </w:rPr>
              <w:t xml:space="preserve">. All Market </w:t>
            </w:r>
            <w:r w:rsidR="00893800">
              <w:rPr>
                <w:iCs/>
                <w:kern w:val="24"/>
              </w:rPr>
              <w:t>Segments</w:t>
            </w:r>
            <w:r>
              <w:rPr>
                <w:iCs/>
                <w:kern w:val="24"/>
              </w:rPr>
              <w:t xml:space="preserve"> participated in the vote.</w:t>
            </w:r>
          </w:p>
          <w:p w14:paraId="63D89EC1" w14:textId="77777777" w:rsidR="009D4CFD" w:rsidRDefault="009D4CFD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5/7/26, ROS voted unanimously to recommend approval of NOGRR286 as submitted.  All Market Segments participated in the vote.</w:t>
            </w:r>
          </w:p>
          <w:p w14:paraId="202B3740" w14:textId="77777777" w:rsidR="00E514D8" w:rsidRDefault="00E514D8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6/4/26, ROS voted unanimously to table NOGRR286.</w:t>
            </w:r>
            <w:r w:rsidR="0058210B">
              <w:rPr>
                <w:iCs/>
                <w:kern w:val="24"/>
              </w:rPr>
              <w:t xml:space="preserve"> </w:t>
            </w:r>
            <w:r>
              <w:rPr>
                <w:iCs/>
                <w:kern w:val="24"/>
              </w:rPr>
              <w:t xml:space="preserve"> All Market Segments participated in the vote.</w:t>
            </w:r>
          </w:p>
          <w:p w14:paraId="373FAB8A" w14:textId="62A0189E" w:rsidR="005E348E" w:rsidRDefault="005E348E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 xml:space="preserve">On 7/9/26, ROS voted unanimously to </w:t>
            </w:r>
            <w:r w:rsidRPr="005E348E">
              <w:rPr>
                <w:iCs/>
                <w:kern w:val="24"/>
              </w:rPr>
              <w:t xml:space="preserve">endorse and forward to TAC the </w:t>
            </w:r>
            <w:r w:rsidR="00D5040E">
              <w:rPr>
                <w:iCs/>
                <w:kern w:val="24"/>
              </w:rPr>
              <w:t>6/4</w:t>
            </w:r>
            <w:r w:rsidRPr="005E348E">
              <w:rPr>
                <w:iCs/>
                <w:kern w:val="24"/>
              </w:rPr>
              <w:t>/26 ROS Report and 6/16/26 Impact Analysis for NOGRR286</w:t>
            </w:r>
            <w:r>
              <w:rPr>
                <w:iCs/>
                <w:kern w:val="24"/>
              </w:rPr>
              <w:t xml:space="preserve">. </w:t>
            </w:r>
            <w:r w:rsidR="00D5040E">
              <w:rPr>
                <w:iCs/>
                <w:kern w:val="24"/>
              </w:rPr>
              <w:t xml:space="preserve"> </w:t>
            </w:r>
            <w:r>
              <w:rPr>
                <w:iCs/>
                <w:kern w:val="24"/>
              </w:rPr>
              <w:t>All Market Segments participated in the vote.</w:t>
            </w:r>
          </w:p>
        </w:tc>
      </w:tr>
      <w:tr w:rsidR="00B42548" w14:paraId="788D8523" w14:textId="77777777" w:rsidTr="00B67151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053AC6AF" w14:textId="1B32CEF2" w:rsidR="00B42548" w:rsidRDefault="00B42548" w:rsidP="00696B1A">
            <w:pPr>
              <w:pStyle w:val="Header"/>
              <w:spacing w:before="120" w:after="120"/>
            </w:pPr>
            <w:r>
              <w:t>Summary of ROS Decision</w:t>
            </w:r>
          </w:p>
        </w:tc>
        <w:tc>
          <w:tcPr>
            <w:tcW w:w="7583" w:type="dxa"/>
            <w:gridSpan w:val="2"/>
            <w:vAlign w:val="center"/>
          </w:tcPr>
          <w:p w14:paraId="26543513" w14:textId="77777777" w:rsidR="00B42548" w:rsidRDefault="00B42548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4/</w:t>
            </w:r>
            <w:r w:rsidR="00893800">
              <w:rPr>
                <w:iCs/>
                <w:kern w:val="24"/>
              </w:rPr>
              <w:t xml:space="preserve">2/26, sponsors presented NOGRR286. Participants discussed </w:t>
            </w:r>
            <w:r w:rsidR="007B4B01">
              <w:rPr>
                <w:iCs/>
                <w:kern w:val="24"/>
              </w:rPr>
              <w:t>defining the operational voltage limits</w:t>
            </w:r>
            <w:r w:rsidR="000E49D9">
              <w:rPr>
                <w:iCs/>
                <w:kern w:val="24"/>
              </w:rPr>
              <w:t xml:space="preserve"> and</w:t>
            </w:r>
            <w:r w:rsidR="00893800">
              <w:rPr>
                <w:iCs/>
                <w:kern w:val="24"/>
              </w:rPr>
              <w:t xml:space="preserve"> requested additional time for review by the </w:t>
            </w:r>
            <w:r w:rsidR="004A25C5">
              <w:rPr>
                <w:iCs/>
                <w:kern w:val="24"/>
              </w:rPr>
              <w:t>VPWG.</w:t>
            </w:r>
            <w:r w:rsidR="00893800">
              <w:rPr>
                <w:iCs/>
                <w:kern w:val="24"/>
              </w:rPr>
              <w:t xml:space="preserve"> </w:t>
            </w:r>
          </w:p>
          <w:p w14:paraId="43F99E80" w14:textId="77777777" w:rsidR="009D4CFD" w:rsidRDefault="009D4CFD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5/7/26, there was no discussion.</w:t>
            </w:r>
          </w:p>
          <w:p w14:paraId="0A555E6F" w14:textId="77777777" w:rsidR="00E514D8" w:rsidRDefault="00E514D8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 xml:space="preserve">On 6/4/26, </w:t>
            </w:r>
            <w:r w:rsidR="00C5685E">
              <w:rPr>
                <w:iCs/>
                <w:kern w:val="24"/>
              </w:rPr>
              <w:t>participants</w:t>
            </w:r>
            <w:r>
              <w:rPr>
                <w:iCs/>
                <w:kern w:val="24"/>
              </w:rPr>
              <w:t xml:space="preserve"> reviewed the 5/27/26 ERCOT comments </w:t>
            </w:r>
            <w:r w:rsidR="00C5685E">
              <w:rPr>
                <w:iCs/>
                <w:kern w:val="24"/>
              </w:rPr>
              <w:t>which</w:t>
            </w:r>
            <w:r>
              <w:rPr>
                <w:iCs/>
                <w:kern w:val="24"/>
              </w:rPr>
              <w:t xml:space="preserve"> proposed </w:t>
            </w:r>
            <w:r w:rsidR="00803641">
              <w:rPr>
                <w:iCs/>
                <w:kern w:val="24"/>
              </w:rPr>
              <w:t>an alternative</w:t>
            </w:r>
            <w:r w:rsidR="00C5685E">
              <w:rPr>
                <w:iCs/>
                <w:kern w:val="24"/>
              </w:rPr>
              <w:t xml:space="preserve"> </w:t>
            </w:r>
            <w:r>
              <w:rPr>
                <w:iCs/>
                <w:kern w:val="24"/>
              </w:rPr>
              <w:t>timeline for the development of an Impact Analysis.</w:t>
            </w:r>
          </w:p>
          <w:p w14:paraId="3AE4DA0A" w14:textId="6069DD5E" w:rsidR="005E348E" w:rsidRDefault="005E348E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 xml:space="preserve">On 7/9/26, participants reviewed the Impact Analysis. </w:t>
            </w:r>
          </w:p>
        </w:tc>
      </w:tr>
      <w:tr w:rsidR="00F0382A" w14:paraId="42F3F1AF" w14:textId="77777777" w:rsidTr="00B67151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4BBC547A" w14:textId="759D36D2" w:rsidR="00F0382A" w:rsidRDefault="00F0382A" w:rsidP="00696B1A">
            <w:pPr>
              <w:pStyle w:val="Header"/>
              <w:spacing w:before="120" w:after="120"/>
            </w:pPr>
            <w:r>
              <w:lastRenderedPageBreak/>
              <w:t>TAC Decision</w:t>
            </w:r>
          </w:p>
        </w:tc>
        <w:tc>
          <w:tcPr>
            <w:tcW w:w="7583" w:type="dxa"/>
            <w:gridSpan w:val="2"/>
            <w:vAlign w:val="center"/>
          </w:tcPr>
          <w:p w14:paraId="1301B11A" w14:textId="668BFB49" w:rsidR="00F0382A" w:rsidRDefault="00F0382A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7/29/26, TAC voted unanimously to recommend approval of NOGRR286 as recommended by ROS in the 7/9/26 ROS Report.  All Market Segments participated in the vote.</w:t>
            </w:r>
          </w:p>
        </w:tc>
      </w:tr>
      <w:tr w:rsidR="00F0382A" w14:paraId="5B15C599" w14:textId="77777777" w:rsidTr="00B67151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62835C71" w14:textId="04EDE27C" w:rsidR="00F0382A" w:rsidRDefault="00F0382A" w:rsidP="00696B1A">
            <w:pPr>
              <w:pStyle w:val="Header"/>
              <w:spacing w:before="120" w:after="120"/>
            </w:pPr>
            <w:r>
              <w:t>Summary of TAC Discussion</w:t>
            </w:r>
          </w:p>
        </w:tc>
        <w:tc>
          <w:tcPr>
            <w:tcW w:w="7583" w:type="dxa"/>
            <w:gridSpan w:val="2"/>
            <w:vAlign w:val="center"/>
          </w:tcPr>
          <w:p w14:paraId="647E4479" w14:textId="5DD27B06" w:rsidR="00F0382A" w:rsidRDefault="00F0382A" w:rsidP="00696B1A">
            <w:pPr>
              <w:pStyle w:val="NormalArial"/>
              <w:spacing w:before="120" w:after="120"/>
              <w:rPr>
                <w:iCs/>
                <w:kern w:val="24"/>
              </w:rPr>
            </w:pPr>
            <w:r>
              <w:rPr>
                <w:iCs/>
                <w:kern w:val="24"/>
              </w:rPr>
              <w:t>On 7/29/26, there was no additional discussion beyond TAC review of the items below.</w:t>
            </w:r>
          </w:p>
        </w:tc>
      </w:tr>
      <w:tr w:rsidR="00F0382A" w14:paraId="758E59D8" w14:textId="77777777" w:rsidTr="006B681D">
        <w:trPr>
          <w:trHeight w:val="518"/>
        </w:trPr>
        <w:tc>
          <w:tcPr>
            <w:tcW w:w="2857" w:type="dxa"/>
            <w:gridSpan w:val="2"/>
            <w:shd w:val="clear" w:color="auto" w:fill="FFFFFF" w:themeFill="background1"/>
            <w:vAlign w:val="center"/>
          </w:tcPr>
          <w:p w14:paraId="414A00A6" w14:textId="20A67994" w:rsidR="00F0382A" w:rsidRDefault="00F0382A" w:rsidP="00F0382A">
            <w:pPr>
              <w:pStyle w:val="Header"/>
              <w:spacing w:before="120" w:after="120"/>
            </w:pPr>
            <w:r w:rsidRPr="003F2A38">
              <w:t>TAC Review/Justification of Recommendation</w:t>
            </w:r>
          </w:p>
        </w:tc>
        <w:tc>
          <w:tcPr>
            <w:tcW w:w="7583" w:type="dxa"/>
            <w:gridSpan w:val="2"/>
            <w:vAlign w:val="center"/>
          </w:tcPr>
          <w:p w14:paraId="780079DC" w14:textId="77777777" w:rsidR="00F0382A" w:rsidRPr="003C0147" w:rsidRDefault="00F0382A" w:rsidP="00F0382A">
            <w:pPr>
              <w:spacing w:before="120" w:after="120"/>
              <w:rPr>
                <w:rFonts w:ascii="Arial" w:hAnsi="Arial" w:cs="Arial"/>
              </w:rPr>
            </w:pPr>
            <w:r w:rsidRPr="003F2A38">
              <w:rPr>
                <w:rFonts w:ascii="Arial" w:hAnsi="Arial"/>
              </w:rPr>
              <w:fldChar w:fldCharType="begin"/>
            </w:r>
            <w:r w:rsidRPr="003F2A38">
              <w:rPr>
                <w:rFonts w:ascii="Arial" w:hAnsi="Arial"/>
              </w:rPr>
              <w:instrText xml:space="preserve"> CONTROL Forms.TextBox.1 </w:instrText>
            </w:r>
            <w:r w:rsidRPr="003F2A38">
              <w:rPr>
                <w:rFonts w:ascii="Arial" w:hAnsi="Arial"/>
              </w:rPr>
              <w:fldChar w:fldCharType="end"/>
            </w: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480898A3" wp14:editId="0CD47DC9">
                  <wp:extent cx="198120" cy="190500"/>
                  <wp:effectExtent l="0" t="0" r="0" b="0"/>
                  <wp:docPr id="73207105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Revision Request ties to Reason for Revision as explained in Justification </w:t>
            </w:r>
          </w:p>
          <w:p w14:paraId="454FF238" w14:textId="77777777" w:rsidR="00F0382A" w:rsidRDefault="00E43D5B" w:rsidP="00F0382A">
            <w:pPr>
              <w:spacing w:before="120" w:after="120"/>
              <w:rPr>
                <w:rFonts w:ascii="Arial" w:hAnsi="Arial" w:cs="Arial"/>
              </w:rPr>
            </w:pPr>
            <w:r>
              <w:pict w14:anchorId="2D92E8FA">
                <v:shape id="_x0000_i1027" type="#_x0000_t75" style="width:15.6pt;height:15pt;visibility:visible;mso-wrap-style:square">
                  <v:imagedata r:id="rId18" o:title=""/>
                </v:shape>
              </w:pict>
            </w:r>
            <w:r w:rsidR="00F0382A" w:rsidRPr="003C0147">
              <w:rPr>
                <w:rFonts w:ascii="Arial" w:hAnsi="Arial" w:cs="Arial"/>
              </w:rPr>
              <w:t xml:space="preserve">  Impact Analysis reviewed and impacts are justified as explained </w:t>
            </w:r>
          </w:p>
          <w:p w14:paraId="270C2D94" w14:textId="77777777" w:rsidR="00F0382A" w:rsidRPr="003C0147" w:rsidRDefault="00F0382A" w:rsidP="00F0382A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</w:rPr>
              <w:t>in Justification</w:t>
            </w:r>
          </w:p>
          <w:p w14:paraId="193D5B70" w14:textId="77777777" w:rsidR="00F0382A" w:rsidRPr="003C0147" w:rsidRDefault="00F0382A" w:rsidP="00F0382A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4EEA2FF5" wp14:editId="093E9CBA">
                  <wp:extent cx="198120" cy="190500"/>
                  <wp:effectExtent l="0" t="0" r="0" b="0"/>
                  <wp:docPr id="51360258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Opinions were reviewed and discussed</w:t>
            </w:r>
          </w:p>
          <w:p w14:paraId="61E994E7" w14:textId="77777777" w:rsidR="00F0382A" w:rsidRPr="003C0147" w:rsidRDefault="00F0382A" w:rsidP="00F0382A">
            <w:pPr>
              <w:spacing w:before="120" w:after="120"/>
              <w:rPr>
                <w:rFonts w:ascii="Arial" w:hAnsi="Arial" w:cs="Arial"/>
              </w:rPr>
            </w:pPr>
            <w:r w:rsidRPr="003C0147">
              <w:rPr>
                <w:rFonts w:ascii="Arial" w:hAnsi="Arial" w:cs="Arial"/>
                <w:noProof/>
              </w:rPr>
              <w:drawing>
                <wp:inline distT="0" distB="0" distL="0" distR="0" wp14:anchorId="420F536D" wp14:editId="61005DDA">
                  <wp:extent cx="198120" cy="190500"/>
                  <wp:effectExtent l="0" t="0" r="0" b="0"/>
                  <wp:docPr id="12602322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Arial" w:hAnsi="Arial" w:cs="Arial"/>
              </w:rPr>
              <w:t xml:space="preserve">  Comments were reviewed and discussed (if applicable)</w:t>
            </w:r>
          </w:p>
          <w:p w14:paraId="4F07B3ED" w14:textId="59024B1E" w:rsidR="00F0382A" w:rsidRDefault="00F0382A" w:rsidP="00F0382A">
            <w:pPr>
              <w:pStyle w:val="NormalArial"/>
              <w:spacing w:before="120" w:after="120"/>
              <w:rPr>
                <w:iCs/>
                <w:kern w:val="24"/>
              </w:rPr>
            </w:pPr>
            <w:r w:rsidRPr="003C0147">
              <w:rPr>
                <w:rFonts w:ascii="Calibri" w:eastAsia="Calibri" w:hAnsi="Calibri" w:cs="Arial"/>
                <w:noProof/>
                <w:sz w:val="22"/>
                <w:szCs w:val="22"/>
              </w:rPr>
              <w:drawing>
                <wp:inline distT="0" distB="0" distL="0" distR="0" wp14:anchorId="661D6B8E" wp14:editId="11B40DFD">
                  <wp:extent cx="198120" cy="190500"/>
                  <wp:effectExtent l="0" t="0" r="0" b="0"/>
                  <wp:docPr id="21201399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C0147">
              <w:rPr>
                <w:rFonts w:ascii="Calibri" w:eastAsia="Calibri" w:hAnsi="Calibri" w:cs="Arial"/>
                <w:sz w:val="22"/>
                <w:szCs w:val="22"/>
              </w:rPr>
              <w:t xml:space="preserve">  </w:t>
            </w:r>
            <w:r w:rsidRPr="002A5552">
              <w:rPr>
                <w:rFonts w:eastAsia="Calibri" w:cs="Arial"/>
              </w:rPr>
              <w:t>Other: (explain)</w:t>
            </w:r>
          </w:p>
        </w:tc>
      </w:tr>
      <w:tr w:rsidR="007E6FE2" w14:paraId="653FBE50" w14:textId="77777777" w:rsidTr="00B42548">
        <w:trPr>
          <w:trHeight w:val="518"/>
        </w:trPr>
        <w:tc>
          <w:tcPr>
            <w:tcW w:w="285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71AD14" w14:textId="647C2E47" w:rsidR="007E6FE2" w:rsidRPr="003F2A38" w:rsidRDefault="007E6FE2" w:rsidP="00F0382A">
            <w:pPr>
              <w:pStyle w:val="Header"/>
              <w:spacing w:before="120" w:after="120"/>
            </w:pPr>
            <w:r>
              <w:t>ERCOT Board Decision</w:t>
            </w:r>
          </w:p>
        </w:tc>
        <w:tc>
          <w:tcPr>
            <w:tcW w:w="7583" w:type="dxa"/>
            <w:gridSpan w:val="2"/>
            <w:tcBorders>
              <w:bottom w:val="single" w:sz="4" w:space="0" w:color="auto"/>
            </w:tcBorders>
            <w:vAlign w:val="center"/>
          </w:tcPr>
          <w:p w14:paraId="17099256" w14:textId="02438E09" w:rsidR="007E6FE2" w:rsidRPr="003F2A38" w:rsidRDefault="007E6FE2" w:rsidP="00F0382A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On 9/15/26, the ERCOT Board voted unanimously to recommend approval of NOGRR286 as recommended by TAC in the 7/29/26 TAC Report.</w:t>
            </w:r>
          </w:p>
        </w:tc>
      </w:tr>
    </w:tbl>
    <w:p w14:paraId="28F292DA" w14:textId="77777777" w:rsidR="00893800" w:rsidRPr="00893800" w:rsidRDefault="00893800" w:rsidP="00893800">
      <w:pPr>
        <w:rPr>
          <w:rFonts w:ascii="Arial" w:hAnsi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893800" w:rsidRPr="00893800" w14:paraId="6172790B" w14:textId="77777777" w:rsidTr="00FD290E">
        <w:trPr>
          <w:trHeight w:val="432"/>
        </w:trPr>
        <w:tc>
          <w:tcPr>
            <w:tcW w:w="10440" w:type="dxa"/>
            <w:gridSpan w:val="2"/>
            <w:shd w:val="clear" w:color="auto" w:fill="FFFFFF"/>
            <w:vAlign w:val="center"/>
          </w:tcPr>
          <w:p w14:paraId="7CF86CCA" w14:textId="77777777" w:rsidR="00893800" w:rsidRPr="00893800" w:rsidRDefault="00893800" w:rsidP="00893800">
            <w:pPr>
              <w:ind w:hanging="2"/>
              <w:jc w:val="center"/>
              <w:rPr>
                <w:rFonts w:ascii="Arial" w:hAnsi="Arial"/>
                <w:b/>
              </w:rPr>
            </w:pPr>
            <w:r w:rsidRPr="00893800">
              <w:rPr>
                <w:rFonts w:ascii="Arial" w:hAnsi="Arial"/>
                <w:b/>
              </w:rPr>
              <w:t>Opinions</w:t>
            </w:r>
          </w:p>
        </w:tc>
      </w:tr>
      <w:tr w:rsidR="00893800" w:rsidRPr="00893800" w14:paraId="7F93A64D" w14:textId="77777777" w:rsidTr="00FD290E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7F9A77FB" w14:textId="77777777" w:rsidR="00893800" w:rsidRPr="00893800" w:rsidRDefault="00893800" w:rsidP="00893800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893800">
              <w:rPr>
                <w:rFonts w:ascii="Arial" w:hAnsi="Arial"/>
                <w:b/>
                <w:bCs/>
              </w:rPr>
              <w:t>Credit Review</w:t>
            </w:r>
          </w:p>
        </w:tc>
        <w:tc>
          <w:tcPr>
            <w:tcW w:w="7560" w:type="dxa"/>
            <w:vAlign w:val="center"/>
          </w:tcPr>
          <w:p w14:paraId="63F9C1FB" w14:textId="22E582F9" w:rsidR="00893800" w:rsidRPr="00893800" w:rsidRDefault="00C66D1F" w:rsidP="00893800">
            <w:pPr>
              <w:spacing w:before="120" w:after="120"/>
              <w:ind w:hanging="2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Not applicable</w:t>
            </w:r>
          </w:p>
        </w:tc>
      </w:tr>
      <w:tr w:rsidR="00893800" w:rsidRPr="00893800" w14:paraId="0D6800F0" w14:textId="77777777" w:rsidTr="00FD290E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5E5FDC4B" w14:textId="77777777" w:rsidR="00893800" w:rsidRPr="00893800" w:rsidRDefault="00893800" w:rsidP="00893800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893800">
              <w:rPr>
                <w:rFonts w:ascii="Arial" w:hAnsi="Arial"/>
                <w:b/>
                <w:bCs/>
              </w:rPr>
              <w:t>Independent Market Monitor Opinion</w:t>
            </w:r>
          </w:p>
        </w:tc>
        <w:tc>
          <w:tcPr>
            <w:tcW w:w="7560" w:type="dxa"/>
            <w:vAlign w:val="center"/>
          </w:tcPr>
          <w:p w14:paraId="1E93210F" w14:textId="1E4C9452" w:rsidR="00893800" w:rsidRPr="00893800" w:rsidRDefault="00F0382A" w:rsidP="00893800">
            <w:pPr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</w:rPr>
              <w:t>IMM has no opinion on NOGRR286.</w:t>
            </w:r>
          </w:p>
        </w:tc>
      </w:tr>
      <w:tr w:rsidR="00893800" w:rsidRPr="00893800" w14:paraId="15A83143" w14:textId="77777777" w:rsidTr="00FD290E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69F8AB69" w14:textId="77777777" w:rsidR="00893800" w:rsidRPr="00893800" w:rsidRDefault="00893800" w:rsidP="00893800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893800">
              <w:rPr>
                <w:rFonts w:ascii="Arial" w:hAnsi="Arial"/>
                <w:b/>
                <w:bCs/>
              </w:rPr>
              <w:t>ERCOT Opinion</w:t>
            </w:r>
          </w:p>
        </w:tc>
        <w:tc>
          <w:tcPr>
            <w:tcW w:w="7560" w:type="dxa"/>
            <w:vAlign w:val="center"/>
          </w:tcPr>
          <w:p w14:paraId="03D4CC24" w14:textId="288C5AA6" w:rsidR="00893800" w:rsidRPr="00893800" w:rsidRDefault="009510D5" w:rsidP="00893800">
            <w:pPr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9510D5">
              <w:rPr>
                <w:rFonts w:ascii="Arial" w:hAnsi="Arial"/>
              </w:rPr>
              <w:t>ERCOT supports approval of NOGRR286.</w:t>
            </w:r>
          </w:p>
        </w:tc>
      </w:tr>
      <w:tr w:rsidR="00893800" w:rsidRPr="00893800" w14:paraId="13716988" w14:textId="77777777" w:rsidTr="00FD290E">
        <w:trPr>
          <w:trHeight w:val="432"/>
        </w:trPr>
        <w:tc>
          <w:tcPr>
            <w:tcW w:w="2880" w:type="dxa"/>
            <w:shd w:val="clear" w:color="auto" w:fill="FFFFFF"/>
            <w:vAlign w:val="center"/>
          </w:tcPr>
          <w:p w14:paraId="707682F2" w14:textId="77777777" w:rsidR="00893800" w:rsidRPr="00893800" w:rsidRDefault="00893800" w:rsidP="00893800">
            <w:pPr>
              <w:tabs>
                <w:tab w:val="center" w:pos="4320"/>
                <w:tab w:val="right" w:pos="8640"/>
              </w:tabs>
              <w:spacing w:before="120" w:after="120"/>
              <w:ind w:hanging="2"/>
              <w:rPr>
                <w:rFonts w:ascii="Arial" w:hAnsi="Arial"/>
                <w:b/>
                <w:bCs/>
              </w:rPr>
            </w:pPr>
            <w:r w:rsidRPr="00893800">
              <w:rPr>
                <w:rFonts w:ascii="Arial" w:hAnsi="Arial"/>
                <w:b/>
                <w:bCs/>
              </w:rPr>
              <w:t>ERCOT Market Impact Statement</w:t>
            </w:r>
          </w:p>
        </w:tc>
        <w:tc>
          <w:tcPr>
            <w:tcW w:w="7560" w:type="dxa"/>
            <w:vAlign w:val="center"/>
          </w:tcPr>
          <w:p w14:paraId="0D8A732E" w14:textId="7581229B" w:rsidR="00893800" w:rsidRPr="009510D5" w:rsidRDefault="009510D5" w:rsidP="009510D5">
            <w:pPr>
              <w:spacing w:before="120" w:after="120"/>
              <w:ind w:hanging="2"/>
              <w:rPr>
                <w:rFonts w:ascii="Arial" w:hAnsi="Arial"/>
              </w:rPr>
            </w:pPr>
            <w:r w:rsidRPr="009510D5">
              <w:rPr>
                <w:rFonts w:ascii="Arial" w:hAnsi="Arial"/>
              </w:rPr>
              <w:t>ERCOT Staff believe NOGRR286 specifies the necessary operational guidelines to support the reliable operation of 765-kV equipment by defining default voltage limits to plan and promote the reliable operation of the system.</w:t>
            </w:r>
          </w:p>
        </w:tc>
      </w:tr>
    </w:tbl>
    <w:p w14:paraId="09C299EC" w14:textId="77777777" w:rsidR="0059260F" w:rsidRPr="0030232A" w:rsidRDefault="0059260F" w:rsidP="00893800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7560"/>
      </w:tblGrid>
      <w:tr w:rsidR="009A3772" w14:paraId="1B1DA84A" w14:textId="77777777" w:rsidTr="00074A54">
        <w:trPr>
          <w:cantSplit/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997AEE8" w14:textId="77777777" w:rsidR="009A3772" w:rsidRDefault="009A3772">
            <w:pPr>
              <w:pStyle w:val="Header"/>
              <w:jc w:val="center"/>
            </w:pPr>
            <w:r>
              <w:t>Sponsor</w:t>
            </w:r>
          </w:p>
        </w:tc>
      </w:tr>
      <w:tr w:rsidR="009A3772" w14:paraId="6BA45196" w14:textId="77777777" w:rsidTr="00074A54">
        <w:trPr>
          <w:cantSplit/>
          <w:trHeight w:val="432"/>
        </w:trPr>
        <w:tc>
          <w:tcPr>
            <w:tcW w:w="2880" w:type="dxa"/>
            <w:shd w:val="clear" w:color="auto" w:fill="FFFFFF" w:themeFill="background1"/>
            <w:vAlign w:val="center"/>
          </w:tcPr>
          <w:p w14:paraId="5BCDE696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 w:rsidRPr="00B93CA0">
              <w:rPr>
                <w:bCs w:val="0"/>
              </w:rPr>
              <w:t>Name</w:t>
            </w:r>
          </w:p>
        </w:tc>
        <w:tc>
          <w:tcPr>
            <w:tcW w:w="7560" w:type="dxa"/>
            <w:vAlign w:val="center"/>
          </w:tcPr>
          <w:p w14:paraId="0514022E" w14:textId="642FBDC2" w:rsidR="009A3772" w:rsidRDefault="00CA6322" w:rsidP="003A71BD">
            <w:pPr>
              <w:pStyle w:val="NormalArial"/>
              <w:spacing w:before="120" w:after="120"/>
            </w:pPr>
            <w:r>
              <w:t>Blake Holt</w:t>
            </w:r>
            <w:r w:rsidR="003A71BD">
              <w:t>;</w:t>
            </w:r>
            <w:r w:rsidR="005113AB">
              <w:t xml:space="preserve"> </w:t>
            </w:r>
            <w:r w:rsidR="00C33607">
              <w:t>Ricky Floyd</w:t>
            </w:r>
            <w:r w:rsidR="003A71BD">
              <w:t>;</w:t>
            </w:r>
            <w:r w:rsidR="00A07D94">
              <w:t xml:space="preserve"> Erin Rasmussen</w:t>
            </w:r>
          </w:p>
        </w:tc>
      </w:tr>
      <w:tr w:rsidR="009A3772" w14:paraId="33CB94A8" w14:textId="77777777" w:rsidTr="00074A54">
        <w:trPr>
          <w:cantSplit/>
          <w:trHeight w:val="432"/>
        </w:trPr>
        <w:tc>
          <w:tcPr>
            <w:tcW w:w="2880" w:type="dxa"/>
            <w:shd w:val="clear" w:color="auto" w:fill="FFFFFF" w:themeFill="background1"/>
            <w:vAlign w:val="center"/>
          </w:tcPr>
          <w:p w14:paraId="19DACE26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 w:rsidRPr="00B93CA0">
              <w:rPr>
                <w:bCs w:val="0"/>
              </w:rPr>
              <w:t>E-mail Address</w:t>
            </w:r>
          </w:p>
        </w:tc>
        <w:tc>
          <w:tcPr>
            <w:tcW w:w="7560" w:type="dxa"/>
            <w:vAlign w:val="center"/>
          </w:tcPr>
          <w:p w14:paraId="7A233595" w14:textId="4614D518" w:rsidR="009A3772" w:rsidRDefault="00CA6322" w:rsidP="003A71BD">
            <w:pPr>
              <w:pStyle w:val="NormalArial"/>
              <w:spacing w:before="120" w:after="120"/>
            </w:pPr>
            <w:hyperlink r:id="rId22" w:history="1">
              <w:r w:rsidRPr="003E0DBD">
                <w:rPr>
                  <w:rStyle w:val="Hyperlink"/>
                </w:rPr>
                <w:t>blake.holt@lcra.org</w:t>
              </w:r>
            </w:hyperlink>
            <w:r w:rsidR="003A71BD">
              <w:t>;</w:t>
            </w:r>
            <w:r w:rsidR="00C33607">
              <w:t xml:space="preserve"> </w:t>
            </w:r>
            <w:hyperlink r:id="rId23" w:history="1">
              <w:r w:rsidR="00C33607" w:rsidRPr="007F6A3C">
                <w:rPr>
                  <w:rStyle w:val="Hyperlink"/>
                </w:rPr>
                <w:t>ricky.floyd@oncor.com</w:t>
              </w:r>
            </w:hyperlink>
            <w:r w:rsidR="003A71BD">
              <w:t>;</w:t>
            </w:r>
            <w:r w:rsidR="00C33607">
              <w:t xml:space="preserve"> </w:t>
            </w:r>
            <w:hyperlink r:id="rId24" w:history="1">
              <w:r w:rsidR="00C33607" w:rsidRPr="00C33607">
                <w:rPr>
                  <w:rStyle w:val="Hyperlink"/>
                </w:rPr>
                <w:t>ejrasmussen@aep.com</w:t>
              </w:r>
            </w:hyperlink>
          </w:p>
        </w:tc>
      </w:tr>
      <w:tr w:rsidR="009A3772" w14:paraId="35BE9038" w14:textId="77777777" w:rsidTr="00074A54">
        <w:trPr>
          <w:cantSplit/>
          <w:trHeight w:val="432"/>
        </w:trPr>
        <w:tc>
          <w:tcPr>
            <w:tcW w:w="2880" w:type="dxa"/>
            <w:shd w:val="clear" w:color="auto" w:fill="FFFFFF" w:themeFill="background1"/>
            <w:vAlign w:val="center"/>
          </w:tcPr>
          <w:p w14:paraId="2412D0DE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 w:rsidRPr="00B93CA0">
              <w:rPr>
                <w:bCs w:val="0"/>
              </w:rPr>
              <w:t>Company</w:t>
            </w:r>
          </w:p>
        </w:tc>
        <w:tc>
          <w:tcPr>
            <w:tcW w:w="7560" w:type="dxa"/>
            <w:vAlign w:val="center"/>
          </w:tcPr>
          <w:p w14:paraId="4636C05C" w14:textId="77777777" w:rsidR="003A71BD" w:rsidRDefault="00170391" w:rsidP="003A71BD">
            <w:pPr>
              <w:pStyle w:val="NormalArial"/>
              <w:spacing w:before="120"/>
            </w:pPr>
            <w:r>
              <w:t>LCRA TSC</w:t>
            </w:r>
          </w:p>
          <w:p w14:paraId="0A66D01E" w14:textId="77777777" w:rsidR="003A71BD" w:rsidRDefault="005113AB" w:rsidP="003A71BD">
            <w:pPr>
              <w:pStyle w:val="NormalArial"/>
            </w:pPr>
            <w:r w:rsidRPr="005113AB">
              <w:t>Oncor Electric Delivery Company LLC</w:t>
            </w:r>
          </w:p>
          <w:p w14:paraId="00E39457" w14:textId="334C1FA5" w:rsidR="009A3772" w:rsidRDefault="00A07D94" w:rsidP="003A71BD">
            <w:pPr>
              <w:pStyle w:val="NormalArial"/>
              <w:spacing w:after="120"/>
            </w:pPr>
            <w:r>
              <w:t>AEP Texas</w:t>
            </w:r>
          </w:p>
        </w:tc>
      </w:tr>
      <w:tr w:rsidR="009A3772" w14:paraId="33FC3E2F" w14:textId="77777777" w:rsidTr="00074A54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AF7A2D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 w:rsidRPr="00B93CA0">
              <w:rPr>
                <w:bCs w:val="0"/>
              </w:rPr>
              <w:lastRenderedPageBreak/>
              <w:t>Phone Number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68EF00BD" w14:textId="081AABA4" w:rsidR="009A3772" w:rsidRDefault="00CA6322" w:rsidP="003A71BD">
            <w:pPr>
              <w:pStyle w:val="NormalArial"/>
              <w:spacing w:before="120" w:after="120"/>
            </w:pPr>
            <w:r>
              <w:t>254-913-8096</w:t>
            </w:r>
            <w:r w:rsidR="003A71BD">
              <w:t xml:space="preserve"> (Holt);</w:t>
            </w:r>
            <w:r w:rsidR="005113AB" w:rsidRPr="005113AB">
              <w:rPr>
                <w:rFonts w:ascii="Times New Roman" w:hAnsi="Times New Roman"/>
              </w:rPr>
              <w:t xml:space="preserve"> </w:t>
            </w:r>
            <w:r w:rsidR="00C33607">
              <w:t>214-743-6835</w:t>
            </w:r>
            <w:r w:rsidR="003A71BD">
              <w:t xml:space="preserve"> (Floyd);</w:t>
            </w:r>
            <w:r w:rsidR="00A07D94" w:rsidRPr="00A07D94">
              <w:rPr>
                <w:rFonts w:cs="Arial"/>
                <w:color w:val="707372"/>
                <w:sz w:val="16"/>
                <w:szCs w:val="16"/>
              </w:rPr>
              <w:t xml:space="preserve"> </w:t>
            </w:r>
            <w:r w:rsidR="00A07D94" w:rsidRPr="00A07D94">
              <w:t>512</w:t>
            </w:r>
            <w:r w:rsidR="00A07D94">
              <w:t>-</w:t>
            </w:r>
            <w:r w:rsidR="00A07D94" w:rsidRPr="00A07D94">
              <w:t>391</w:t>
            </w:r>
            <w:r w:rsidR="00A07D94">
              <w:t>-</w:t>
            </w:r>
            <w:r w:rsidR="00A07D94" w:rsidRPr="00A07D94">
              <w:t>2966</w:t>
            </w:r>
            <w:r w:rsidR="003A71BD">
              <w:t xml:space="preserve"> (Rasmussen)</w:t>
            </w:r>
          </w:p>
        </w:tc>
      </w:tr>
      <w:tr w:rsidR="009A3772" w14:paraId="14B80A08" w14:textId="77777777" w:rsidTr="00074A54">
        <w:trPr>
          <w:cantSplit/>
          <w:trHeight w:val="432"/>
        </w:trPr>
        <w:tc>
          <w:tcPr>
            <w:tcW w:w="2880" w:type="dxa"/>
            <w:shd w:val="clear" w:color="auto" w:fill="FFFFFF" w:themeFill="background1"/>
            <w:vAlign w:val="center"/>
          </w:tcPr>
          <w:p w14:paraId="6EEA5DA6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>
              <w:rPr>
                <w:bCs w:val="0"/>
              </w:rPr>
              <w:t>Cell</w:t>
            </w:r>
            <w:r w:rsidRPr="00B93CA0">
              <w:rPr>
                <w:bCs w:val="0"/>
              </w:rPr>
              <w:t xml:space="preserve"> Number</w:t>
            </w:r>
          </w:p>
        </w:tc>
        <w:tc>
          <w:tcPr>
            <w:tcW w:w="7560" w:type="dxa"/>
            <w:vAlign w:val="center"/>
          </w:tcPr>
          <w:p w14:paraId="30179B92" w14:textId="77777777" w:rsidR="009A3772" w:rsidRDefault="009A3772" w:rsidP="003A71BD">
            <w:pPr>
              <w:pStyle w:val="NormalArial"/>
              <w:spacing w:before="120" w:after="120"/>
            </w:pPr>
          </w:p>
        </w:tc>
      </w:tr>
      <w:tr w:rsidR="009A3772" w14:paraId="3C88D57A" w14:textId="77777777" w:rsidTr="00074A54">
        <w:trPr>
          <w:cantSplit/>
          <w:trHeight w:val="432"/>
        </w:trPr>
        <w:tc>
          <w:tcPr>
            <w:tcW w:w="28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658E26" w14:textId="77777777" w:rsidR="009A3772" w:rsidRPr="00B93CA0" w:rsidRDefault="009A3772" w:rsidP="003A71BD">
            <w:pPr>
              <w:pStyle w:val="Header"/>
              <w:spacing w:before="120" w:after="120"/>
              <w:rPr>
                <w:bCs w:val="0"/>
              </w:rPr>
            </w:pPr>
            <w:r>
              <w:rPr>
                <w:bCs w:val="0"/>
              </w:rPr>
              <w:t>Market Segment</w:t>
            </w:r>
          </w:p>
        </w:tc>
        <w:tc>
          <w:tcPr>
            <w:tcW w:w="7560" w:type="dxa"/>
            <w:tcBorders>
              <w:bottom w:val="single" w:sz="4" w:space="0" w:color="auto"/>
            </w:tcBorders>
            <w:vAlign w:val="center"/>
          </w:tcPr>
          <w:p w14:paraId="1A0B3F51" w14:textId="5F586C0D" w:rsidR="009A3772" w:rsidRDefault="00CA6322" w:rsidP="003A71BD">
            <w:pPr>
              <w:pStyle w:val="NormalArial"/>
              <w:spacing w:before="120" w:after="120"/>
            </w:pPr>
            <w:r>
              <w:t>Cooperative</w:t>
            </w:r>
            <w:r w:rsidR="003A71BD">
              <w:t>;</w:t>
            </w:r>
            <w:r w:rsidR="005113AB">
              <w:t xml:space="preserve"> Investor-Owned Utility (IOU)</w:t>
            </w:r>
            <w:r w:rsidR="003A71BD">
              <w:t>;</w:t>
            </w:r>
            <w:r w:rsidR="00A07D94">
              <w:t xml:space="preserve"> (IOU)</w:t>
            </w:r>
          </w:p>
        </w:tc>
      </w:tr>
    </w:tbl>
    <w:p w14:paraId="687274FF" w14:textId="77777777" w:rsidR="009A3772" w:rsidRPr="00D56D61" w:rsidRDefault="009A3772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560"/>
      </w:tblGrid>
      <w:tr w:rsidR="009A3772" w:rsidRPr="00D56D61" w14:paraId="212D9FBB" w14:textId="77777777" w:rsidTr="00D176CF">
        <w:trPr>
          <w:cantSplit/>
          <w:trHeight w:val="432"/>
        </w:trPr>
        <w:tc>
          <w:tcPr>
            <w:tcW w:w="10440" w:type="dxa"/>
            <w:gridSpan w:val="2"/>
            <w:vAlign w:val="center"/>
          </w:tcPr>
          <w:p w14:paraId="09FF4603" w14:textId="77777777" w:rsidR="009A3772" w:rsidRPr="007C199B" w:rsidRDefault="009A3772" w:rsidP="003A71BD">
            <w:pPr>
              <w:pStyle w:val="NormalArial"/>
              <w:jc w:val="center"/>
              <w:rPr>
                <w:b/>
              </w:rPr>
            </w:pPr>
            <w:r w:rsidRPr="007C199B">
              <w:rPr>
                <w:b/>
              </w:rPr>
              <w:t xml:space="preserve">Market </w:t>
            </w:r>
            <w:proofErr w:type="gramStart"/>
            <w:r w:rsidRPr="007C199B">
              <w:rPr>
                <w:b/>
              </w:rPr>
              <w:t>Rules</w:t>
            </w:r>
            <w:proofErr w:type="gramEnd"/>
            <w:r w:rsidRPr="007C199B">
              <w:rPr>
                <w:b/>
              </w:rPr>
              <w:t xml:space="preserve"> Staff Contact</w:t>
            </w:r>
          </w:p>
        </w:tc>
      </w:tr>
      <w:tr w:rsidR="009A3772" w:rsidRPr="00D56D61" w14:paraId="431018CB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6E559D13" w14:textId="77777777" w:rsidR="009A3772" w:rsidRPr="007C199B" w:rsidRDefault="009A3772" w:rsidP="003A71BD">
            <w:pPr>
              <w:pStyle w:val="NormalArial"/>
              <w:spacing w:before="120" w:after="120"/>
              <w:rPr>
                <w:b/>
              </w:rPr>
            </w:pPr>
            <w:r w:rsidRPr="007C199B">
              <w:rPr>
                <w:b/>
              </w:rPr>
              <w:t>Name</w:t>
            </w:r>
          </w:p>
        </w:tc>
        <w:tc>
          <w:tcPr>
            <w:tcW w:w="7560" w:type="dxa"/>
            <w:vAlign w:val="center"/>
          </w:tcPr>
          <w:p w14:paraId="6577E16E" w14:textId="2191256E" w:rsidR="009A3772" w:rsidRPr="00D56D61" w:rsidRDefault="003A71BD" w:rsidP="003A71BD">
            <w:pPr>
              <w:pStyle w:val="NormalArial"/>
              <w:spacing w:before="120" w:after="120"/>
            </w:pPr>
            <w:r>
              <w:t>Elizabeth Morales</w:t>
            </w:r>
          </w:p>
        </w:tc>
      </w:tr>
      <w:tr w:rsidR="009A3772" w:rsidRPr="00D56D61" w14:paraId="56FDD1D3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5B9409CC" w14:textId="77777777" w:rsidR="009A3772" w:rsidRPr="007C199B" w:rsidRDefault="009A3772" w:rsidP="003A71BD">
            <w:pPr>
              <w:pStyle w:val="NormalArial"/>
              <w:spacing w:before="120" w:after="120"/>
              <w:rPr>
                <w:b/>
              </w:rPr>
            </w:pPr>
            <w:r w:rsidRPr="007C199B">
              <w:rPr>
                <w:b/>
              </w:rPr>
              <w:t>E-Mail Address</w:t>
            </w:r>
          </w:p>
        </w:tc>
        <w:tc>
          <w:tcPr>
            <w:tcW w:w="7560" w:type="dxa"/>
            <w:vAlign w:val="center"/>
          </w:tcPr>
          <w:p w14:paraId="5948C015" w14:textId="6BFEE036" w:rsidR="009A3772" w:rsidRPr="00D56D61" w:rsidRDefault="003A71BD" w:rsidP="003A71BD">
            <w:pPr>
              <w:pStyle w:val="NormalArial"/>
              <w:spacing w:before="120" w:after="120"/>
            </w:pPr>
            <w:hyperlink r:id="rId25" w:history="1">
              <w:r w:rsidRPr="00C84785">
                <w:rPr>
                  <w:rStyle w:val="Hyperlink"/>
                </w:rPr>
                <w:t>Elizabeth.morales@ercot.com</w:t>
              </w:r>
            </w:hyperlink>
          </w:p>
        </w:tc>
      </w:tr>
      <w:tr w:rsidR="009A3772" w:rsidRPr="005370B5" w14:paraId="5EA87A9F" w14:textId="77777777" w:rsidTr="00D176CF">
        <w:trPr>
          <w:cantSplit/>
          <w:trHeight w:val="432"/>
        </w:trPr>
        <w:tc>
          <w:tcPr>
            <w:tcW w:w="2880" w:type="dxa"/>
            <w:vAlign w:val="center"/>
          </w:tcPr>
          <w:p w14:paraId="62677094" w14:textId="77777777" w:rsidR="009A3772" w:rsidRPr="007C199B" w:rsidRDefault="009A3772" w:rsidP="003A71BD">
            <w:pPr>
              <w:pStyle w:val="NormalArial"/>
              <w:spacing w:before="120" w:after="120"/>
              <w:rPr>
                <w:b/>
              </w:rPr>
            </w:pPr>
            <w:r w:rsidRPr="007C199B">
              <w:rPr>
                <w:b/>
              </w:rPr>
              <w:t>Phone Number</w:t>
            </w:r>
          </w:p>
        </w:tc>
        <w:tc>
          <w:tcPr>
            <w:tcW w:w="7560" w:type="dxa"/>
            <w:vAlign w:val="center"/>
          </w:tcPr>
          <w:p w14:paraId="3556D14E" w14:textId="447BF8AF" w:rsidR="009A3772" w:rsidRDefault="003A71BD" w:rsidP="003A71BD">
            <w:pPr>
              <w:pStyle w:val="NormalArial"/>
              <w:spacing w:before="120" w:after="120"/>
            </w:pPr>
            <w:r>
              <w:t>210-420-1722</w:t>
            </w:r>
          </w:p>
        </w:tc>
      </w:tr>
    </w:tbl>
    <w:p w14:paraId="25CE0556" w14:textId="77777777" w:rsidR="00893800" w:rsidRDefault="00893800" w:rsidP="00893800">
      <w:pPr>
        <w:tabs>
          <w:tab w:val="num" w:pos="0"/>
        </w:tabs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60"/>
      </w:tblGrid>
      <w:tr w:rsidR="00893800" w:rsidRPr="006F5051" w14:paraId="48ED6D2C" w14:textId="77777777" w:rsidTr="00FD290E">
        <w:trPr>
          <w:trHeight w:val="432"/>
        </w:trPr>
        <w:tc>
          <w:tcPr>
            <w:tcW w:w="10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F8E27" w14:textId="77777777" w:rsidR="00893800" w:rsidRPr="006F5051" w:rsidRDefault="00893800" w:rsidP="00FD290E">
            <w:pPr>
              <w:jc w:val="center"/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Comments Received</w:t>
            </w:r>
          </w:p>
        </w:tc>
      </w:tr>
      <w:tr w:rsidR="00893800" w:rsidRPr="006F5051" w14:paraId="66D9021A" w14:textId="77777777" w:rsidTr="00FD290E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20654" w14:textId="77777777" w:rsidR="00893800" w:rsidRPr="006F5051" w:rsidRDefault="00893800" w:rsidP="00FD290E">
            <w:pPr>
              <w:tabs>
                <w:tab w:val="center" w:pos="4320"/>
                <w:tab w:val="right" w:pos="8640"/>
              </w:tabs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 Author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9A16" w14:textId="77777777" w:rsidR="00893800" w:rsidRPr="006F5051" w:rsidRDefault="00893800" w:rsidP="00FD290E">
            <w:pPr>
              <w:rPr>
                <w:rFonts w:ascii="Arial" w:hAnsi="Arial"/>
                <w:b/>
              </w:rPr>
            </w:pPr>
            <w:r w:rsidRPr="006F5051">
              <w:rPr>
                <w:rFonts w:ascii="Arial" w:hAnsi="Arial"/>
                <w:b/>
              </w:rPr>
              <w:t>Comment Summary</w:t>
            </w:r>
          </w:p>
        </w:tc>
      </w:tr>
      <w:tr w:rsidR="00893800" w:rsidRPr="00803641" w14:paraId="57253FF5" w14:textId="77777777" w:rsidTr="00FD290E">
        <w:trPr>
          <w:trHeight w:val="432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27D8F" w14:textId="4D86896F" w:rsidR="00893800" w:rsidRPr="00803641" w:rsidRDefault="001D3204" w:rsidP="00FD290E">
            <w:pPr>
              <w:tabs>
                <w:tab w:val="center" w:pos="4320"/>
                <w:tab w:val="right" w:pos="8640"/>
              </w:tabs>
              <w:rPr>
                <w:rFonts w:ascii="Arial" w:hAnsi="Arial" w:cs="Arial"/>
              </w:rPr>
            </w:pPr>
            <w:r w:rsidRPr="00803641">
              <w:rPr>
                <w:rFonts w:ascii="Arial" w:hAnsi="Arial" w:cs="Arial"/>
              </w:rPr>
              <w:t>ERCOT 052726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8FD1" w14:textId="2EA12E91" w:rsidR="00893800" w:rsidRPr="00803641" w:rsidRDefault="00803641" w:rsidP="00FD290E">
            <w:pPr>
              <w:spacing w:before="120" w:after="120"/>
              <w:rPr>
                <w:rFonts w:ascii="Arial" w:hAnsi="Arial" w:cs="Arial"/>
              </w:rPr>
            </w:pPr>
            <w:r w:rsidRPr="00803641">
              <w:rPr>
                <w:rFonts w:ascii="Arial" w:hAnsi="Arial" w:cs="Arial"/>
              </w:rPr>
              <w:t>Proposed an alternative schedule for the development of an Impact Analysis</w:t>
            </w:r>
          </w:p>
        </w:tc>
      </w:tr>
    </w:tbl>
    <w:p w14:paraId="4B137D95" w14:textId="77777777" w:rsidR="00893800" w:rsidRPr="00803641" w:rsidRDefault="00893800" w:rsidP="00893800">
      <w:pPr>
        <w:tabs>
          <w:tab w:val="num" w:pos="0"/>
        </w:tabs>
        <w:rPr>
          <w:rFonts w:ascii="Arial" w:hAnsi="Arial" w:cs="Arial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893800" w14:paraId="4A8ABF41" w14:textId="77777777" w:rsidTr="00FD290E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C5A654" w14:textId="77777777" w:rsidR="00893800" w:rsidRDefault="00893800" w:rsidP="00FD290E">
            <w:pPr>
              <w:pStyle w:val="Header"/>
              <w:jc w:val="center"/>
            </w:pPr>
            <w:r>
              <w:t>Market Rules Notes</w:t>
            </w:r>
          </w:p>
        </w:tc>
      </w:tr>
    </w:tbl>
    <w:p w14:paraId="6C9AA31D" w14:textId="47878DD4" w:rsidR="005A129B" w:rsidRPr="00D56D61" w:rsidRDefault="00893800" w:rsidP="000E49D9">
      <w:pPr>
        <w:tabs>
          <w:tab w:val="num" w:pos="0"/>
        </w:tabs>
        <w:spacing w:before="120" w:after="120"/>
        <w:rPr>
          <w:rFonts w:ascii="Arial" w:hAnsi="Arial" w:cs="Arial"/>
        </w:rPr>
      </w:pPr>
      <w:r w:rsidRPr="00376790">
        <w:rPr>
          <w:rFonts w:ascii="Arial" w:hAnsi="Arial" w:cs="Arial"/>
        </w:rP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A3772" w14:paraId="3A6020CF" w14:textId="77777777" w:rsidTr="00074A54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505F2E" w14:textId="77777777" w:rsidR="009A3772" w:rsidRDefault="009A3772" w:rsidP="003618DF">
            <w:pPr>
              <w:pStyle w:val="Header"/>
              <w:jc w:val="center"/>
            </w:pPr>
            <w:r>
              <w:t>Proposed</w:t>
            </w:r>
            <w:r w:rsidR="003618DF">
              <w:t xml:space="preserve"> Guide</w:t>
            </w:r>
            <w:r>
              <w:t xml:space="preserve"> Language Revision</w:t>
            </w:r>
          </w:p>
        </w:tc>
      </w:tr>
    </w:tbl>
    <w:p w14:paraId="332A38EF" w14:textId="77777777" w:rsidR="00CA6322" w:rsidRDefault="00CA6322" w:rsidP="00CA6322">
      <w:pPr>
        <w:spacing w:before="480" w:after="240"/>
        <w:outlineLvl w:val="3"/>
        <w:rPr>
          <w:b/>
        </w:rPr>
      </w:pPr>
      <w:bookmarkStart w:id="0" w:name="_Toc120878525"/>
      <w:bookmarkStart w:id="1" w:name="_Toc215038443"/>
      <w:r>
        <w:rPr>
          <w:b/>
        </w:rPr>
        <w:t>2.7.3.1</w:t>
      </w:r>
      <w:r>
        <w:rPr>
          <w:b/>
        </w:rPr>
        <w:tab/>
        <w:t xml:space="preserve">    Operational Guidelines</w:t>
      </w:r>
      <w:bookmarkEnd w:id="0"/>
      <w:bookmarkEnd w:id="1"/>
    </w:p>
    <w:p w14:paraId="75D6EBF5" w14:textId="77777777" w:rsidR="00CA6322" w:rsidRDefault="00CA6322" w:rsidP="00CA6322">
      <w:pPr>
        <w:spacing w:after="240"/>
        <w:ind w:left="720" w:hanging="720"/>
        <w:rPr>
          <w:iCs/>
          <w:szCs w:val="20"/>
          <w:lang w:eastAsia="x-none"/>
        </w:rPr>
      </w:pPr>
      <w:r>
        <w:rPr>
          <w:iCs/>
          <w:szCs w:val="20"/>
          <w:lang w:eastAsia="x-none"/>
        </w:rPr>
        <w:t>(1)</w:t>
      </w:r>
      <w:r>
        <w:rPr>
          <w:iCs/>
          <w:szCs w:val="20"/>
          <w:lang w:eastAsia="x-none"/>
        </w:rPr>
        <w:tab/>
      </w:r>
      <w:r>
        <w:rPr>
          <w:iCs/>
          <w:szCs w:val="20"/>
          <w:lang w:val="x-none" w:eastAsia="x-none"/>
        </w:rPr>
        <w:t xml:space="preserve">The following guidelines describe ideal </w:t>
      </w:r>
      <w:r>
        <w:rPr>
          <w:iCs/>
          <w:szCs w:val="20"/>
          <w:lang w:eastAsia="x-none"/>
        </w:rPr>
        <w:t xml:space="preserve">system </w:t>
      </w:r>
      <w:r>
        <w:rPr>
          <w:iCs/>
          <w:szCs w:val="20"/>
          <w:lang w:val="x-none" w:eastAsia="x-none"/>
        </w:rPr>
        <w:t xml:space="preserve">operational characteristics and </w:t>
      </w:r>
      <w:r>
        <w:rPr>
          <w:iCs/>
          <w:szCs w:val="20"/>
          <w:lang w:eastAsia="x-none"/>
        </w:rPr>
        <w:t xml:space="preserve">do </w:t>
      </w:r>
      <w:r>
        <w:rPr>
          <w:iCs/>
          <w:szCs w:val="20"/>
          <w:lang w:val="x-none" w:eastAsia="x-none"/>
        </w:rPr>
        <w:t xml:space="preserve">not </w:t>
      </w:r>
      <w:r>
        <w:rPr>
          <w:iCs/>
          <w:szCs w:val="20"/>
          <w:lang w:eastAsia="x-none"/>
        </w:rPr>
        <w:t xml:space="preserve">establish </w:t>
      </w:r>
      <w:r>
        <w:rPr>
          <w:iCs/>
          <w:szCs w:val="20"/>
          <w:lang w:val="x-none" w:eastAsia="x-none"/>
        </w:rPr>
        <w:t xml:space="preserve">requirements </w:t>
      </w:r>
      <w:r>
        <w:rPr>
          <w:iCs/>
          <w:szCs w:val="20"/>
          <w:lang w:eastAsia="x-none"/>
        </w:rPr>
        <w:t>for</w:t>
      </w:r>
      <w:r>
        <w:rPr>
          <w:iCs/>
          <w:szCs w:val="20"/>
          <w:lang w:val="x-none" w:eastAsia="x-none"/>
        </w:rPr>
        <w:t xml:space="preserve"> any </w:t>
      </w:r>
      <w:proofErr w:type="gramStart"/>
      <w:r>
        <w:rPr>
          <w:iCs/>
          <w:szCs w:val="20"/>
          <w:lang w:val="x-none" w:eastAsia="x-none"/>
        </w:rPr>
        <w:t>particular Entity</w:t>
      </w:r>
      <w:proofErr w:type="gramEnd"/>
      <w:r>
        <w:rPr>
          <w:iCs/>
          <w:szCs w:val="20"/>
          <w:lang w:val="x-none" w:eastAsia="x-none"/>
        </w:rPr>
        <w:t xml:space="preserve">:   </w:t>
      </w:r>
    </w:p>
    <w:p w14:paraId="51270C9D" w14:textId="77777777" w:rsidR="00CA6322" w:rsidRDefault="00CA6322" w:rsidP="00CA6322">
      <w:pPr>
        <w:spacing w:after="240"/>
        <w:ind w:left="1440" w:hanging="720"/>
        <w:rPr>
          <w:rFonts w:cs="Arial"/>
          <w:color w:val="000000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a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 xml:space="preserve">General operational voltage </w:t>
      </w:r>
      <w:r>
        <w:rPr>
          <w:iCs/>
          <w:szCs w:val="20"/>
          <w:lang w:eastAsia="x-none"/>
        </w:rPr>
        <w:t>limits</w:t>
      </w:r>
      <w:r>
        <w:rPr>
          <w:iCs/>
          <w:szCs w:val="20"/>
          <w:lang w:val="x-none" w:eastAsia="x-none"/>
        </w:rPr>
        <w:t xml:space="preserve"> are</w:t>
      </w:r>
      <w:r>
        <w:rPr>
          <w:rFonts w:cs="Arial"/>
          <w:color w:val="000000"/>
        </w:rPr>
        <w:t>:</w:t>
      </w:r>
    </w:p>
    <w:tbl>
      <w:tblPr>
        <w:tblW w:w="5376" w:type="dxa"/>
        <w:tblInd w:w="1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3"/>
        <w:gridCol w:w="2113"/>
        <w:gridCol w:w="1980"/>
      </w:tblGrid>
      <w:tr w:rsidR="00CA6322" w14:paraId="272D63F1" w14:textId="77777777" w:rsidTr="00074A54"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D18D" w14:textId="77777777" w:rsidR="00CA6322" w:rsidRDefault="00CA6322">
            <w:pPr>
              <w:pStyle w:val="TableText"/>
              <w:jc w:val="center"/>
            </w:pPr>
            <w:r>
              <w:t>Nominal Voltage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30B5A" w14:textId="77777777" w:rsidR="00CA6322" w:rsidRDefault="00CA6322">
            <w:pPr>
              <w:pStyle w:val="TableText"/>
              <w:jc w:val="center"/>
            </w:pPr>
            <w:r>
              <w:t>Normal Operating Limits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6293" w14:textId="77777777" w:rsidR="00CA6322" w:rsidRDefault="00CA6322">
            <w:pPr>
              <w:pStyle w:val="TableText"/>
              <w:jc w:val="center"/>
            </w:pPr>
            <w:r>
              <w:t>Emergency Operating Limits</w:t>
            </w:r>
          </w:p>
        </w:tc>
      </w:tr>
      <w:tr w:rsidR="001D4C5F" w14:paraId="4AB2D35B" w14:textId="77777777" w:rsidTr="00074A54">
        <w:trPr>
          <w:ins w:id="2" w:author="Joint Sponsors" w:date="2026-02-24T10:58:00Z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5C49" w14:textId="2D704062" w:rsidR="001D4C5F" w:rsidRDefault="001D4C5F" w:rsidP="001D4C5F">
            <w:pPr>
              <w:pStyle w:val="TableText"/>
              <w:jc w:val="center"/>
              <w:rPr>
                <w:ins w:id="3" w:author="Joint Sponsors" w:date="2026-02-24T10:58:00Z" w16du:dateUtc="2026-02-24T16:58:00Z"/>
              </w:rPr>
            </w:pPr>
            <w:ins w:id="4" w:author="Joint Sponsors" w:date="2026-02-24T10:58:00Z" w16du:dateUtc="2026-02-24T16:58:00Z">
              <w:r>
                <w:t>765</w:t>
              </w:r>
            </w:ins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2DF7" w14:textId="4662B057" w:rsidR="001D4C5F" w:rsidRDefault="001D4C5F" w:rsidP="001D4C5F">
            <w:pPr>
              <w:pStyle w:val="TableText"/>
              <w:jc w:val="center"/>
              <w:rPr>
                <w:ins w:id="5" w:author="Joint Sponsors" w:date="2026-02-24T10:58:00Z" w16du:dateUtc="2026-02-24T16:58:00Z"/>
              </w:rPr>
            </w:pPr>
            <w:ins w:id="6" w:author="Joint Sponsors" w:date="2026-02-24T10:58:00Z" w16du:dateUtc="2026-02-24T16:58:00Z">
              <w:r>
                <w:t>726.75 – 800</w:t>
              </w:r>
            </w:ins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4795" w14:textId="5313D10C" w:rsidR="001D4C5F" w:rsidRDefault="001D4C5F" w:rsidP="001D4C5F">
            <w:pPr>
              <w:pStyle w:val="TableText"/>
              <w:jc w:val="center"/>
              <w:rPr>
                <w:ins w:id="7" w:author="Joint Sponsors" w:date="2026-02-24T10:58:00Z" w16du:dateUtc="2026-02-24T16:58:00Z"/>
              </w:rPr>
            </w:pPr>
            <w:ins w:id="8" w:author="Joint Sponsors" w:date="2026-02-24T10:58:00Z" w16du:dateUtc="2026-02-24T16:58:00Z">
              <w:r>
                <w:t>688.5 – 800</w:t>
              </w:r>
            </w:ins>
          </w:p>
        </w:tc>
      </w:tr>
      <w:tr w:rsidR="001D4C5F" w14:paraId="32663A8F" w14:textId="77777777" w:rsidTr="00074A54"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D36B" w14:textId="77777777" w:rsidR="001D4C5F" w:rsidRDefault="001D4C5F" w:rsidP="001D4C5F">
            <w:pPr>
              <w:pStyle w:val="TableText"/>
              <w:jc w:val="center"/>
            </w:pPr>
            <w:r>
              <w:t>345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728E" w14:textId="77777777" w:rsidR="001D4C5F" w:rsidRDefault="001D4C5F" w:rsidP="001D4C5F">
            <w:pPr>
              <w:pStyle w:val="TableText"/>
              <w:jc w:val="center"/>
            </w:pPr>
            <w:r>
              <w:t>327.75 – 362.25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A4C1" w14:textId="77777777" w:rsidR="001D4C5F" w:rsidRDefault="001D4C5F" w:rsidP="001D4C5F">
            <w:pPr>
              <w:pStyle w:val="TableText"/>
              <w:jc w:val="center"/>
            </w:pPr>
            <w:r>
              <w:t>310.5 – 379.5</w:t>
            </w:r>
          </w:p>
        </w:tc>
      </w:tr>
      <w:tr w:rsidR="001D4C5F" w14:paraId="33546B4B" w14:textId="77777777" w:rsidTr="00074A54">
        <w:trPr>
          <w:trHeight w:val="70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4D81" w14:textId="77777777" w:rsidR="001D4C5F" w:rsidRDefault="001D4C5F" w:rsidP="001D4C5F">
            <w:pPr>
              <w:pStyle w:val="TableText"/>
              <w:jc w:val="center"/>
            </w:pPr>
            <w:r>
              <w:t>230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0143" w14:textId="77777777" w:rsidR="001D4C5F" w:rsidRDefault="001D4C5F" w:rsidP="001D4C5F">
            <w:pPr>
              <w:pStyle w:val="TableText"/>
              <w:jc w:val="center"/>
            </w:pPr>
            <w:r>
              <w:t>218.5 – 241.5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85867" w14:textId="77777777" w:rsidR="001D4C5F" w:rsidRDefault="001D4C5F" w:rsidP="001D4C5F">
            <w:pPr>
              <w:pStyle w:val="TableText"/>
              <w:jc w:val="center"/>
            </w:pPr>
            <w:r>
              <w:t>207 – 253</w:t>
            </w:r>
          </w:p>
        </w:tc>
      </w:tr>
      <w:tr w:rsidR="001D4C5F" w14:paraId="6E1719A9" w14:textId="77777777" w:rsidTr="00074A54">
        <w:trPr>
          <w:trHeight w:val="70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EA19" w14:textId="77777777" w:rsidR="001D4C5F" w:rsidRDefault="001D4C5F" w:rsidP="001D4C5F">
            <w:pPr>
              <w:pStyle w:val="TableText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905A" w14:textId="77777777" w:rsidR="001D4C5F" w:rsidRDefault="001D4C5F" w:rsidP="001D4C5F">
            <w:pPr>
              <w:pStyle w:val="TableText"/>
              <w:jc w:val="center"/>
            </w:pPr>
            <w:r>
              <w:t>131.1 – 144.9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FD3A4" w14:textId="77777777" w:rsidR="001D4C5F" w:rsidRDefault="001D4C5F" w:rsidP="001D4C5F">
            <w:pPr>
              <w:pStyle w:val="TableText"/>
              <w:jc w:val="center"/>
            </w:pPr>
            <w:r>
              <w:t>124.2 – 151.8</w:t>
            </w:r>
          </w:p>
        </w:tc>
      </w:tr>
      <w:tr w:rsidR="001D4C5F" w14:paraId="653DEAE2" w14:textId="77777777" w:rsidTr="00074A54">
        <w:trPr>
          <w:trHeight w:val="70"/>
        </w:trPr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0557E" w14:textId="77777777" w:rsidR="001D4C5F" w:rsidRDefault="001D4C5F" w:rsidP="001D4C5F">
            <w:pPr>
              <w:pStyle w:val="TableText"/>
              <w:jc w:val="center"/>
            </w:pPr>
            <w:r>
              <w:t>115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883B" w14:textId="77777777" w:rsidR="001D4C5F" w:rsidRDefault="001D4C5F" w:rsidP="001D4C5F">
            <w:pPr>
              <w:pStyle w:val="TableText"/>
              <w:jc w:val="center"/>
            </w:pPr>
            <w:r>
              <w:t>109.25 – 120.75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27E2" w14:textId="77777777" w:rsidR="001D4C5F" w:rsidRDefault="001D4C5F" w:rsidP="001D4C5F">
            <w:pPr>
              <w:pStyle w:val="TableText"/>
              <w:jc w:val="center"/>
            </w:pPr>
            <w:r>
              <w:t>103.5 – 126.5</w:t>
            </w:r>
          </w:p>
        </w:tc>
      </w:tr>
      <w:tr w:rsidR="001D4C5F" w14:paraId="5B62B990" w14:textId="77777777" w:rsidTr="00074A54"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BB84" w14:textId="77777777" w:rsidR="001D4C5F" w:rsidRDefault="001D4C5F" w:rsidP="001D4C5F">
            <w:pPr>
              <w:pStyle w:val="TableText"/>
              <w:jc w:val="center"/>
            </w:pPr>
            <w:r>
              <w:t>69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8182" w14:textId="77777777" w:rsidR="001D4C5F" w:rsidRDefault="001D4C5F" w:rsidP="001D4C5F">
            <w:pPr>
              <w:pStyle w:val="TableText"/>
              <w:jc w:val="center"/>
            </w:pPr>
            <w:r>
              <w:t>65.55 – 72.45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27CC" w14:textId="77777777" w:rsidR="001D4C5F" w:rsidRDefault="001D4C5F" w:rsidP="001D4C5F">
            <w:pPr>
              <w:pStyle w:val="TableText"/>
              <w:jc w:val="center"/>
            </w:pPr>
            <w:r>
              <w:t>62.1 – 75.9</w:t>
            </w:r>
          </w:p>
        </w:tc>
      </w:tr>
    </w:tbl>
    <w:p w14:paraId="7575BE33" w14:textId="0A1294C9" w:rsidR="00CA6322" w:rsidRDefault="00CA6322" w:rsidP="00CA6322">
      <w:pPr>
        <w:spacing w:before="240"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lastRenderedPageBreak/>
        <w:t>(</w:t>
      </w:r>
      <w:r>
        <w:rPr>
          <w:iCs/>
          <w:szCs w:val="20"/>
          <w:lang w:eastAsia="x-none"/>
        </w:rPr>
        <w:t>b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</w:r>
      <w:r>
        <w:rPr>
          <w:iCs/>
          <w:szCs w:val="20"/>
          <w:lang w:eastAsia="x-none"/>
        </w:rPr>
        <w:t>Except for Transmission Facilities that are designed to operate outside of normal operating limits, t</w:t>
      </w:r>
      <w:proofErr w:type="spellStart"/>
      <w:r>
        <w:rPr>
          <w:iCs/>
          <w:szCs w:val="20"/>
          <w:lang w:val="x-none" w:eastAsia="x-none"/>
        </w:rPr>
        <w:t>ransmission</w:t>
      </w:r>
      <w:proofErr w:type="spellEnd"/>
      <w:r>
        <w:rPr>
          <w:iCs/>
          <w:szCs w:val="20"/>
          <w:lang w:val="x-none" w:eastAsia="x-none"/>
        </w:rPr>
        <w:t xml:space="preserve"> voltage should not exceed 105% nor fall below 95% of the nominal voltage during normal operation of the system.</w:t>
      </w:r>
    </w:p>
    <w:p w14:paraId="410E9227" w14:textId="77777777" w:rsidR="00CA6322" w:rsidRDefault="00CA6322" w:rsidP="00CA6322">
      <w:pPr>
        <w:spacing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c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>Transmission voltage during emergencies (including contingency events) should not exceed equipment over</w:t>
      </w:r>
      <w:r>
        <w:rPr>
          <w:iCs/>
          <w:szCs w:val="20"/>
          <w:lang w:eastAsia="x-none"/>
        </w:rPr>
        <w:t>-</w:t>
      </w:r>
      <w:r>
        <w:rPr>
          <w:iCs/>
          <w:szCs w:val="20"/>
          <w:lang w:val="x-none" w:eastAsia="x-none"/>
        </w:rPr>
        <w:t>excitation ratings.</w:t>
      </w:r>
    </w:p>
    <w:p w14:paraId="6709C419" w14:textId="77777777" w:rsidR="00CA6322" w:rsidRDefault="00CA6322" w:rsidP="00CA6322">
      <w:pPr>
        <w:spacing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d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>Transmission voltage during emergencies (including contingency events) should not result in customer voltage exceeding or falling below prescribed limits at distribution substations on the transmission system.</w:t>
      </w:r>
    </w:p>
    <w:p w14:paraId="7CB4DC6E" w14:textId="77777777" w:rsidR="00CA6322" w:rsidRDefault="00CA6322" w:rsidP="00CA6322">
      <w:pPr>
        <w:spacing w:after="240"/>
        <w:ind w:left="1440" w:hanging="720"/>
        <w:rPr>
          <w:rFonts w:cs="Arial"/>
          <w:color w:val="000000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e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 xml:space="preserve">Transmission voltage post contingency should </w:t>
      </w:r>
      <w:r>
        <w:rPr>
          <w:iCs/>
          <w:szCs w:val="20"/>
          <w:lang w:eastAsia="x-none"/>
        </w:rPr>
        <w:t>not exceed 110% nor</w:t>
      </w:r>
      <w:r>
        <w:rPr>
          <w:iCs/>
          <w:szCs w:val="20"/>
          <w:lang w:val="x-none" w:eastAsia="x-none"/>
        </w:rPr>
        <w:t xml:space="preserve"> fall below 90% of the per-unit voltage</w:t>
      </w:r>
      <w:r>
        <w:rPr>
          <w:iCs/>
          <w:szCs w:val="20"/>
          <w:lang w:eastAsia="x-none"/>
        </w:rPr>
        <w:t>, unless more restrictive limits have been specified by the TSP for their system, then those limits shall not be exceeded</w:t>
      </w:r>
      <w:r>
        <w:rPr>
          <w:iCs/>
          <w:szCs w:val="20"/>
          <w:lang w:val="x-none" w:eastAsia="x-none"/>
        </w:rPr>
        <w:t>.</w:t>
      </w:r>
      <w:r>
        <w:rPr>
          <w:rFonts w:cs="Arial"/>
          <w:color w:val="000000"/>
          <w:lang w:val="x-none"/>
        </w:rPr>
        <w:t xml:space="preserve"> </w:t>
      </w:r>
    </w:p>
    <w:p w14:paraId="417950A3" w14:textId="77777777" w:rsidR="00CA6322" w:rsidRDefault="00CA6322" w:rsidP="00CA6322">
      <w:pPr>
        <w:spacing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f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>Transmission voltage post contingency should not fall below any Under</w:t>
      </w:r>
      <w:r>
        <w:rPr>
          <w:iCs/>
          <w:szCs w:val="20"/>
          <w:lang w:eastAsia="x-none"/>
        </w:rPr>
        <w:t>-</w:t>
      </w:r>
      <w:r>
        <w:rPr>
          <w:iCs/>
          <w:szCs w:val="20"/>
          <w:lang w:val="x-none" w:eastAsia="x-none"/>
        </w:rPr>
        <w:t>Voltage Load Shedding (UVLS) set point during normal operations.</w:t>
      </w:r>
    </w:p>
    <w:p w14:paraId="66174D9C" w14:textId="77777777" w:rsidR="00CA6322" w:rsidRDefault="00CA6322" w:rsidP="00CA6322">
      <w:pPr>
        <w:spacing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g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</w:r>
      <w:r>
        <w:rPr>
          <w:iCs/>
          <w:szCs w:val="20"/>
          <w:lang w:eastAsia="x-none"/>
        </w:rPr>
        <w:t>The accuracy of a</w:t>
      </w:r>
      <w:proofErr w:type="spellStart"/>
      <w:r>
        <w:rPr>
          <w:iCs/>
          <w:szCs w:val="20"/>
          <w:lang w:val="x-none" w:eastAsia="x-none"/>
        </w:rPr>
        <w:t>ny</w:t>
      </w:r>
      <w:proofErr w:type="spellEnd"/>
      <w:r>
        <w:rPr>
          <w:iCs/>
          <w:szCs w:val="20"/>
          <w:lang w:val="x-none" w:eastAsia="x-none"/>
        </w:rPr>
        <w:t xml:space="preserve"> </w:t>
      </w:r>
      <w:r>
        <w:rPr>
          <w:iCs/>
          <w:szCs w:val="20"/>
          <w:lang w:eastAsia="x-none"/>
        </w:rPr>
        <w:t>t</w:t>
      </w:r>
      <w:proofErr w:type="spellStart"/>
      <w:r>
        <w:rPr>
          <w:iCs/>
          <w:szCs w:val="20"/>
          <w:lang w:val="x-none" w:eastAsia="x-none"/>
        </w:rPr>
        <w:t>ransmission</w:t>
      </w:r>
      <w:proofErr w:type="spellEnd"/>
      <w:r>
        <w:rPr>
          <w:iCs/>
          <w:szCs w:val="20"/>
          <w:lang w:val="x-none" w:eastAsia="x-none"/>
        </w:rPr>
        <w:t xml:space="preserve"> voltage that </w:t>
      </w:r>
      <w:r>
        <w:rPr>
          <w:iCs/>
          <w:szCs w:val="20"/>
          <w:lang w:eastAsia="x-none"/>
        </w:rPr>
        <w:t xml:space="preserve">appears to </w:t>
      </w:r>
      <w:r>
        <w:rPr>
          <w:iCs/>
          <w:szCs w:val="20"/>
          <w:lang w:val="x-none" w:eastAsia="x-none"/>
        </w:rPr>
        <w:t xml:space="preserve">exceed normal or emergency limits should be verified prior to taking </w:t>
      </w:r>
      <w:r>
        <w:rPr>
          <w:iCs/>
          <w:szCs w:val="20"/>
          <w:lang w:eastAsia="x-none"/>
        </w:rPr>
        <w:t xml:space="preserve">further </w:t>
      </w:r>
      <w:r>
        <w:rPr>
          <w:iCs/>
          <w:szCs w:val="20"/>
          <w:lang w:val="x-none" w:eastAsia="x-none"/>
        </w:rPr>
        <w:t>actions.</w:t>
      </w:r>
    </w:p>
    <w:p w14:paraId="2709560E" w14:textId="77777777" w:rsidR="00CA6322" w:rsidRDefault="00CA6322" w:rsidP="00CA6322">
      <w:pPr>
        <w:spacing w:after="240"/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r>
        <w:rPr>
          <w:iCs/>
          <w:szCs w:val="20"/>
          <w:lang w:eastAsia="x-none"/>
        </w:rPr>
        <w:t>h</w:t>
      </w:r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  <w:t xml:space="preserve">Major transmission lines </w:t>
      </w:r>
      <w:r>
        <w:rPr>
          <w:iCs/>
          <w:szCs w:val="20"/>
          <w:lang w:eastAsia="x-none"/>
        </w:rPr>
        <w:t>should</w:t>
      </w:r>
      <w:r>
        <w:rPr>
          <w:iCs/>
          <w:szCs w:val="20"/>
          <w:lang w:val="x-none" w:eastAsia="x-none"/>
        </w:rPr>
        <w:t xml:space="preserve"> be kept in service during light Load as much as possible.  Lines should only be removed after all applicable reactive controls are implemented </w:t>
      </w:r>
      <w:r>
        <w:rPr>
          <w:iCs/>
          <w:szCs w:val="20"/>
          <w:lang w:eastAsia="x-none"/>
        </w:rPr>
        <w:t>and the practicality of additional generation Dispatch has been considered</w:t>
      </w:r>
      <w:r>
        <w:rPr>
          <w:iCs/>
          <w:szCs w:val="20"/>
          <w:lang w:val="x-none" w:eastAsia="x-none"/>
        </w:rPr>
        <w:t>.  Time permitting, studies should be conducted to verify that reliability will not be degraded</w:t>
      </w:r>
      <w:r>
        <w:rPr>
          <w:iCs/>
          <w:szCs w:val="20"/>
          <w:lang w:eastAsia="x-none"/>
        </w:rPr>
        <w:t xml:space="preserve"> by removing any major transmission line from service</w:t>
      </w:r>
      <w:r>
        <w:rPr>
          <w:iCs/>
          <w:szCs w:val="20"/>
          <w:lang w:val="x-none" w:eastAsia="x-none"/>
        </w:rPr>
        <w:t xml:space="preserve">. </w:t>
      </w:r>
    </w:p>
    <w:p w14:paraId="2C371EA5" w14:textId="77777777" w:rsidR="00CA6322" w:rsidRDefault="00CA6322" w:rsidP="00CA6322">
      <w:pPr>
        <w:ind w:left="1440" w:hanging="720"/>
        <w:rPr>
          <w:iCs/>
          <w:szCs w:val="20"/>
          <w:lang w:val="x-none" w:eastAsia="x-none"/>
        </w:rPr>
      </w:pPr>
      <w:r>
        <w:rPr>
          <w:iCs/>
          <w:szCs w:val="20"/>
          <w:lang w:val="x-none" w:eastAsia="x-none"/>
        </w:rPr>
        <w:t>(</w:t>
      </w:r>
      <w:proofErr w:type="spellStart"/>
      <w:r>
        <w:rPr>
          <w:iCs/>
          <w:szCs w:val="20"/>
          <w:lang w:eastAsia="x-none"/>
        </w:rPr>
        <w:t>i</w:t>
      </w:r>
      <w:proofErr w:type="spellEnd"/>
      <w:r>
        <w:rPr>
          <w:iCs/>
          <w:szCs w:val="20"/>
          <w:lang w:val="x-none" w:eastAsia="x-none"/>
        </w:rPr>
        <w:t>)</w:t>
      </w:r>
      <w:r>
        <w:rPr>
          <w:iCs/>
          <w:szCs w:val="20"/>
          <w:lang w:val="x-none" w:eastAsia="x-none"/>
        </w:rPr>
        <w:tab/>
      </w:r>
      <w:r>
        <w:rPr>
          <w:iCs/>
          <w:szCs w:val="20"/>
          <w:lang w:eastAsia="x-none"/>
        </w:rPr>
        <w:t>Generally speaking, s</w:t>
      </w:r>
      <w:proofErr w:type="spellStart"/>
      <w:r>
        <w:rPr>
          <w:iCs/>
          <w:szCs w:val="20"/>
          <w:lang w:val="x-none" w:eastAsia="x-none"/>
        </w:rPr>
        <w:t>tatic</w:t>
      </w:r>
      <w:proofErr w:type="spellEnd"/>
      <w:r>
        <w:rPr>
          <w:iCs/>
          <w:szCs w:val="20"/>
          <w:lang w:val="x-none" w:eastAsia="x-none"/>
        </w:rPr>
        <w:t xml:space="preserve"> reactive devices </w:t>
      </w:r>
      <w:r>
        <w:rPr>
          <w:iCs/>
          <w:szCs w:val="20"/>
          <w:lang w:eastAsia="x-none"/>
        </w:rPr>
        <w:t>should</w:t>
      </w:r>
      <w:r>
        <w:rPr>
          <w:iCs/>
          <w:szCs w:val="20"/>
          <w:lang w:val="x-none" w:eastAsia="x-none"/>
        </w:rPr>
        <w:t xml:space="preserve"> be brought On-Line before predicted daily maximum Load or </w:t>
      </w:r>
      <w:r>
        <w:rPr>
          <w:iCs/>
          <w:szCs w:val="20"/>
          <w:lang w:eastAsia="x-none"/>
        </w:rPr>
        <w:t xml:space="preserve">before </w:t>
      </w:r>
      <w:r>
        <w:rPr>
          <w:iCs/>
          <w:szCs w:val="20"/>
          <w:lang w:val="x-none" w:eastAsia="x-none"/>
        </w:rPr>
        <w:t>dynamic reactive Resources reach operating limits.  Static reactive devices will be taken Off-Line during daily Load decline and before dynamic reactive Resources reach operating limits.</w:t>
      </w:r>
    </w:p>
    <w:p w14:paraId="487F73BB" w14:textId="61A8D7ED" w:rsidR="001101AC" w:rsidRDefault="001101AC" w:rsidP="00CA6322">
      <w:pPr>
        <w:ind w:left="1440" w:hanging="720"/>
        <w:rPr>
          <w:iCs/>
          <w:szCs w:val="20"/>
          <w:lang w:val="x-none" w:eastAsia="x-none"/>
        </w:rPr>
      </w:pPr>
    </w:p>
    <w:p w14:paraId="3A0DDF26" w14:textId="77777777" w:rsidR="009A3772" w:rsidRPr="00BA2009" w:rsidRDefault="009A3772" w:rsidP="00BC2D06"/>
    <w:sectPr w:rsidR="009A3772" w:rsidRPr="00BA2009" w:rsidSect="00A336D2">
      <w:headerReference w:type="default" r:id="rId26"/>
      <w:footerReference w:type="even" r:id="rId27"/>
      <w:footerReference w:type="default" r:id="rId28"/>
      <w:footerReference w:type="first" r:id="rId2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AF888" w14:textId="77777777" w:rsidR="00E43D5B" w:rsidRDefault="00E43D5B">
      <w:r>
        <w:separator/>
      </w:r>
    </w:p>
  </w:endnote>
  <w:endnote w:type="continuationSeparator" w:id="0">
    <w:p w14:paraId="2D7603F3" w14:textId="77777777" w:rsidR="00E43D5B" w:rsidRDefault="00E43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88C75" w14:textId="77777777" w:rsidR="00D176CF" w:rsidRPr="00412DCA" w:rsidRDefault="00D176CF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 w:rsidR="00386C35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13B6" w14:textId="3D2DD2BE" w:rsidR="00D176CF" w:rsidRDefault="008657E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28</w:t>
    </w:r>
    <w:r w:rsidR="0094132C">
      <w:rPr>
        <w:rFonts w:ascii="Arial" w:hAnsi="Arial" w:cs="Arial"/>
        <w:sz w:val="18"/>
      </w:rPr>
      <w:t>6</w:t>
    </w:r>
    <w:r w:rsidR="00C42348">
      <w:rPr>
        <w:rFonts w:ascii="Arial" w:hAnsi="Arial" w:cs="Arial"/>
        <w:sz w:val="18"/>
      </w:rPr>
      <w:t>NOGRR-</w:t>
    </w:r>
    <w:r w:rsidR="005E348E">
      <w:rPr>
        <w:rFonts w:ascii="Arial" w:hAnsi="Arial" w:cs="Arial"/>
        <w:sz w:val="18"/>
      </w:rPr>
      <w:t>1</w:t>
    </w:r>
    <w:r w:rsidR="007E6FE2">
      <w:rPr>
        <w:rFonts w:ascii="Arial" w:hAnsi="Arial" w:cs="Arial"/>
        <w:sz w:val="18"/>
      </w:rPr>
      <w:t>4</w:t>
    </w:r>
    <w:r w:rsidR="00C42348">
      <w:rPr>
        <w:rFonts w:ascii="Arial" w:hAnsi="Arial" w:cs="Arial"/>
        <w:sz w:val="18"/>
      </w:rPr>
      <w:t xml:space="preserve"> </w:t>
    </w:r>
    <w:r w:rsidR="007E6FE2">
      <w:rPr>
        <w:rFonts w:ascii="Arial" w:hAnsi="Arial" w:cs="Arial"/>
        <w:sz w:val="18"/>
      </w:rPr>
      <w:t>Board</w:t>
    </w:r>
    <w:r w:rsidR="00B42548">
      <w:rPr>
        <w:rFonts w:ascii="Arial" w:hAnsi="Arial" w:cs="Arial"/>
        <w:sz w:val="18"/>
      </w:rPr>
      <w:t xml:space="preserve"> Report</w:t>
    </w:r>
    <w:r w:rsidR="00696B1A">
      <w:rPr>
        <w:rFonts w:ascii="Arial" w:hAnsi="Arial" w:cs="Arial"/>
        <w:sz w:val="18"/>
      </w:rPr>
      <w:t xml:space="preserve"> 0</w:t>
    </w:r>
    <w:r w:rsidR="007E6FE2">
      <w:rPr>
        <w:rFonts w:ascii="Arial" w:hAnsi="Arial" w:cs="Arial"/>
        <w:sz w:val="18"/>
      </w:rPr>
      <w:t>915</w:t>
    </w:r>
    <w:r w:rsidR="00696B1A">
      <w:rPr>
        <w:rFonts w:ascii="Arial" w:hAnsi="Arial" w:cs="Arial"/>
        <w:sz w:val="18"/>
      </w:rPr>
      <w:t>26</w:t>
    </w:r>
    <w:r w:rsidR="00D176CF">
      <w:rPr>
        <w:rFonts w:ascii="Arial" w:hAnsi="Arial" w:cs="Arial"/>
        <w:sz w:val="18"/>
      </w:rPr>
      <w:tab/>
      <w:t>Pa</w:t>
    </w:r>
    <w:r w:rsidR="00D176CF" w:rsidRPr="00412DCA">
      <w:rPr>
        <w:rFonts w:ascii="Arial" w:hAnsi="Arial" w:cs="Arial"/>
        <w:sz w:val="18"/>
      </w:rPr>
      <w:t xml:space="preserve">ge </w:t>
    </w:r>
    <w:r w:rsidR="00D176CF" w:rsidRPr="00412DCA">
      <w:rPr>
        <w:rFonts w:ascii="Arial" w:hAnsi="Arial" w:cs="Arial"/>
        <w:sz w:val="18"/>
      </w:rPr>
      <w:fldChar w:fldCharType="begin"/>
    </w:r>
    <w:r w:rsidR="00D176CF" w:rsidRPr="00412DCA">
      <w:rPr>
        <w:rFonts w:ascii="Arial" w:hAnsi="Arial" w:cs="Arial"/>
        <w:sz w:val="18"/>
      </w:rPr>
      <w:instrText xml:space="preserve"> PAGE </w:instrText>
    </w:r>
    <w:r w:rsidR="00D176CF" w:rsidRPr="00412DCA">
      <w:rPr>
        <w:rFonts w:ascii="Arial" w:hAnsi="Arial" w:cs="Arial"/>
        <w:sz w:val="18"/>
      </w:rPr>
      <w:fldChar w:fldCharType="separate"/>
    </w:r>
    <w:r w:rsidR="00446B8D">
      <w:rPr>
        <w:rFonts w:ascii="Arial" w:hAnsi="Arial" w:cs="Arial"/>
        <w:noProof/>
        <w:sz w:val="18"/>
      </w:rPr>
      <w:t>1</w:t>
    </w:r>
    <w:r w:rsidR="00D176CF" w:rsidRPr="00412DCA">
      <w:rPr>
        <w:rFonts w:ascii="Arial" w:hAnsi="Arial" w:cs="Arial"/>
        <w:sz w:val="18"/>
      </w:rPr>
      <w:fldChar w:fldCharType="end"/>
    </w:r>
    <w:r w:rsidR="00D176CF" w:rsidRPr="00412DCA">
      <w:rPr>
        <w:rFonts w:ascii="Arial" w:hAnsi="Arial" w:cs="Arial"/>
        <w:sz w:val="18"/>
      </w:rPr>
      <w:t xml:space="preserve"> of </w:t>
    </w:r>
    <w:r w:rsidR="00D176CF" w:rsidRPr="00412DCA">
      <w:rPr>
        <w:rFonts w:ascii="Arial" w:hAnsi="Arial" w:cs="Arial"/>
        <w:sz w:val="18"/>
      </w:rPr>
      <w:fldChar w:fldCharType="begin"/>
    </w:r>
    <w:r w:rsidR="00D176CF" w:rsidRPr="00412DCA">
      <w:rPr>
        <w:rFonts w:ascii="Arial" w:hAnsi="Arial" w:cs="Arial"/>
        <w:sz w:val="18"/>
      </w:rPr>
      <w:instrText xml:space="preserve"> NUMPAGES </w:instrText>
    </w:r>
    <w:r w:rsidR="00D176CF" w:rsidRPr="00412DCA">
      <w:rPr>
        <w:rFonts w:ascii="Arial" w:hAnsi="Arial" w:cs="Arial"/>
        <w:sz w:val="18"/>
      </w:rPr>
      <w:fldChar w:fldCharType="separate"/>
    </w:r>
    <w:r w:rsidR="00446B8D">
      <w:rPr>
        <w:rFonts w:ascii="Arial" w:hAnsi="Arial" w:cs="Arial"/>
        <w:noProof/>
        <w:sz w:val="18"/>
      </w:rPr>
      <w:t>2</w:t>
    </w:r>
    <w:r w:rsidR="00D176CF" w:rsidRPr="00412DCA">
      <w:rPr>
        <w:rFonts w:ascii="Arial" w:hAnsi="Arial" w:cs="Arial"/>
        <w:sz w:val="18"/>
      </w:rPr>
      <w:fldChar w:fldCharType="end"/>
    </w:r>
  </w:p>
  <w:p w14:paraId="22DFEB03" w14:textId="6646933C" w:rsidR="00D176CF" w:rsidRPr="00412DCA" w:rsidRDefault="00D176CF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9B04" w14:textId="77777777" w:rsidR="00D176CF" w:rsidRPr="00412DCA" w:rsidRDefault="00D176CF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 w:cs="Arial"/>
        <w:sz w:val="18"/>
      </w:rPr>
    </w:pPr>
    <w:r w:rsidRPr="00412DCA">
      <w:rPr>
        <w:rFonts w:ascii="Arial" w:hAnsi="Arial" w:cs="Arial"/>
        <w:sz w:val="18"/>
      </w:rPr>
      <w:fldChar w:fldCharType="begin" w:fldLock="1"/>
    </w:r>
    <w:r w:rsidRPr="00412DCA">
      <w:rPr>
        <w:rFonts w:ascii="Arial" w:hAnsi="Arial" w:cs="Arial"/>
        <w:sz w:val="18"/>
      </w:rPr>
      <w:instrText xml:space="preserve"> FILENAME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PRR_Template.doc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ab/>
      <w:t xml:space="preserve">Page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PAGE </w:instrText>
    </w:r>
    <w:r w:rsidRPr="00412DCA">
      <w:rPr>
        <w:rFonts w:ascii="Arial" w:hAnsi="Arial" w:cs="Arial"/>
        <w:sz w:val="18"/>
      </w:rPr>
      <w:fldChar w:fldCharType="separate"/>
    </w:r>
    <w:r w:rsidRPr="00412DCA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  <w:r w:rsidRPr="00412DCA">
      <w:rPr>
        <w:rFonts w:ascii="Arial" w:hAnsi="Arial" w:cs="Arial"/>
        <w:sz w:val="18"/>
      </w:rPr>
      <w:t xml:space="preserve"> of </w:t>
    </w:r>
    <w:r w:rsidRPr="00412DCA">
      <w:rPr>
        <w:rFonts w:ascii="Arial" w:hAnsi="Arial" w:cs="Arial"/>
        <w:sz w:val="18"/>
      </w:rPr>
      <w:fldChar w:fldCharType="begin"/>
    </w:r>
    <w:r w:rsidRPr="00412DCA">
      <w:rPr>
        <w:rFonts w:ascii="Arial" w:hAnsi="Arial" w:cs="Arial"/>
        <w:sz w:val="18"/>
      </w:rPr>
      <w:instrText xml:space="preserve"> NUMPAGES </w:instrText>
    </w:r>
    <w:r w:rsidRPr="00412DCA">
      <w:rPr>
        <w:rFonts w:ascii="Arial" w:hAnsi="Arial" w:cs="Arial"/>
        <w:sz w:val="18"/>
      </w:rPr>
      <w:fldChar w:fldCharType="separate"/>
    </w:r>
    <w:r w:rsidR="00386C35">
      <w:rPr>
        <w:rFonts w:ascii="Arial" w:hAnsi="Arial" w:cs="Arial"/>
        <w:noProof/>
        <w:sz w:val="18"/>
      </w:rPr>
      <w:t>2</w:t>
    </w:r>
    <w:r w:rsidRPr="00412DCA">
      <w:rPr>
        <w:rFonts w:ascii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A5E0" w14:textId="77777777" w:rsidR="00E43D5B" w:rsidRDefault="00E43D5B">
      <w:r>
        <w:separator/>
      </w:r>
    </w:p>
  </w:footnote>
  <w:footnote w:type="continuationSeparator" w:id="0">
    <w:p w14:paraId="33C75543" w14:textId="77777777" w:rsidR="00E43D5B" w:rsidRDefault="00E43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70C3" w14:textId="50CD73B7" w:rsidR="00D176CF" w:rsidRDefault="007E6FE2" w:rsidP="00816950">
    <w:pPr>
      <w:pStyle w:val="Header"/>
      <w:jc w:val="center"/>
      <w:rPr>
        <w:sz w:val="32"/>
      </w:rPr>
    </w:pPr>
    <w:r>
      <w:rPr>
        <w:sz w:val="32"/>
      </w:rPr>
      <w:t>Board</w:t>
    </w:r>
    <w:r w:rsidR="00893800">
      <w:rPr>
        <w:sz w:val="32"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5" type="#_x0000_t75" style="width:15.6pt;height:15pt;visibility:visible;mso-wrap-style:square" o:bullet="t">
        <v:imagedata r:id="rId1" o:title=""/>
      </v:shape>
    </w:pict>
  </w:numPicBullet>
  <w:abstractNum w:abstractNumId="0" w15:restartNumberingAfterBreak="0">
    <w:nsid w:val="00000004"/>
    <w:multiLevelType w:val="multilevel"/>
    <w:tmpl w:val="BC5A541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18"/>
    <w:multiLevelType w:val="singleLevel"/>
    <w:tmpl w:val="DFB241A2"/>
    <w:lvl w:ilvl="0">
      <w:start w:val="1"/>
      <w:numFmt w:val="bullet"/>
      <w:pStyle w:val="BulletInde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6F434C"/>
    <w:multiLevelType w:val="hybridMultilevel"/>
    <w:tmpl w:val="EF46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F51AB"/>
    <w:multiLevelType w:val="hybridMultilevel"/>
    <w:tmpl w:val="C41A9A32"/>
    <w:lvl w:ilvl="0" w:tplc="CDF0F1EA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4546E"/>
    <w:multiLevelType w:val="hybridMultilevel"/>
    <w:tmpl w:val="95B24F24"/>
    <w:lvl w:ilvl="0" w:tplc="FBBAB3DA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02E81"/>
    <w:multiLevelType w:val="hybridMultilevel"/>
    <w:tmpl w:val="AFBC2F2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6510064"/>
    <w:multiLevelType w:val="multilevel"/>
    <w:tmpl w:val="78CEE07A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6CF6858"/>
    <w:multiLevelType w:val="hybridMultilevel"/>
    <w:tmpl w:val="84063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A329B3"/>
    <w:multiLevelType w:val="hybridMultilevel"/>
    <w:tmpl w:val="3EB282C8"/>
    <w:lvl w:ilvl="0" w:tplc="708C4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7125694A"/>
    <w:multiLevelType w:val="hybridMultilevel"/>
    <w:tmpl w:val="7BA25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60C90"/>
    <w:multiLevelType w:val="hybridMultilevel"/>
    <w:tmpl w:val="246208DE"/>
    <w:lvl w:ilvl="0" w:tplc="9434FC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B331525"/>
    <w:multiLevelType w:val="singleLevel"/>
    <w:tmpl w:val="0AB409B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0030338">
    <w:abstractNumId w:val="0"/>
  </w:num>
  <w:num w:numId="2" w16cid:durableId="878709756">
    <w:abstractNumId w:val="10"/>
  </w:num>
  <w:num w:numId="3" w16cid:durableId="765731531">
    <w:abstractNumId w:val="11"/>
  </w:num>
  <w:num w:numId="4" w16cid:durableId="1963613086">
    <w:abstractNumId w:val="1"/>
  </w:num>
  <w:num w:numId="5" w16cid:durableId="1279675509">
    <w:abstractNumId w:val="6"/>
  </w:num>
  <w:num w:numId="6" w16cid:durableId="1200241118">
    <w:abstractNumId w:val="6"/>
  </w:num>
  <w:num w:numId="7" w16cid:durableId="113403764">
    <w:abstractNumId w:val="6"/>
  </w:num>
  <w:num w:numId="8" w16cid:durableId="1306354199">
    <w:abstractNumId w:val="6"/>
  </w:num>
  <w:num w:numId="9" w16cid:durableId="1449738307">
    <w:abstractNumId w:val="6"/>
  </w:num>
  <w:num w:numId="10" w16cid:durableId="1162161447">
    <w:abstractNumId w:val="6"/>
  </w:num>
  <w:num w:numId="11" w16cid:durableId="323751953">
    <w:abstractNumId w:val="6"/>
  </w:num>
  <w:num w:numId="12" w16cid:durableId="74137000">
    <w:abstractNumId w:val="6"/>
  </w:num>
  <w:num w:numId="13" w16cid:durableId="1827822446">
    <w:abstractNumId w:val="6"/>
  </w:num>
  <w:num w:numId="14" w16cid:durableId="279143775">
    <w:abstractNumId w:val="3"/>
  </w:num>
  <w:num w:numId="15" w16cid:durableId="319192539">
    <w:abstractNumId w:val="5"/>
  </w:num>
  <w:num w:numId="16" w16cid:durableId="1144857904">
    <w:abstractNumId w:val="8"/>
  </w:num>
  <w:num w:numId="17" w16cid:durableId="664669829">
    <w:abstractNumId w:val="9"/>
  </w:num>
  <w:num w:numId="18" w16cid:durableId="1951931829">
    <w:abstractNumId w:val="4"/>
  </w:num>
  <w:num w:numId="19" w16cid:durableId="465128936">
    <w:abstractNumId w:val="7"/>
  </w:num>
  <w:num w:numId="20" w16cid:durableId="58322867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int Sponsors">
    <w15:presenceInfo w15:providerId="None" w15:userId="Joint Sponsor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6C"/>
    <w:rsid w:val="00006711"/>
    <w:rsid w:val="00015524"/>
    <w:rsid w:val="00021CE6"/>
    <w:rsid w:val="0004024E"/>
    <w:rsid w:val="0004194E"/>
    <w:rsid w:val="00060A5A"/>
    <w:rsid w:val="00063618"/>
    <w:rsid w:val="00064B44"/>
    <w:rsid w:val="000655DC"/>
    <w:rsid w:val="00067FE2"/>
    <w:rsid w:val="00074A54"/>
    <w:rsid w:val="0007682E"/>
    <w:rsid w:val="00083138"/>
    <w:rsid w:val="00094DDC"/>
    <w:rsid w:val="000D1AEB"/>
    <w:rsid w:val="000D3E64"/>
    <w:rsid w:val="000E49D9"/>
    <w:rsid w:val="000F13C5"/>
    <w:rsid w:val="001008E6"/>
    <w:rsid w:val="00105A36"/>
    <w:rsid w:val="001101AC"/>
    <w:rsid w:val="001313B4"/>
    <w:rsid w:val="0014546D"/>
    <w:rsid w:val="001500D9"/>
    <w:rsid w:val="00156DB7"/>
    <w:rsid w:val="00157228"/>
    <w:rsid w:val="00160C3C"/>
    <w:rsid w:val="00170391"/>
    <w:rsid w:val="0017783C"/>
    <w:rsid w:val="0019183B"/>
    <w:rsid w:val="0019314C"/>
    <w:rsid w:val="001C02B6"/>
    <w:rsid w:val="001D3204"/>
    <w:rsid w:val="001D4C5F"/>
    <w:rsid w:val="001E459E"/>
    <w:rsid w:val="001F38F0"/>
    <w:rsid w:val="002123C4"/>
    <w:rsid w:val="00232368"/>
    <w:rsid w:val="00237430"/>
    <w:rsid w:val="002721F4"/>
    <w:rsid w:val="00276A99"/>
    <w:rsid w:val="00286AD9"/>
    <w:rsid w:val="002909DD"/>
    <w:rsid w:val="002966F3"/>
    <w:rsid w:val="002B69F3"/>
    <w:rsid w:val="002B763A"/>
    <w:rsid w:val="002D382A"/>
    <w:rsid w:val="002F1EDD"/>
    <w:rsid w:val="003013F2"/>
    <w:rsid w:val="0030232A"/>
    <w:rsid w:val="0030694A"/>
    <w:rsid w:val="003069F4"/>
    <w:rsid w:val="003314DF"/>
    <w:rsid w:val="00360920"/>
    <w:rsid w:val="003618DF"/>
    <w:rsid w:val="00384709"/>
    <w:rsid w:val="00386C35"/>
    <w:rsid w:val="00390859"/>
    <w:rsid w:val="00391F4A"/>
    <w:rsid w:val="003A3D77"/>
    <w:rsid w:val="003A71BD"/>
    <w:rsid w:val="003B5AED"/>
    <w:rsid w:val="003C6B7B"/>
    <w:rsid w:val="003D115F"/>
    <w:rsid w:val="0041298B"/>
    <w:rsid w:val="004135BD"/>
    <w:rsid w:val="004302A4"/>
    <w:rsid w:val="004463BA"/>
    <w:rsid w:val="00446B8D"/>
    <w:rsid w:val="00461875"/>
    <w:rsid w:val="00467711"/>
    <w:rsid w:val="004822D4"/>
    <w:rsid w:val="0049290B"/>
    <w:rsid w:val="004A25C5"/>
    <w:rsid w:val="004A4451"/>
    <w:rsid w:val="004D3958"/>
    <w:rsid w:val="004F5529"/>
    <w:rsid w:val="005008DF"/>
    <w:rsid w:val="005045D0"/>
    <w:rsid w:val="005113AB"/>
    <w:rsid w:val="00525614"/>
    <w:rsid w:val="00534C6C"/>
    <w:rsid w:val="00560897"/>
    <w:rsid w:val="00561F0E"/>
    <w:rsid w:val="0058210B"/>
    <w:rsid w:val="005841C0"/>
    <w:rsid w:val="00591C3C"/>
    <w:rsid w:val="0059260F"/>
    <w:rsid w:val="005928F2"/>
    <w:rsid w:val="005A129B"/>
    <w:rsid w:val="005C691F"/>
    <w:rsid w:val="005D2274"/>
    <w:rsid w:val="005E348E"/>
    <w:rsid w:val="005E5074"/>
    <w:rsid w:val="006128F3"/>
    <w:rsid w:val="00612E4F"/>
    <w:rsid w:val="00615D5E"/>
    <w:rsid w:val="00622B61"/>
    <w:rsid w:val="00622E99"/>
    <w:rsid w:val="00625E5D"/>
    <w:rsid w:val="0066288B"/>
    <w:rsid w:val="0066370F"/>
    <w:rsid w:val="00696B1A"/>
    <w:rsid w:val="006A05A9"/>
    <w:rsid w:val="006A0784"/>
    <w:rsid w:val="006A697B"/>
    <w:rsid w:val="006B4C98"/>
    <w:rsid w:val="006B4DDE"/>
    <w:rsid w:val="006B681D"/>
    <w:rsid w:val="006C6170"/>
    <w:rsid w:val="006E2D25"/>
    <w:rsid w:val="00743968"/>
    <w:rsid w:val="00761EB9"/>
    <w:rsid w:val="00785415"/>
    <w:rsid w:val="00791CB9"/>
    <w:rsid w:val="00793130"/>
    <w:rsid w:val="007B3233"/>
    <w:rsid w:val="007B4B01"/>
    <w:rsid w:val="007B5A42"/>
    <w:rsid w:val="007C199B"/>
    <w:rsid w:val="007D3073"/>
    <w:rsid w:val="007D64B9"/>
    <w:rsid w:val="007D72D4"/>
    <w:rsid w:val="007E0452"/>
    <w:rsid w:val="007E0FD2"/>
    <w:rsid w:val="007E6FE2"/>
    <w:rsid w:val="00803641"/>
    <w:rsid w:val="008070C0"/>
    <w:rsid w:val="00811C12"/>
    <w:rsid w:val="00816950"/>
    <w:rsid w:val="00831CDD"/>
    <w:rsid w:val="00841265"/>
    <w:rsid w:val="00845778"/>
    <w:rsid w:val="008657E6"/>
    <w:rsid w:val="00871B83"/>
    <w:rsid w:val="008872C1"/>
    <w:rsid w:val="00887E28"/>
    <w:rsid w:val="00893800"/>
    <w:rsid w:val="008D5C3A"/>
    <w:rsid w:val="008D715D"/>
    <w:rsid w:val="008E25B1"/>
    <w:rsid w:val="008E6DA2"/>
    <w:rsid w:val="00907B1E"/>
    <w:rsid w:val="00915378"/>
    <w:rsid w:val="0094132C"/>
    <w:rsid w:val="00943AFD"/>
    <w:rsid w:val="009510D5"/>
    <w:rsid w:val="00961CAF"/>
    <w:rsid w:val="00963A51"/>
    <w:rsid w:val="0097285E"/>
    <w:rsid w:val="00983B6E"/>
    <w:rsid w:val="009936F8"/>
    <w:rsid w:val="009A3772"/>
    <w:rsid w:val="009C754F"/>
    <w:rsid w:val="009D17F0"/>
    <w:rsid w:val="009D4CFD"/>
    <w:rsid w:val="009E7F65"/>
    <w:rsid w:val="00A07D94"/>
    <w:rsid w:val="00A336D2"/>
    <w:rsid w:val="00A338AF"/>
    <w:rsid w:val="00A35D58"/>
    <w:rsid w:val="00A42796"/>
    <w:rsid w:val="00A5311D"/>
    <w:rsid w:val="00A86DA2"/>
    <w:rsid w:val="00AD3B58"/>
    <w:rsid w:val="00AF56C6"/>
    <w:rsid w:val="00B032E8"/>
    <w:rsid w:val="00B14393"/>
    <w:rsid w:val="00B42548"/>
    <w:rsid w:val="00B57F96"/>
    <w:rsid w:val="00B66D8D"/>
    <w:rsid w:val="00B67151"/>
    <w:rsid w:val="00B67892"/>
    <w:rsid w:val="00B840EA"/>
    <w:rsid w:val="00BA2317"/>
    <w:rsid w:val="00BA4D33"/>
    <w:rsid w:val="00BB09AC"/>
    <w:rsid w:val="00BC2D06"/>
    <w:rsid w:val="00BD50AE"/>
    <w:rsid w:val="00BE564A"/>
    <w:rsid w:val="00BF66E1"/>
    <w:rsid w:val="00C140B0"/>
    <w:rsid w:val="00C33607"/>
    <w:rsid w:val="00C42348"/>
    <w:rsid w:val="00C5685E"/>
    <w:rsid w:val="00C66D1F"/>
    <w:rsid w:val="00C73FE2"/>
    <w:rsid w:val="00C744EB"/>
    <w:rsid w:val="00C76A2C"/>
    <w:rsid w:val="00C90702"/>
    <w:rsid w:val="00C917FF"/>
    <w:rsid w:val="00C9766A"/>
    <w:rsid w:val="00CA6322"/>
    <w:rsid w:val="00CA6565"/>
    <w:rsid w:val="00CA699C"/>
    <w:rsid w:val="00CB0804"/>
    <w:rsid w:val="00CC4F39"/>
    <w:rsid w:val="00CD544C"/>
    <w:rsid w:val="00CE748F"/>
    <w:rsid w:val="00CF4256"/>
    <w:rsid w:val="00D04FE8"/>
    <w:rsid w:val="00D176CF"/>
    <w:rsid w:val="00D271E3"/>
    <w:rsid w:val="00D472A3"/>
    <w:rsid w:val="00D47A80"/>
    <w:rsid w:val="00D5040E"/>
    <w:rsid w:val="00D6732C"/>
    <w:rsid w:val="00D74A04"/>
    <w:rsid w:val="00D85807"/>
    <w:rsid w:val="00D87349"/>
    <w:rsid w:val="00D91EE9"/>
    <w:rsid w:val="00D97220"/>
    <w:rsid w:val="00DA18B3"/>
    <w:rsid w:val="00DA2FEE"/>
    <w:rsid w:val="00DD0076"/>
    <w:rsid w:val="00E14D47"/>
    <w:rsid w:val="00E1641C"/>
    <w:rsid w:val="00E26708"/>
    <w:rsid w:val="00E26A42"/>
    <w:rsid w:val="00E31F9F"/>
    <w:rsid w:val="00E34958"/>
    <w:rsid w:val="00E37AB0"/>
    <w:rsid w:val="00E43D5B"/>
    <w:rsid w:val="00E47B7C"/>
    <w:rsid w:val="00E514D8"/>
    <w:rsid w:val="00E71C39"/>
    <w:rsid w:val="00E7284E"/>
    <w:rsid w:val="00EA56E6"/>
    <w:rsid w:val="00EC335F"/>
    <w:rsid w:val="00EC48FB"/>
    <w:rsid w:val="00EF232A"/>
    <w:rsid w:val="00EF429C"/>
    <w:rsid w:val="00EF437D"/>
    <w:rsid w:val="00F0382A"/>
    <w:rsid w:val="00F05A69"/>
    <w:rsid w:val="00F0667E"/>
    <w:rsid w:val="00F134E7"/>
    <w:rsid w:val="00F13E45"/>
    <w:rsid w:val="00F43FFD"/>
    <w:rsid w:val="00F44236"/>
    <w:rsid w:val="00F46F56"/>
    <w:rsid w:val="00F52517"/>
    <w:rsid w:val="00FA47F1"/>
    <w:rsid w:val="00FA57B2"/>
    <w:rsid w:val="00FB509B"/>
    <w:rsid w:val="00FC3D4B"/>
    <w:rsid w:val="00FC6312"/>
    <w:rsid w:val="00FE36E3"/>
    <w:rsid w:val="00FE6B01"/>
    <w:rsid w:val="00FE6DA6"/>
    <w:rsid w:val="00FF5898"/>
    <w:rsid w:val="149765AC"/>
    <w:rsid w:val="45FB00BE"/>
    <w:rsid w:val="63E26E64"/>
    <w:rsid w:val="6AB6F176"/>
    <w:rsid w:val="6BE560ED"/>
    <w:rsid w:val="738AF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DBA8DD"/>
  <w15:chartTrackingRefBased/>
  <w15:docId w15:val="{C665140B-FEEE-4E59-BC9C-66E53724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BodyText"/>
    <w:qFormat/>
    <w:pPr>
      <w:keepNext/>
      <w:numPr>
        <w:numId w:val="13"/>
      </w:numPr>
      <w:tabs>
        <w:tab w:val="clear" w:pos="432"/>
        <w:tab w:val="num" w:pos="360"/>
      </w:tabs>
      <w:spacing w:after="240"/>
      <w:ind w:left="0" w:firstLine="0"/>
      <w:outlineLvl w:val="0"/>
    </w:pPr>
    <w:rPr>
      <w:b/>
      <w:caps/>
      <w:szCs w:val="20"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3"/>
      </w:numPr>
      <w:tabs>
        <w:tab w:val="clear" w:pos="576"/>
        <w:tab w:val="num" w:pos="360"/>
      </w:tabs>
      <w:spacing w:before="240" w:after="240"/>
      <w:ind w:left="0" w:firstLine="0"/>
      <w:outlineLvl w:val="1"/>
    </w:pPr>
    <w:rPr>
      <w:b/>
      <w:szCs w:val="20"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3"/>
      </w:numPr>
      <w:tabs>
        <w:tab w:val="clear" w:pos="720"/>
        <w:tab w:val="num" w:pos="360"/>
        <w:tab w:val="left" w:pos="1008"/>
      </w:tabs>
      <w:spacing w:before="240" w:after="240"/>
      <w:ind w:left="0" w:firstLine="0"/>
      <w:outlineLvl w:val="2"/>
    </w:pPr>
    <w:rPr>
      <w:b/>
      <w:bCs/>
      <w:i/>
      <w:szCs w:val="20"/>
    </w:rPr>
  </w:style>
  <w:style w:type="paragraph" w:styleId="Heading4">
    <w:name w:val="heading 4"/>
    <w:basedOn w:val="Normal"/>
    <w:next w:val="BodyText"/>
    <w:qFormat/>
    <w:pPr>
      <w:keepNext/>
      <w:widowControl w:val="0"/>
      <w:numPr>
        <w:ilvl w:val="3"/>
        <w:numId w:val="13"/>
      </w:numPr>
      <w:tabs>
        <w:tab w:val="clear" w:pos="864"/>
        <w:tab w:val="num" w:pos="360"/>
        <w:tab w:val="left" w:pos="1296"/>
      </w:tabs>
      <w:spacing w:before="240" w:after="240"/>
      <w:ind w:left="0" w:firstLine="0"/>
      <w:outlineLvl w:val="3"/>
    </w:pPr>
    <w:rPr>
      <w:b/>
      <w:bCs/>
      <w:snapToGrid w:val="0"/>
      <w:szCs w:val="20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13"/>
      </w:numPr>
      <w:tabs>
        <w:tab w:val="clear" w:pos="1008"/>
        <w:tab w:val="num" w:pos="360"/>
        <w:tab w:val="left" w:pos="1440"/>
      </w:tabs>
      <w:spacing w:before="240" w:after="240"/>
      <w:ind w:left="0" w:firstLine="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BodyText"/>
    <w:qFormat/>
    <w:pPr>
      <w:keepNext/>
      <w:numPr>
        <w:ilvl w:val="5"/>
        <w:numId w:val="13"/>
      </w:numPr>
      <w:tabs>
        <w:tab w:val="clear" w:pos="1152"/>
        <w:tab w:val="num" w:pos="360"/>
        <w:tab w:val="left" w:pos="1584"/>
      </w:tabs>
      <w:spacing w:before="240" w:after="240"/>
      <w:ind w:left="0" w:firstLine="0"/>
      <w:outlineLvl w:val="5"/>
    </w:pPr>
    <w:rPr>
      <w:b/>
      <w:bCs/>
      <w:szCs w:val="22"/>
    </w:rPr>
  </w:style>
  <w:style w:type="paragraph" w:styleId="Heading7">
    <w:name w:val="heading 7"/>
    <w:basedOn w:val="Normal"/>
    <w:next w:val="BodyText"/>
    <w:qFormat/>
    <w:pPr>
      <w:keepNext/>
      <w:numPr>
        <w:ilvl w:val="6"/>
        <w:numId w:val="13"/>
      </w:numPr>
      <w:tabs>
        <w:tab w:val="clear" w:pos="1296"/>
        <w:tab w:val="num" w:pos="360"/>
        <w:tab w:val="left" w:pos="1728"/>
      </w:tabs>
      <w:spacing w:before="240" w:after="240"/>
      <w:ind w:left="0" w:firstLine="0"/>
      <w:outlineLvl w:val="6"/>
    </w:pPr>
  </w:style>
  <w:style w:type="paragraph" w:styleId="Heading8">
    <w:name w:val="heading 8"/>
    <w:basedOn w:val="Normal"/>
    <w:next w:val="BodyText"/>
    <w:qFormat/>
    <w:pPr>
      <w:keepNext/>
      <w:numPr>
        <w:ilvl w:val="7"/>
        <w:numId w:val="13"/>
      </w:numPr>
      <w:tabs>
        <w:tab w:val="clear" w:pos="1440"/>
        <w:tab w:val="num" w:pos="360"/>
        <w:tab w:val="left" w:pos="1872"/>
      </w:tabs>
      <w:spacing w:before="240" w:after="240"/>
      <w:ind w:left="0" w:firstLine="0"/>
      <w:outlineLvl w:val="7"/>
    </w:pPr>
    <w:rPr>
      <w:i/>
      <w:iCs/>
    </w:rPr>
  </w:style>
  <w:style w:type="paragraph" w:styleId="Heading9">
    <w:name w:val="heading 9"/>
    <w:basedOn w:val="Normal"/>
    <w:next w:val="BodyText"/>
    <w:qFormat/>
    <w:pPr>
      <w:keepNext/>
      <w:numPr>
        <w:ilvl w:val="8"/>
        <w:numId w:val="13"/>
      </w:numPr>
      <w:tabs>
        <w:tab w:val="clear" w:pos="1584"/>
        <w:tab w:val="num" w:pos="360"/>
        <w:tab w:val="left" w:pos="2160"/>
      </w:tabs>
      <w:spacing w:before="240" w:after="240"/>
      <w:ind w:left="0" w:firstLine="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after="240"/>
    </w:pPr>
  </w:style>
  <w:style w:type="paragraph" w:styleId="BodyTextIndent">
    <w:name w:val="Body Text Indent"/>
    <w:basedOn w:val="Normal"/>
    <w:pPr>
      <w:spacing w:after="240"/>
      <w:ind w:left="720"/>
    </w:pPr>
    <w:rPr>
      <w:iCs/>
      <w:szCs w:val="20"/>
    </w:rPr>
  </w:style>
  <w:style w:type="paragraph" w:customStyle="1" w:styleId="Bullet">
    <w:name w:val="Bullet"/>
    <w:basedOn w:val="Normal"/>
    <w:pPr>
      <w:numPr>
        <w:numId w:val="3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customStyle="1" w:styleId="BoxedLanguage">
    <w:name w:val="Boxed Languag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4" w:type="dxa"/>
        <w:left w:w="115" w:type="dxa"/>
        <w:right w:w="115" w:type="dxa"/>
      </w:tblCellMar>
    </w:tblPr>
    <w:tcPr>
      <w:shd w:val="clear" w:color="auto" w:fill="E0E0E0"/>
    </w:tcPr>
  </w:style>
  <w:style w:type="paragraph" w:customStyle="1" w:styleId="BulletIndent">
    <w:name w:val="Bullet Indent"/>
    <w:basedOn w:val="Normal"/>
    <w:pPr>
      <w:numPr>
        <w:numId w:val="4"/>
      </w:numPr>
      <w:tabs>
        <w:tab w:val="clear" w:pos="360"/>
        <w:tab w:val="num" w:pos="432"/>
      </w:tabs>
      <w:spacing w:after="180"/>
      <w:ind w:left="432" w:hanging="432"/>
    </w:pPr>
    <w:rPr>
      <w:szCs w:val="20"/>
    </w:rPr>
  </w:style>
  <w:style w:type="paragraph" w:styleId="FootnoteText">
    <w:name w:val="footnote text"/>
    <w:basedOn w:val="Normal"/>
    <w:semiHidden/>
    <w:rPr>
      <w:sz w:val="18"/>
      <w:szCs w:val="20"/>
    </w:rPr>
  </w:style>
  <w:style w:type="paragraph" w:customStyle="1" w:styleId="Formula">
    <w:name w:val="Formula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Cs/>
    </w:rPr>
  </w:style>
  <w:style w:type="paragraph" w:customStyle="1" w:styleId="FormulaBold">
    <w:name w:val="Formula Bold"/>
    <w:basedOn w:val="Normal"/>
    <w:autoRedefine/>
    <w:pPr>
      <w:tabs>
        <w:tab w:val="left" w:pos="2340"/>
        <w:tab w:val="left" w:pos="3420"/>
      </w:tabs>
      <w:spacing w:after="240"/>
      <w:ind w:left="3420" w:hanging="2700"/>
    </w:pPr>
    <w:rPr>
      <w:b/>
      <w:bCs/>
    </w:rPr>
  </w:style>
  <w:style w:type="table" w:customStyle="1" w:styleId="FormulaVariableTable">
    <w:name w:val="Formula Variable Table"/>
    <w:basedOn w:val="TableNormal"/>
    <w:tblPr>
      <w:tblInd w:w="14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blStylePr w:type="firstRow">
      <w:rPr>
        <w:b/>
        <w:i w:val="0"/>
      </w:rPr>
    </w:tblStylePr>
    <w:tblStylePr w:type="firstCol">
      <w:rPr>
        <w:rFonts w:ascii="Times New Roman" w:hAnsi="Times New Roman"/>
      </w:rPr>
      <w:tblPr/>
      <w:tcPr>
        <w:tc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  <w:tl2br w:val="nil"/>
          <w:tr2bl w:val="nil"/>
        </w:tcBorders>
      </w:tcPr>
    </w:tblStylePr>
  </w:style>
  <w:style w:type="paragraph" w:customStyle="1" w:styleId="H2">
    <w:name w:val="H2"/>
    <w:basedOn w:val="Heading2"/>
    <w:next w:val="BodyText"/>
    <w:pPr>
      <w:numPr>
        <w:ilvl w:val="0"/>
        <w:numId w:val="0"/>
      </w:numPr>
      <w:tabs>
        <w:tab w:val="left" w:pos="900"/>
      </w:tabs>
      <w:ind w:left="900" w:hanging="900"/>
    </w:pPr>
  </w:style>
  <w:style w:type="paragraph" w:customStyle="1" w:styleId="H3">
    <w:name w:val="H3"/>
    <w:basedOn w:val="Heading3"/>
    <w:next w:val="BodyText"/>
    <w:pPr>
      <w:numPr>
        <w:ilvl w:val="0"/>
        <w:numId w:val="0"/>
      </w:numPr>
      <w:tabs>
        <w:tab w:val="clear" w:pos="1008"/>
        <w:tab w:val="left" w:pos="1080"/>
      </w:tabs>
      <w:ind w:left="1080" w:hanging="1080"/>
    </w:pPr>
  </w:style>
  <w:style w:type="paragraph" w:customStyle="1" w:styleId="H4">
    <w:name w:val="H4"/>
    <w:basedOn w:val="Heading4"/>
    <w:next w:val="BodyText"/>
    <w:pPr>
      <w:numPr>
        <w:ilvl w:val="0"/>
        <w:numId w:val="0"/>
      </w:numPr>
      <w:tabs>
        <w:tab w:val="clear" w:pos="1296"/>
        <w:tab w:val="left" w:pos="1260"/>
      </w:tabs>
      <w:ind w:left="1260" w:hanging="1260"/>
    </w:pPr>
  </w:style>
  <w:style w:type="paragraph" w:customStyle="1" w:styleId="H5">
    <w:name w:val="H5"/>
    <w:basedOn w:val="Heading5"/>
    <w:next w:val="BodyText"/>
    <w:pPr>
      <w:numPr>
        <w:ilvl w:val="0"/>
        <w:numId w:val="0"/>
      </w:numPr>
      <w:tabs>
        <w:tab w:val="clear" w:pos="1440"/>
        <w:tab w:val="left" w:pos="1620"/>
      </w:tabs>
      <w:ind w:left="1620" w:hanging="1620"/>
    </w:pPr>
  </w:style>
  <w:style w:type="paragraph" w:customStyle="1" w:styleId="H6">
    <w:name w:val="H6"/>
    <w:basedOn w:val="Heading6"/>
    <w:next w:val="BodyText"/>
    <w:pPr>
      <w:numPr>
        <w:ilvl w:val="0"/>
        <w:numId w:val="0"/>
      </w:numPr>
      <w:tabs>
        <w:tab w:val="clear" w:pos="1584"/>
        <w:tab w:val="left" w:pos="1800"/>
      </w:tabs>
      <w:ind w:left="1800" w:hanging="1800"/>
    </w:pPr>
  </w:style>
  <w:style w:type="paragraph" w:customStyle="1" w:styleId="H7">
    <w:name w:val="H7"/>
    <w:basedOn w:val="Heading7"/>
    <w:next w:val="BodyText"/>
    <w:pPr>
      <w:numPr>
        <w:ilvl w:val="0"/>
        <w:numId w:val="0"/>
      </w:numPr>
      <w:tabs>
        <w:tab w:val="clear" w:pos="1728"/>
        <w:tab w:val="left" w:pos="1980"/>
      </w:tabs>
      <w:ind w:left="1980" w:hanging="1980"/>
    </w:pPr>
    <w:rPr>
      <w:b/>
      <w:i/>
    </w:rPr>
  </w:style>
  <w:style w:type="paragraph" w:customStyle="1" w:styleId="H8">
    <w:name w:val="H8"/>
    <w:basedOn w:val="Heading8"/>
    <w:next w:val="BodyText"/>
    <w:pPr>
      <w:numPr>
        <w:ilvl w:val="0"/>
        <w:numId w:val="0"/>
      </w:numPr>
      <w:tabs>
        <w:tab w:val="clear" w:pos="1872"/>
        <w:tab w:val="left" w:pos="2160"/>
      </w:tabs>
      <w:ind w:left="2160" w:hanging="2160"/>
    </w:pPr>
    <w:rPr>
      <w:b/>
      <w:i w:val="0"/>
    </w:rPr>
  </w:style>
  <w:style w:type="paragraph" w:customStyle="1" w:styleId="H9">
    <w:name w:val="H9"/>
    <w:basedOn w:val="Heading9"/>
    <w:next w:val="BodyText"/>
    <w:pPr>
      <w:numPr>
        <w:ilvl w:val="0"/>
        <w:numId w:val="0"/>
      </w:numPr>
      <w:tabs>
        <w:tab w:val="clear" w:pos="2160"/>
        <w:tab w:val="left" w:pos="2340"/>
      </w:tabs>
      <w:ind w:left="2340" w:hanging="2340"/>
    </w:pPr>
    <w:rPr>
      <w:i/>
    </w:rPr>
  </w:style>
  <w:style w:type="paragraph" w:customStyle="1" w:styleId="HeadSub">
    <w:name w:val="Head Sub"/>
    <w:basedOn w:val="BodyText"/>
    <w:next w:val="BodyText"/>
    <w:pPr>
      <w:keepNext/>
      <w:spacing w:before="240"/>
    </w:pPr>
    <w:rPr>
      <w:b/>
      <w:iCs/>
      <w:szCs w:val="20"/>
    </w:rPr>
  </w:style>
  <w:style w:type="paragraph" w:customStyle="1" w:styleId="Instructions">
    <w:name w:val="Instructions"/>
    <w:basedOn w:val="BodyText"/>
    <w:rPr>
      <w:b/>
      <w:i/>
      <w:iCs/>
    </w:rPr>
  </w:style>
  <w:style w:type="paragraph" w:styleId="List">
    <w:name w:val="List"/>
    <w:aliases w:val=" Char2 Char Char Char Char, Char2 Char"/>
    <w:basedOn w:val="Normal"/>
    <w:link w:val="ListChar"/>
    <w:pPr>
      <w:spacing w:after="240"/>
      <w:ind w:left="720" w:hanging="720"/>
    </w:pPr>
    <w:rPr>
      <w:szCs w:val="20"/>
    </w:rPr>
  </w:style>
  <w:style w:type="paragraph" w:styleId="List2">
    <w:name w:val="List 2"/>
    <w:basedOn w:val="Normal"/>
    <w:pPr>
      <w:spacing w:after="240"/>
      <w:ind w:left="1440" w:hanging="720"/>
    </w:pPr>
    <w:rPr>
      <w:szCs w:val="20"/>
    </w:rPr>
  </w:style>
  <w:style w:type="paragraph" w:styleId="List3">
    <w:name w:val="List 3"/>
    <w:basedOn w:val="Normal"/>
    <w:pPr>
      <w:spacing w:after="240"/>
      <w:ind w:left="2160" w:hanging="720"/>
    </w:pPr>
    <w:rPr>
      <w:szCs w:val="20"/>
    </w:rPr>
  </w:style>
  <w:style w:type="paragraph" w:customStyle="1" w:styleId="ListIntroduction">
    <w:name w:val="List Introduction"/>
    <w:basedOn w:val="BodyText"/>
    <w:pPr>
      <w:keepNext/>
    </w:pPr>
    <w:rPr>
      <w:iCs/>
      <w:szCs w:val="20"/>
    </w:rPr>
  </w:style>
  <w:style w:type="paragraph" w:customStyle="1" w:styleId="ListSub">
    <w:name w:val="List Sub"/>
    <w:basedOn w:val="List"/>
    <w:pPr>
      <w:ind w:firstLine="0"/>
    </w:pPr>
  </w:style>
  <w:style w:type="character" w:styleId="PageNumber">
    <w:name w:val="page number"/>
    <w:basedOn w:val="DefaultParagraphFont"/>
  </w:style>
  <w:style w:type="paragraph" w:customStyle="1" w:styleId="Spaceafterbox">
    <w:name w:val="Space after box"/>
    <w:basedOn w:val="Normal"/>
    <w:rPr>
      <w:szCs w:val="20"/>
    </w:rPr>
  </w:style>
  <w:style w:type="paragraph" w:customStyle="1" w:styleId="TableBody">
    <w:name w:val="Table Body"/>
    <w:basedOn w:val="BodyText"/>
    <w:pPr>
      <w:spacing w:after="60"/>
    </w:pPr>
    <w:rPr>
      <w:iCs/>
      <w:sz w:val="20"/>
      <w:szCs w:val="20"/>
    </w:rPr>
  </w:style>
  <w:style w:type="paragraph" w:customStyle="1" w:styleId="TableBullet">
    <w:name w:val="Table Bullet"/>
    <w:basedOn w:val="TableBody"/>
    <w:pPr>
      <w:numPr>
        <w:numId w:val="14"/>
      </w:numPr>
      <w:ind w:left="0" w:firstLine="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 Head"/>
    <w:basedOn w:val="BodyText"/>
    <w:rPr>
      <w:b/>
      <w:iCs/>
      <w:sz w:val="20"/>
      <w:szCs w:val="20"/>
    </w:rPr>
  </w:style>
  <w:style w:type="paragraph" w:styleId="TOC1">
    <w:name w:val="toc 1"/>
    <w:basedOn w:val="Normal"/>
    <w:next w:val="Normal"/>
    <w:autoRedefine/>
    <w:semiHidden/>
    <w:pPr>
      <w:tabs>
        <w:tab w:val="left" w:pos="540"/>
        <w:tab w:val="right" w:leader="dot" w:pos="9360"/>
      </w:tabs>
      <w:spacing w:before="120" w:after="120"/>
      <w:ind w:left="540" w:right="720" w:hanging="540"/>
    </w:pPr>
    <w:rPr>
      <w:b/>
      <w:bCs/>
      <w:i/>
    </w:rPr>
  </w:style>
  <w:style w:type="paragraph" w:styleId="TOC2">
    <w:name w:val="toc 2"/>
    <w:basedOn w:val="Normal"/>
    <w:next w:val="Normal"/>
    <w:autoRedefine/>
    <w:semiHidden/>
    <w:pPr>
      <w:tabs>
        <w:tab w:val="left" w:pos="1260"/>
        <w:tab w:val="right" w:leader="dot" w:pos="9360"/>
      </w:tabs>
      <w:ind w:left="1260" w:right="720" w:hanging="720"/>
    </w:pPr>
    <w:rPr>
      <w:sz w:val="20"/>
      <w:szCs w:val="20"/>
    </w:rPr>
  </w:style>
  <w:style w:type="paragraph" w:styleId="TOC3">
    <w:name w:val="toc 3"/>
    <w:basedOn w:val="Normal"/>
    <w:next w:val="Normal"/>
    <w:autoRedefine/>
    <w:semiHidden/>
    <w:pPr>
      <w:tabs>
        <w:tab w:val="left" w:pos="1980"/>
        <w:tab w:val="right" w:leader="dot" w:pos="9360"/>
      </w:tabs>
      <w:ind w:left="1980" w:right="720" w:hanging="90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semiHidden/>
    <w:pPr>
      <w:tabs>
        <w:tab w:val="left" w:pos="2700"/>
        <w:tab w:val="right" w:leader="dot" w:pos="9360"/>
      </w:tabs>
      <w:ind w:left="2700" w:right="720" w:hanging="108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pPr>
      <w:tabs>
        <w:tab w:val="left" w:pos="3600"/>
        <w:tab w:val="right" w:leader="dot" w:pos="9360"/>
      </w:tabs>
      <w:ind w:left="3600" w:right="720" w:hanging="1260"/>
    </w:pPr>
    <w:rPr>
      <w:i/>
      <w:noProof/>
      <w:sz w:val="18"/>
      <w:szCs w:val="18"/>
    </w:rPr>
  </w:style>
  <w:style w:type="paragraph" w:styleId="TOC6">
    <w:name w:val="toc 6"/>
    <w:basedOn w:val="Normal"/>
    <w:next w:val="Normal"/>
    <w:autoRedefine/>
    <w:semiHidden/>
    <w:pPr>
      <w:tabs>
        <w:tab w:val="left" w:pos="4500"/>
        <w:tab w:val="right" w:leader="dot" w:pos="9360"/>
      </w:tabs>
      <w:ind w:left="4500" w:right="720" w:hanging="144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pPr>
      <w:tabs>
        <w:tab w:val="left" w:pos="5400"/>
        <w:tab w:val="right" w:leader="dot" w:pos="9360"/>
      </w:tabs>
      <w:ind w:left="5400" w:right="720" w:hanging="1620"/>
    </w:pPr>
    <w:rPr>
      <w:i/>
      <w:noProof/>
      <w:sz w:val="18"/>
      <w:szCs w:val="18"/>
    </w:rPr>
  </w:style>
  <w:style w:type="paragraph" w:styleId="TOC8">
    <w:name w:val="toc 8"/>
    <w:basedOn w:val="Normal"/>
    <w:next w:val="Normal"/>
    <w:autoRedefine/>
    <w:semiHidden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pPr>
      <w:ind w:left="1920"/>
    </w:pPr>
    <w:rPr>
      <w:sz w:val="18"/>
      <w:szCs w:val="18"/>
    </w:rPr>
  </w:style>
  <w:style w:type="paragraph" w:customStyle="1" w:styleId="VariableDefinition">
    <w:name w:val="Variable Definition"/>
    <w:basedOn w:val="BodyTextIndent"/>
    <w:pPr>
      <w:tabs>
        <w:tab w:val="left" w:pos="2160"/>
      </w:tabs>
      <w:ind w:left="2160" w:hanging="1440"/>
      <w:contextualSpacing/>
    </w:pPr>
  </w:style>
  <w:style w:type="table" w:customStyle="1" w:styleId="VariableTable">
    <w:name w:val="Variable Table"/>
    <w:basedOn w:val="TableNormal"/>
    <w:tblPr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NormalArialChar">
    <w:name w:val="Normal+Arial Char"/>
    <w:link w:val="NormalArial"/>
    <w:rPr>
      <w:rFonts w:ascii="Arial" w:hAnsi="Arial"/>
      <w:sz w:val="24"/>
      <w:szCs w:val="24"/>
      <w:lang w:val="en-US" w:eastAsia="en-US" w:bidi="ar-SA"/>
    </w:rPr>
  </w:style>
  <w:style w:type="character" w:styleId="FollowedHyperlink">
    <w:name w:val="FollowedHyperlink"/>
    <w:rsid w:val="007E0452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59260F"/>
    <w:pPr>
      <w:spacing w:before="100" w:beforeAutospacing="1" w:after="100" w:afterAutospacing="1"/>
    </w:pPr>
  </w:style>
  <w:style w:type="character" w:customStyle="1" w:styleId="ListChar">
    <w:name w:val="List Char"/>
    <w:aliases w:val=" Char2 Char Char Char Char Char, Char2 Char Char"/>
    <w:link w:val="List"/>
    <w:rsid w:val="00F05A69"/>
    <w:rPr>
      <w:sz w:val="24"/>
    </w:rPr>
  </w:style>
  <w:style w:type="paragraph" w:styleId="Revision">
    <w:name w:val="Revision"/>
    <w:hidden/>
    <w:uiPriority w:val="99"/>
    <w:semiHidden/>
    <w:rsid w:val="000D3E6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A6322"/>
    <w:rPr>
      <w:color w:val="605E5C"/>
      <w:shd w:val="clear" w:color="auto" w:fill="E1DFDD"/>
    </w:rPr>
  </w:style>
  <w:style w:type="paragraph" w:customStyle="1" w:styleId="TableText">
    <w:name w:val="Table Text"/>
    <w:basedOn w:val="Normal"/>
    <w:rsid w:val="00CA6322"/>
  </w:style>
  <w:style w:type="character" w:customStyle="1" w:styleId="HeaderChar">
    <w:name w:val="Header Char"/>
    <w:basedOn w:val="DefaultParagraphFont"/>
    <w:link w:val="Header"/>
    <w:rsid w:val="00B42548"/>
    <w:rPr>
      <w:rFonts w:ascii="Arial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8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rcot.com/files/docs/2023/08/25/ERCOT-Strategic-Plan-2024-2028.pdf" TargetMode="External"/><Relationship Id="rId18" Type="http://schemas.openxmlformats.org/officeDocument/2006/relationships/image" Target="media/image4.wmf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7.wmf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3.wmf"/><Relationship Id="rId25" Type="http://schemas.openxmlformats.org/officeDocument/2006/relationships/hyperlink" Target="mailto:Elizabeth.morales@ercot.co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.wmf"/><Relationship Id="rId20" Type="http://schemas.openxmlformats.org/officeDocument/2006/relationships/image" Target="media/image6.wmf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OGRR286" TargetMode="External"/><Relationship Id="rId24" Type="http://schemas.openxmlformats.org/officeDocument/2006/relationships/hyperlink" Target="mailto:ejrasmussen@aep.com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ercot.com/files/docs/2023/08/25/ERCOT-Strategic-Plan-2024-2028.pdf" TargetMode="External"/><Relationship Id="rId23" Type="http://schemas.openxmlformats.org/officeDocument/2006/relationships/hyperlink" Target="mailto:ricky.floyd@oncor.com" TargetMode="External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5.wmf"/><Relationship Id="rId31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cot.com/files/docs/2023/08/25/ERCOT-Strategic-Plan-2024-2028.pdf" TargetMode="External"/><Relationship Id="rId22" Type="http://schemas.openxmlformats.org/officeDocument/2006/relationships/hyperlink" Target="mailto:blake.holt@lcra.org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D61DC8326B8498DD32B28F834E6F2" ma:contentTypeVersion="2" ma:contentTypeDescription="Create a new document." ma:contentTypeScope="" ma:versionID="01f935ec20f098423b79e2b7c8d10400">
  <xsd:schema xmlns:xsd="http://www.w3.org/2001/XMLSchema" xmlns:xs="http://www.w3.org/2001/XMLSchema" xmlns:p="http://schemas.microsoft.com/office/2006/metadata/properties" xmlns:ns2="5ea7cabb-ffb8-4c5f-aec6-b9b58c989bc1" targetNamespace="http://schemas.microsoft.com/office/2006/metadata/properties" ma:root="true" ma:fieldsID="5ee69bf3301f408be776387cf8f4c840" ns2:_="">
    <xsd:import namespace="5ea7cabb-ffb8-4c5f-aec6-b9b58c989b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7cabb-ffb8-4c5f-aec6-b9b58c989b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8741B-C447-447C-8203-44C97A9036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800DC9-2839-4B78-BCCF-BE7BAEC615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33A487-BB79-4F02-863D-43A65591D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a7cabb-ffb8-4c5f-aec6-b9b58c989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A15A47-C7F5-46AB-80C7-59A3B5248A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1045</Words>
  <Characters>6269</Characters>
  <Application>Microsoft Office Word</Application>
  <DocSecurity>4</DocSecurity>
  <Lines>218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Hewlett-Packard Company</Company>
  <LinksUpToDate>false</LinksUpToDate>
  <CharactersWithSpaces>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Jim Street</dc:creator>
  <cp:keywords/>
  <cp:lastModifiedBy>Elizabeth Morales</cp:lastModifiedBy>
  <cp:revision>2</cp:revision>
  <cp:lastPrinted>2013-11-15T22:11:00Z</cp:lastPrinted>
  <dcterms:created xsi:type="dcterms:W3CDTF">2026-09-17T20:22:00Z</dcterms:created>
  <dcterms:modified xsi:type="dcterms:W3CDTF">2026-09-17T20:22:00Z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2023-12-27T17:23:38Z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8d952d68-1e9c-4ba3-8c8d-e926e2ae16a4</vt:lpwstr>
  </property>
  <property fmtid="{D5CDD505-2E9C-101B-9397-08002B2CF9AE}" pid="8" name="MSIP_Label_7084cbda-52b8-46fb-a7b7-cb5bd465ed85_ContentBits">
    <vt:lpwstr>0</vt:lpwstr>
  </property>
  <property fmtid="{D5CDD505-2E9C-101B-9397-08002B2CF9AE}" pid="9" name="ContentTypeId">
    <vt:lpwstr>0x010100260D61DC8326B8498DD32B28F834E6F2</vt:lpwstr>
  </property>
</Properties>
</file>