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260"/>
        <w:gridCol w:w="1440"/>
        <w:gridCol w:w="6120"/>
      </w:tblGrid>
      <w:tr w:rsidR="00152993" w:rsidRPr="000E3509" w14:paraId="29BEF11F" w14:textId="77777777">
        <w:tblPrEx>
          <w:tblCellMar>
            <w:top w:w="0" w:type="dxa"/>
            <w:bottom w:w="0" w:type="dxa"/>
          </w:tblCellMar>
        </w:tblPrEx>
        <w:tc>
          <w:tcPr>
            <w:tcW w:w="1620" w:type="dxa"/>
            <w:tcBorders>
              <w:bottom w:val="single" w:sz="4" w:space="0" w:color="auto"/>
            </w:tcBorders>
            <w:shd w:val="clear" w:color="auto" w:fill="FFFFFF"/>
            <w:vAlign w:val="center"/>
          </w:tcPr>
          <w:p w14:paraId="095DD2C7" w14:textId="77777777" w:rsidR="00152993" w:rsidRPr="000E3509" w:rsidRDefault="00D825C5">
            <w:pPr>
              <w:pStyle w:val="Header"/>
              <w:rPr>
                <w:rFonts w:cs="Arial"/>
              </w:rPr>
            </w:pPr>
            <w:r w:rsidRPr="000E3509">
              <w:rPr>
                <w:rFonts w:cs="Arial"/>
              </w:rPr>
              <w:t>NOG</w:t>
            </w:r>
            <w:r w:rsidR="00C158EE" w:rsidRPr="000E3509">
              <w:rPr>
                <w:rFonts w:cs="Arial"/>
              </w:rPr>
              <w:t xml:space="preserve">RR </w:t>
            </w:r>
            <w:r w:rsidR="00152993" w:rsidRPr="000E3509">
              <w:rPr>
                <w:rFonts w:cs="Arial"/>
              </w:rPr>
              <w:t>Number</w:t>
            </w:r>
          </w:p>
        </w:tc>
        <w:tc>
          <w:tcPr>
            <w:tcW w:w="1260" w:type="dxa"/>
            <w:tcBorders>
              <w:bottom w:val="single" w:sz="4" w:space="0" w:color="auto"/>
            </w:tcBorders>
            <w:vAlign w:val="center"/>
          </w:tcPr>
          <w:p w14:paraId="6F6BD53C" w14:textId="77777777" w:rsidR="00152993" w:rsidRPr="000E3509" w:rsidRDefault="00E40069">
            <w:pPr>
              <w:pStyle w:val="Header"/>
              <w:rPr>
                <w:rFonts w:cs="Arial"/>
              </w:rPr>
            </w:pPr>
            <w:hyperlink r:id="rId7" w:history="1">
              <w:r w:rsidRPr="000E3509">
                <w:rPr>
                  <w:rStyle w:val="Hyperlink"/>
                  <w:rFonts w:cs="Arial"/>
                </w:rPr>
                <w:t>289</w:t>
              </w:r>
            </w:hyperlink>
            <w:r w:rsidRPr="000E3509">
              <w:rPr>
                <w:rFonts w:cs="Arial"/>
              </w:rPr>
              <w:t xml:space="preserve"> </w:t>
            </w:r>
          </w:p>
        </w:tc>
        <w:tc>
          <w:tcPr>
            <w:tcW w:w="1440" w:type="dxa"/>
            <w:tcBorders>
              <w:bottom w:val="single" w:sz="4" w:space="0" w:color="auto"/>
            </w:tcBorders>
            <w:shd w:val="clear" w:color="auto" w:fill="FFFFFF"/>
            <w:vAlign w:val="center"/>
          </w:tcPr>
          <w:p w14:paraId="16E060CD" w14:textId="77777777" w:rsidR="00152993" w:rsidRPr="000E3509" w:rsidRDefault="00D825C5">
            <w:pPr>
              <w:pStyle w:val="Header"/>
              <w:rPr>
                <w:rFonts w:cs="Arial"/>
              </w:rPr>
            </w:pPr>
            <w:r w:rsidRPr="000E3509">
              <w:rPr>
                <w:rFonts w:cs="Arial"/>
              </w:rPr>
              <w:t>NOG</w:t>
            </w:r>
            <w:r w:rsidR="00C158EE" w:rsidRPr="000E3509">
              <w:rPr>
                <w:rFonts w:cs="Arial"/>
              </w:rPr>
              <w:t xml:space="preserve">RR </w:t>
            </w:r>
            <w:r w:rsidR="00152993" w:rsidRPr="000E3509">
              <w:rPr>
                <w:rFonts w:cs="Arial"/>
              </w:rPr>
              <w:t>Title</w:t>
            </w:r>
          </w:p>
        </w:tc>
        <w:tc>
          <w:tcPr>
            <w:tcW w:w="6120" w:type="dxa"/>
            <w:tcBorders>
              <w:bottom w:val="single" w:sz="4" w:space="0" w:color="auto"/>
            </w:tcBorders>
            <w:vAlign w:val="center"/>
          </w:tcPr>
          <w:p w14:paraId="38EE51A5" w14:textId="77777777" w:rsidR="00152993" w:rsidRPr="000E3509" w:rsidRDefault="00E40069">
            <w:pPr>
              <w:pStyle w:val="Header"/>
              <w:rPr>
                <w:rFonts w:cs="Arial"/>
              </w:rPr>
            </w:pPr>
            <w:r w:rsidRPr="000E3509">
              <w:rPr>
                <w:rFonts w:cs="Arial"/>
              </w:rPr>
              <w:t>Extension for LCL Cooling Load Ride-Through Compliance</w:t>
            </w:r>
          </w:p>
        </w:tc>
      </w:tr>
    </w:tbl>
    <w:p w14:paraId="161B5EC2" w14:textId="77777777" w:rsidR="002771E6" w:rsidRPr="000E3509" w:rsidRDefault="002771E6">
      <w:pPr>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152993" w:rsidRPr="000E3509" w14:paraId="7C35EEB6" w14:textId="77777777">
        <w:tblPrEx>
          <w:tblCellMar>
            <w:top w:w="0" w:type="dxa"/>
            <w:bottom w:w="0" w:type="dxa"/>
          </w:tblCellMar>
        </w:tblPrEx>
        <w:trPr>
          <w:trHeight w:val="440"/>
        </w:trPr>
        <w:tc>
          <w:tcPr>
            <w:tcW w:w="2880" w:type="dxa"/>
            <w:tcBorders>
              <w:top w:val="single" w:sz="4" w:space="0" w:color="auto"/>
              <w:left w:val="single" w:sz="4" w:space="0" w:color="auto"/>
              <w:bottom w:val="single" w:sz="4" w:space="0" w:color="auto"/>
              <w:right w:val="single" w:sz="4" w:space="0" w:color="auto"/>
            </w:tcBorders>
            <w:vAlign w:val="center"/>
          </w:tcPr>
          <w:p w14:paraId="330F0521" w14:textId="77777777" w:rsidR="00152993" w:rsidRPr="000E3509" w:rsidRDefault="00152993">
            <w:pPr>
              <w:pStyle w:val="Header"/>
              <w:rPr>
                <w:rFonts w:cs="Arial"/>
              </w:rPr>
            </w:pPr>
            <w:r w:rsidRPr="000E3509">
              <w:rPr>
                <w:rFonts w:cs="Arial"/>
              </w:rPr>
              <w:t>Date</w:t>
            </w:r>
          </w:p>
        </w:tc>
        <w:tc>
          <w:tcPr>
            <w:tcW w:w="7560" w:type="dxa"/>
            <w:tcBorders>
              <w:top w:val="single" w:sz="4" w:space="0" w:color="auto"/>
              <w:left w:val="single" w:sz="4" w:space="0" w:color="auto"/>
              <w:bottom w:val="single" w:sz="4" w:space="0" w:color="auto"/>
              <w:right w:val="single" w:sz="4" w:space="0" w:color="auto"/>
            </w:tcBorders>
            <w:vAlign w:val="center"/>
          </w:tcPr>
          <w:p w14:paraId="624495DB" w14:textId="77777777" w:rsidR="00152993" w:rsidRPr="000E3509" w:rsidRDefault="00E40069">
            <w:pPr>
              <w:pStyle w:val="NormalArial"/>
              <w:rPr>
                <w:rFonts w:cs="Arial"/>
              </w:rPr>
            </w:pPr>
            <w:r w:rsidRPr="000E3509">
              <w:rPr>
                <w:rFonts w:cs="Arial"/>
              </w:rPr>
              <w:t>August</w:t>
            </w:r>
            <w:r w:rsidR="00421255">
              <w:rPr>
                <w:rFonts w:cs="Arial"/>
              </w:rPr>
              <w:t xml:space="preserve"> 31</w:t>
            </w:r>
            <w:r w:rsidRPr="000E3509">
              <w:rPr>
                <w:rFonts w:cs="Arial"/>
              </w:rPr>
              <w:t>, 2026</w:t>
            </w:r>
          </w:p>
        </w:tc>
      </w:tr>
    </w:tbl>
    <w:p w14:paraId="5C0CC8E2" w14:textId="77777777" w:rsidR="002771E6" w:rsidRPr="000E3509" w:rsidRDefault="002771E6">
      <w:pPr>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152993" w:rsidRPr="000E3509" w14:paraId="58FE86F8" w14:textId="77777777">
        <w:tblPrEx>
          <w:tblCellMar>
            <w:top w:w="0" w:type="dxa"/>
            <w:bottom w:w="0" w:type="dxa"/>
          </w:tblCellMar>
        </w:tblPrEx>
        <w:trPr>
          <w:trHeight w:val="440"/>
        </w:trPr>
        <w:tc>
          <w:tcPr>
            <w:tcW w:w="10440" w:type="dxa"/>
            <w:gridSpan w:val="2"/>
            <w:tcBorders>
              <w:top w:val="single" w:sz="4" w:space="0" w:color="auto"/>
            </w:tcBorders>
            <w:shd w:val="clear" w:color="auto" w:fill="FFFFFF"/>
            <w:vAlign w:val="center"/>
          </w:tcPr>
          <w:p w14:paraId="71836675" w14:textId="77777777" w:rsidR="00152993" w:rsidRPr="000E3509" w:rsidRDefault="00152993">
            <w:pPr>
              <w:pStyle w:val="Header"/>
              <w:jc w:val="center"/>
              <w:rPr>
                <w:rFonts w:cs="Arial"/>
              </w:rPr>
            </w:pPr>
            <w:r w:rsidRPr="000E3509">
              <w:rPr>
                <w:rFonts w:cs="Arial"/>
              </w:rPr>
              <w:t>Submitter’s Information</w:t>
            </w:r>
          </w:p>
        </w:tc>
      </w:tr>
      <w:tr w:rsidR="00E40069" w:rsidRPr="000E3509" w14:paraId="65BF3471" w14:textId="77777777">
        <w:tblPrEx>
          <w:tblCellMar>
            <w:top w:w="0" w:type="dxa"/>
            <w:bottom w:w="0" w:type="dxa"/>
          </w:tblCellMar>
        </w:tblPrEx>
        <w:trPr>
          <w:trHeight w:val="350"/>
        </w:trPr>
        <w:tc>
          <w:tcPr>
            <w:tcW w:w="2880" w:type="dxa"/>
            <w:shd w:val="clear" w:color="auto" w:fill="FFFFFF"/>
            <w:vAlign w:val="center"/>
          </w:tcPr>
          <w:p w14:paraId="378CCAA9" w14:textId="77777777" w:rsidR="00E40069" w:rsidRPr="000E3509" w:rsidRDefault="00E40069" w:rsidP="00E40069">
            <w:pPr>
              <w:pStyle w:val="Header"/>
              <w:rPr>
                <w:rFonts w:cs="Arial"/>
              </w:rPr>
            </w:pPr>
            <w:r w:rsidRPr="000E3509">
              <w:rPr>
                <w:rFonts w:cs="Arial"/>
              </w:rPr>
              <w:t>Name</w:t>
            </w:r>
          </w:p>
        </w:tc>
        <w:tc>
          <w:tcPr>
            <w:tcW w:w="7560" w:type="dxa"/>
            <w:vAlign w:val="center"/>
          </w:tcPr>
          <w:p w14:paraId="2F4784D2" w14:textId="77777777" w:rsidR="00E40069" w:rsidRPr="000E3509" w:rsidRDefault="00E40069" w:rsidP="00E40069">
            <w:pPr>
              <w:pStyle w:val="NormalArial"/>
              <w:rPr>
                <w:rFonts w:cs="Arial"/>
              </w:rPr>
            </w:pPr>
            <w:r w:rsidRPr="000E3509">
              <w:rPr>
                <w:rFonts w:cs="Arial"/>
              </w:rPr>
              <w:t>Haynes Strader / Chris Matos</w:t>
            </w:r>
          </w:p>
        </w:tc>
      </w:tr>
      <w:tr w:rsidR="00E40069" w:rsidRPr="000E3509" w14:paraId="108C7278" w14:textId="77777777">
        <w:tblPrEx>
          <w:tblCellMar>
            <w:top w:w="0" w:type="dxa"/>
            <w:bottom w:w="0" w:type="dxa"/>
          </w:tblCellMar>
        </w:tblPrEx>
        <w:trPr>
          <w:trHeight w:val="350"/>
        </w:trPr>
        <w:tc>
          <w:tcPr>
            <w:tcW w:w="2880" w:type="dxa"/>
            <w:shd w:val="clear" w:color="auto" w:fill="FFFFFF"/>
            <w:vAlign w:val="center"/>
          </w:tcPr>
          <w:p w14:paraId="734BD02E" w14:textId="77777777" w:rsidR="00E40069" w:rsidRPr="000E3509" w:rsidRDefault="00E40069" w:rsidP="00E40069">
            <w:pPr>
              <w:pStyle w:val="Header"/>
              <w:rPr>
                <w:rFonts w:cs="Arial"/>
              </w:rPr>
            </w:pPr>
            <w:r w:rsidRPr="000E3509">
              <w:rPr>
                <w:rFonts w:cs="Arial"/>
              </w:rPr>
              <w:t>E-mail Address</w:t>
            </w:r>
          </w:p>
        </w:tc>
        <w:tc>
          <w:tcPr>
            <w:tcW w:w="7560" w:type="dxa"/>
            <w:vAlign w:val="center"/>
          </w:tcPr>
          <w:p w14:paraId="3E7E5B97" w14:textId="77777777" w:rsidR="00E40069" w:rsidRPr="000E3509" w:rsidRDefault="00E40069" w:rsidP="00E40069">
            <w:pPr>
              <w:pStyle w:val="NormalArial"/>
              <w:rPr>
                <w:rFonts w:cs="Arial"/>
              </w:rPr>
            </w:pPr>
            <w:hyperlink r:id="rId8" w:history="1">
              <w:r w:rsidRPr="000E3509">
                <w:rPr>
                  <w:rStyle w:val="Hyperlink"/>
                  <w:rFonts w:cs="Arial"/>
                </w:rPr>
                <w:t>haynes@skyboxdatacenters.com</w:t>
              </w:r>
            </w:hyperlink>
            <w:r w:rsidRPr="000E3509">
              <w:rPr>
                <w:rFonts w:cs="Arial"/>
              </w:rPr>
              <w:t xml:space="preserve"> / </w:t>
            </w:r>
            <w:hyperlink r:id="rId9" w:history="1">
              <w:r w:rsidRPr="000E3509">
                <w:rPr>
                  <w:rStyle w:val="Hyperlink"/>
                  <w:rFonts w:eastAsia="Arial" w:cs="Arial"/>
                </w:rPr>
                <w:t>chrismatos@google.com</w:t>
              </w:r>
            </w:hyperlink>
          </w:p>
        </w:tc>
      </w:tr>
      <w:tr w:rsidR="00E40069" w:rsidRPr="000E3509" w14:paraId="4BCBDD4B" w14:textId="77777777">
        <w:tblPrEx>
          <w:tblCellMar>
            <w:top w:w="0" w:type="dxa"/>
            <w:bottom w:w="0" w:type="dxa"/>
          </w:tblCellMar>
        </w:tblPrEx>
        <w:trPr>
          <w:trHeight w:val="350"/>
        </w:trPr>
        <w:tc>
          <w:tcPr>
            <w:tcW w:w="2880" w:type="dxa"/>
            <w:shd w:val="clear" w:color="auto" w:fill="FFFFFF"/>
            <w:vAlign w:val="center"/>
          </w:tcPr>
          <w:p w14:paraId="77102B6D" w14:textId="77777777" w:rsidR="00E40069" w:rsidRPr="000E3509" w:rsidRDefault="00E40069" w:rsidP="00E40069">
            <w:pPr>
              <w:pStyle w:val="Header"/>
              <w:rPr>
                <w:rFonts w:cs="Arial"/>
              </w:rPr>
            </w:pPr>
            <w:r w:rsidRPr="000E3509">
              <w:rPr>
                <w:rFonts w:cs="Arial"/>
              </w:rPr>
              <w:t>Company</w:t>
            </w:r>
          </w:p>
        </w:tc>
        <w:tc>
          <w:tcPr>
            <w:tcW w:w="7560" w:type="dxa"/>
            <w:vAlign w:val="center"/>
          </w:tcPr>
          <w:p w14:paraId="425ED987" w14:textId="061E2CFB" w:rsidR="00E40069" w:rsidRPr="000E3509" w:rsidRDefault="00E40069" w:rsidP="00E40069">
            <w:pPr>
              <w:pStyle w:val="NormalArial"/>
              <w:rPr>
                <w:rFonts w:cs="Arial"/>
              </w:rPr>
            </w:pPr>
            <w:r w:rsidRPr="000E3509">
              <w:rPr>
                <w:rFonts w:cs="Arial"/>
              </w:rPr>
              <w:t>Skybox Datacenters LLC / Google LLC</w:t>
            </w:r>
            <w:r w:rsidR="00F37ED5">
              <w:rPr>
                <w:rFonts w:cs="Arial"/>
              </w:rPr>
              <w:t xml:space="preserve"> (“Joint Commenters”)</w:t>
            </w:r>
          </w:p>
        </w:tc>
      </w:tr>
      <w:tr w:rsidR="00E40069" w:rsidRPr="000E3509" w14:paraId="5312BAF3" w14:textId="77777777">
        <w:tblPrEx>
          <w:tblCellMar>
            <w:top w:w="0" w:type="dxa"/>
            <w:bottom w:w="0" w:type="dxa"/>
          </w:tblCellMar>
        </w:tblPrEx>
        <w:trPr>
          <w:trHeight w:val="350"/>
        </w:trPr>
        <w:tc>
          <w:tcPr>
            <w:tcW w:w="2880" w:type="dxa"/>
            <w:tcBorders>
              <w:bottom w:val="single" w:sz="4" w:space="0" w:color="auto"/>
            </w:tcBorders>
            <w:shd w:val="clear" w:color="auto" w:fill="FFFFFF"/>
            <w:vAlign w:val="center"/>
          </w:tcPr>
          <w:p w14:paraId="66F56A80" w14:textId="77777777" w:rsidR="00E40069" w:rsidRPr="000E3509" w:rsidRDefault="00E40069" w:rsidP="00E40069">
            <w:pPr>
              <w:pStyle w:val="Header"/>
              <w:rPr>
                <w:rFonts w:cs="Arial"/>
              </w:rPr>
            </w:pPr>
            <w:r w:rsidRPr="000E3509">
              <w:rPr>
                <w:rFonts w:cs="Arial"/>
              </w:rPr>
              <w:t>Phone Number</w:t>
            </w:r>
          </w:p>
        </w:tc>
        <w:tc>
          <w:tcPr>
            <w:tcW w:w="7560" w:type="dxa"/>
            <w:tcBorders>
              <w:bottom w:val="single" w:sz="4" w:space="0" w:color="auto"/>
            </w:tcBorders>
            <w:vAlign w:val="center"/>
          </w:tcPr>
          <w:p w14:paraId="70038BAF" w14:textId="77777777" w:rsidR="00E40069" w:rsidRPr="000E3509" w:rsidRDefault="00E40069" w:rsidP="00E40069">
            <w:pPr>
              <w:pStyle w:val="NormalArial"/>
              <w:rPr>
                <w:rFonts w:cs="Arial"/>
              </w:rPr>
            </w:pPr>
            <w:r w:rsidRPr="000E3509">
              <w:rPr>
                <w:rFonts w:cs="Arial"/>
              </w:rPr>
              <w:t>404-433-4464 / 650-930-6764</w:t>
            </w:r>
          </w:p>
        </w:tc>
      </w:tr>
      <w:tr w:rsidR="00E40069" w:rsidRPr="000E3509" w14:paraId="1590655F" w14:textId="77777777">
        <w:tblPrEx>
          <w:tblCellMar>
            <w:top w:w="0" w:type="dxa"/>
            <w:bottom w:w="0" w:type="dxa"/>
          </w:tblCellMar>
        </w:tblPrEx>
        <w:trPr>
          <w:trHeight w:val="350"/>
        </w:trPr>
        <w:tc>
          <w:tcPr>
            <w:tcW w:w="2880" w:type="dxa"/>
            <w:shd w:val="clear" w:color="auto" w:fill="FFFFFF"/>
            <w:vAlign w:val="center"/>
          </w:tcPr>
          <w:p w14:paraId="109AD838" w14:textId="77777777" w:rsidR="00E40069" w:rsidRPr="000E3509" w:rsidRDefault="00E40069" w:rsidP="00E40069">
            <w:pPr>
              <w:pStyle w:val="Header"/>
              <w:rPr>
                <w:rFonts w:cs="Arial"/>
              </w:rPr>
            </w:pPr>
            <w:r w:rsidRPr="000E3509">
              <w:rPr>
                <w:rFonts w:cs="Arial"/>
              </w:rPr>
              <w:t>Cell Number</w:t>
            </w:r>
          </w:p>
        </w:tc>
        <w:tc>
          <w:tcPr>
            <w:tcW w:w="7560" w:type="dxa"/>
            <w:vAlign w:val="center"/>
          </w:tcPr>
          <w:p w14:paraId="1F658AF4" w14:textId="77777777" w:rsidR="00E40069" w:rsidRPr="000E3509" w:rsidRDefault="00E40069" w:rsidP="00E40069">
            <w:pPr>
              <w:pStyle w:val="NormalArial"/>
              <w:rPr>
                <w:rFonts w:cs="Arial"/>
              </w:rPr>
            </w:pPr>
          </w:p>
        </w:tc>
      </w:tr>
      <w:tr w:rsidR="00E40069" w:rsidRPr="000E3509" w14:paraId="0385882A" w14:textId="77777777">
        <w:tblPrEx>
          <w:tblCellMar>
            <w:top w:w="0" w:type="dxa"/>
            <w:bottom w:w="0" w:type="dxa"/>
          </w:tblCellMar>
        </w:tblPrEx>
        <w:trPr>
          <w:trHeight w:val="350"/>
        </w:trPr>
        <w:tc>
          <w:tcPr>
            <w:tcW w:w="2880" w:type="dxa"/>
            <w:tcBorders>
              <w:bottom w:val="single" w:sz="4" w:space="0" w:color="auto"/>
            </w:tcBorders>
            <w:shd w:val="clear" w:color="auto" w:fill="FFFFFF"/>
            <w:vAlign w:val="center"/>
          </w:tcPr>
          <w:p w14:paraId="5F8D9FDD" w14:textId="77777777" w:rsidR="00E40069" w:rsidRPr="000E3509" w:rsidDel="00075A94" w:rsidRDefault="00E40069" w:rsidP="00E40069">
            <w:pPr>
              <w:pStyle w:val="Header"/>
              <w:rPr>
                <w:rFonts w:cs="Arial"/>
              </w:rPr>
            </w:pPr>
            <w:r w:rsidRPr="000E3509">
              <w:rPr>
                <w:rFonts w:cs="Arial"/>
              </w:rPr>
              <w:t>Market Segment</w:t>
            </w:r>
          </w:p>
        </w:tc>
        <w:tc>
          <w:tcPr>
            <w:tcW w:w="7560" w:type="dxa"/>
            <w:tcBorders>
              <w:bottom w:val="single" w:sz="4" w:space="0" w:color="auto"/>
            </w:tcBorders>
            <w:vAlign w:val="center"/>
          </w:tcPr>
          <w:p w14:paraId="573ABD85" w14:textId="77777777" w:rsidR="00E40069" w:rsidRPr="000E3509" w:rsidRDefault="00E40069" w:rsidP="00E40069">
            <w:pPr>
              <w:pStyle w:val="NormalArial"/>
              <w:rPr>
                <w:rFonts w:cs="Arial"/>
              </w:rPr>
            </w:pPr>
            <w:r w:rsidRPr="000E3509">
              <w:rPr>
                <w:rFonts w:cs="Arial"/>
              </w:rPr>
              <w:t xml:space="preserve">Industrial Consumer </w:t>
            </w:r>
          </w:p>
        </w:tc>
      </w:tr>
    </w:tbl>
    <w:p w14:paraId="116DE9B8" w14:textId="77777777" w:rsidR="00075A94" w:rsidRDefault="00075A94">
      <w:pPr>
        <w:pStyle w:val="NormalArial"/>
        <w:rPr>
          <w:rFonts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FB5BEB" w:rsidRPr="000E3509" w14:paraId="395A3BEC" w14:textId="77777777" w:rsidTr="00875883">
        <w:tblPrEx>
          <w:tblCellMar>
            <w:top w:w="0" w:type="dxa"/>
            <w:bottom w:w="0" w:type="dxa"/>
          </w:tblCellMar>
        </w:tblPrEx>
        <w:trPr>
          <w:trHeight w:val="350"/>
        </w:trPr>
        <w:tc>
          <w:tcPr>
            <w:tcW w:w="10440" w:type="dxa"/>
            <w:tcBorders>
              <w:bottom w:val="single" w:sz="4" w:space="0" w:color="auto"/>
            </w:tcBorders>
            <w:shd w:val="clear" w:color="auto" w:fill="FFFFFF"/>
            <w:vAlign w:val="center"/>
          </w:tcPr>
          <w:p w14:paraId="53CEA344" w14:textId="30EEF5E4" w:rsidR="00FB5BEB" w:rsidRPr="000E3509" w:rsidRDefault="00FB5BEB" w:rsidP="00875883">
            <w:pPr>
              <w:pStyle w:val="Header"/>
              <w:jc w:val="center"/>
              <w:rPr>
                <w:rFonts w:cs="Arial"/>
              </w:rPr>
            </w:pPr>
            <w:r>
              <w:rPr>
                <w:rFonts w:cs="Arial"/>
              </w:rPr>
              <w:t>Comments</w:t>
            </w:r>
          </w:p>
        </w:tc>
      </w:tr>
    </w:tbl>
    <w:p w14:paraId="02D15351" w14:textId="77777777" w:rsidR="00152993" w:rsidRPr="000E3509" w:rsidRDefault="00152993">
      <w:pPr>
        <w:pStyle w:val="NormalArial"/>
        <w:rPr>
          <w:rFonts w:cs="Arial"/>
        </w:rPr>
      </w:pPr>
    </w:p>
    <w:p w14:paraId="33760492" w14:textId="77777777" w:rsidR="000E3509" w:rsidRPr="000E3509" w:rsidRDefault="000E3509" w:rsidP="000E3509">
      <w:pPr>
        <w:spacing w:after="240"/>
        <w:jc w:val="both"/>
        <w:rPr>
          <w:rFonts w:ascii="Arial" w:hAnsi="Arial" w:cs="Arial"/>
          <w:b/>
          <w:bCs/>
        </w:rPr>
      </w:pPr>
      <w:r w:rsidRPr="000E3509">
        <w:rPr>
          <w:rFonts w:ascii="Arial" w:hAnsi="Arial" w:cs="Arial"/>
          <w:b/>
          <w:bCs/>
        </w:rPr>
        <w:t xml:space="preserve">I. </w:t>
      </w:r>
      <w:r w:rsidRPr="000E3509">
        <w:rPr>
          <w:rFonts w:ascii="Arial" w:hAnsi="Arial" w:cs="Arial"/>
          <w:b/>
          <w:bCs/>
        </w:rPr>
        <w:tab/>
        <w:t>Introduction</w:t>
      </w:r>
    </w:p>
    <w:p w14:paraId="519A2D15" w14:textId="41D9F977" w:rsidR="000E3509" w:rsidRPr="000E3509" w:rsidRDefault="000E3509" w:rsidP="000E3509">
      <w:pPr>
        <w:spacing w:after="240"/>
        <w:jc w:val="both"/>
        <w:rPr>
          <w:rFonts w:ascii="Arial" w:hAnsi="Arial" w:cs="Arial"/>
        </w:rPr>
      </w:pPr>
      <w:r w:rsidRPr="000E3509">
        <w:rPr>
          <w:rFonts w:ascii="Arial" w:hAnsi="Arial" w:cs="Arial"/>
        </w:rPr>
        <w:t xml:space="preserve">Skybox Datacenters LLC (Skybox) and Google LLC (Google) </w:t>
      </w:r>
      <w:r w:rsidR="00FB5BEB">
        <w:rPr>
          <w:rFonts w:ascii="Arial" w:hAnsi="Arial" w:cs="Arial"/>
        </w:rPr>
        <w:t>(</w:t>
      </w:r>
      <w:r w:rsidRPr="000E3509">
        <w:rPr>
          <w:rFonts w:ascii="Arial" w:hAnsi="Arial" w:cs="Arial"/>
        </w:rPr>
        <w:t>Joint Commenters) jointly submit these comments to Nodal Operating Guide Revision Request (NOGRR) 289, Extension for LCL Cooling Load Ride-Through Compliance,</w:t>
      </w:r>
      <w:r w:rsidR="00B619B9">
        <w:rPr>
          <w:rFonts w:ascii="Arial" w:hAnsi="Arial" w:cs="Arial"/>
        </w:rPr>
        <w:t xml:space="preserve"> </w:t>
      </w:r>
      <w:r w:rsidRPr="000E3509">
        <w:rPr>
          <w:rFonts w:ascii="Arial" w:hAnsi="Arial" w:cs="Arial"/>
        </w:rPr>
        <w:t>from the perspective of developers and operators of large-scale data center and related infrastructure in ERCOT, including facilities that constitute or may constitute Large Computational Loads (LCLs). Collectively, Joint Commenters have direct experience with the sequencing and interdependencies among data center and electrical system design, cooling-system design, equipment specification and procurement, interconnection, construction, commissioning, and phased energization, and therefore with the practical implementation issues associated with recently approved NOGRR282, Large Computational Load Ride-Through Requirements, and NOGRR289.</w:t>
      </w:r>
    </w:p>
    <w:p w14:paraId="22C05985" w14:textId="77777777" w:rsidR="000E3509" w:rsidRPr="000E3509" w:rsidRDefault="000E3509" w:rsidP="000E3509">
      <w:pPr>
        <w:spacing w:after="240"/>
        <w:jc w:val="both"/>
        <w:rPr>
          <w:rFonts w:ascii="Arial" w:hAnsi="Arial" w:cs="Arial"/>
        </w:rPr>
      </w:pPr>
      <w:r w:rsidRPr="000E3509">
        <w:rPr>
          <w:rFonts w:ascii="Arial" w:hAnsi="Arial" w:cs="Arial"/>
        </w:rPr>
        <w:t>Joint Commenters support NOGRR289 as an appropriate means of addressing a discrete implementation issue created by the present commercial availability and demonstrated ride-through capability of cooling-system equipment. NOGRR282 generally requires non-exempt LCLs to satisfy the applicable frequency ride-through (FRT) and voltage ride-through (VRT) requirements upon energization, although equipment incorporated into projects already under development was not necessarily designed or validated to meet those requirements.</w:t>
      </w:r>
    </w:p>
    <w:p w14:paraId="48370374" w14:textId="77777777" w:rsidR="000E3509" w:rsidRPr="000E3509" w:rsidRDefault="000E3509" w:rsidP="000E3509">
      <w:pPr>
        <w:spacing w:after="240"/>
        <w:jc w:val="both"/>
        <w:rPr>
          <w:rFonts w:ascii="Arial" w:hAnsi="Arial" w:cs="Arial"/>
        </w:rPr>
      </w:pPr>
      <w:r w:rsidRPr="000E3509">
        <w:rPr>
          <w:rFonts w:ascii="Arial" w:hAnsi="Arial" w:cs="Arial"/>
        </w:rPr>
        <w:t>Joint Commenters generally agree with the Data Center Coalition’s (DCC’s) position that a temporary, load block-based (or cooling load) compliance framework (the Framework) should:</w:t>
      </w:r>
    </w:p>
    <w:p w14:paraId="018C6591" w14:textId="77777777" w:rsidR="000E3509" w:rsidRPr="000E3509" w:rsidRDefault="000E3509" w:rsidP="000E3509">
      <w:pPr>
        <w:numPr>
          <w:ilvl w:val="0"/>
          <w:numId w:val="4"/>
        </w:numPr>
        <w:spacing w:after="240"/>
        <w:ind w:left="1350" w:hanging="720"/>
        <w:jc w:val="both"/>
        <w:rPr>
          <w:rFonts w:ascii="Arial" w:hAnsi="Arial" w:cs="Arial"/>
        </w:rPr>
      </w:pPr>
      <w:r w:rsidRPr="000E3509">
        <w:rPr>
          <w:rFonts w:ascii="Arial" w:hAnsi="Arial" w:cs="Arial"/>
        </w:rPr>
        <w:t xml:space="preserve">For LCLs that energize or increase Demand in discrete increments under a Load Commissioning Plan (LCP) or other applicable energization </w:t>
      </w:r>
      <w:r w:rsidRPr="000E3509">
        <w:rPr>
          <w:rFonts w:ascii="Arial" w:hAnsi="Arial" w:cs="Arial"/>
        </w:rPr>
        <w:lastRenderedPageBreak/>
        <w:t>framework, apply temporary relief separately to each qualifying load block rather than through a single campus-wide compliance period;</w:t>
      </w:r>
    </w:p>
    <w:p w14:paraId="022118C9" w14:textId="77777777" w:rsidR="000E3509" w:rsidRPr="000E3509" w:rsidRDefault="000E3509" w:rsidP="000E3509">
      <w:pPr>
        <w:numPr>
          <w:ilvl w:val="0"/>
          <w:numId w:val="4"/>
        </w:numPr>
        <w:spacing w:after="240"/>
        <w:ind w:left="1350" w:hanging="720"/>
        <w:jc w:val="both"/>
        <w:rPr>
          <w:rFonts w:ascii="Arial" w:hAnsi="Arial" w:cs="Arial"/>
        </w:rPr>
      </w:pPr>
      <w:r w:rsidRPr="000E3509">
        <w:rPr>
          <w:rFonts w:ascii="Arial" w:hAnsi="Arial" w:cs="Arial"/>
        </w:rPr>
        <w:t>Recognize that affected cooling systems extend beyond chillers and variable frequency drives (VFDs) and may include pumps, fans, cooling towers, controls, protection systems, and other equipment integral to cooling-system performance;</w:t>
      </w:r>
    </w:p>
    <w:p w14:paraId="4AC097D5" w14:textId="77777777" w:rsidR="000E3509" w:rsidRPr="000E3509" w:rsidRDefault="000E3509" w:rsidP="000E3509">
      <w:pPr>
        <w:numPr>
          <w:ilvl w:val="0"/>
          <w:numId w:val="4"/>
        </w:numPr>
        <w:spacing w:after="240"/>
        <w:ind w:left="1350" w:hanging="720"/>
        <w:jc w:val="both"/>
        <w:rPr>
          <w:rFonts w:ascii="Arial" w:hAnsi="Arial" w:cs="Arial"/>
        </w:rPr>
      </w:pPr>
      <w:r w:rsidRPr="000E3509">
        <w:rPr>
          <w:rFonts w:ascii="Arial" w:hAnsi="Arial" w:cs="Arial"/>
        </w:rPr>
        <w:t>Require a documented path toward achieving the applicable ride-through performance for each affected LCL without making ERCOT approval of the underlying engineering or compliance plan a separate prerequisite to Initial Energization; and</w:t>
      </w:r>
    </w:p>
    <w:p w14:paraId="598DB049" w14:textId="77777777" w:rsidR="000E3509" w:rsidRPr="000E3509" w:rsidRDefault="000E3509" w:rsidP="000E3509">
      <w:pPr>
        <w:numPr>
          <w:ilvl w:val="0"/>
          <w:numId w:val="4"/>
        </w:numPr>
        <w:spacing w:after="240"/>
        <w:ind w:left="1350" w:hanging="720"/>
        <w:jc w:val="both"/>
        <w:rPr>
          <w:rFonts w:ascii="Arial" w:hAnsi="Arial" w:cs="Arial"/>
        </w:rPr>
      </w:pPr>
      <w:r w:rsidRPr="000E3509">
        <w:rPr>
          <w:rFonts w:ascii="Arial" w:hAnsi="Arial" w:cs="Arial"/>
        </w:rPr>
        <w:t>Permit a limited additional compliance period beyond a 12-month compliance allowance where documented manufacturing lead times, certification delays, field-testing limitations, commissioning constraints, or comparable circumstances outside the project developer’s/operator’s reasonable control by the LCL developer/operator prevent timely compliance.</w:t>
      </w:r>
    </w:p>
    <w:p w14:paraId="2BB0D350" w14:textId="77777777" w:rsidR="000E3509" w:rsidRPr="000E3509" w:rsidRDefault="000E3509" w:rsidP="000E3509">
      <w:pPr>
        <w:spacing w:after="240"/>
        <w:jc w:val="both"/>
        <w:rPr>
          <w:rFonts w:ascii="Arial" w:hAnsi="Arial" w:cs="Arial"/>
        </w:rPr>
      </w:pPr>
      <w:r w:rsidRPr="000E3509">
        <w:rPr>
          <w:rFonts w:ascii="Arial" w:hAnsi="Arial" w:cs="Arial"/>
        </w:rPr>
        <w:t>However, Joint Commenters recommend that the Compliance Framework be further refined to provide a reasonable, predictable, and technically grounded transition that accounts for practical equipment and implementation constraints while preserving ERCOT’s ability to manage demonstrated reliability risk. Specifically, the amount and duration of temporary relief should be reasonably calibrated to the actual amount (MW) of cooling load that cannot yet achieve the applicable ride-through performance and the modeled reliability effect of that load, rather than computational load percentage as a proxy. Accordingly, the Framework should also:</w:t>
      </w:r>
    </w:p>
    <w:p w14:paraId="39A76207" w14:textId="77777777" w:rsidR="000E3509" w:rsidRPr="000E3509" w:rsidRDefault="000E3509" w:rsidP="000E3509">
      <w:pPr>
        <w:numPr>
          <w:ilvl w:val="0"/>
          <w:numId w:val="5"/>
        </w:numPr>
        <w:spacing w:after="240"/>
        <w:ind w:left="1350" w:hanging="630"/>
        <w:jc w:val="both"/>
        <w:rPr>
          <w:rFonts w:ascii="Arial" w:hAnsi="Arial" w:cs="Arial"/>
        </w:rPr>
      </w:pPr>
      <w:r w:rsidRPr="000E3509">
        <w:rPr>
          <w:rFonts w:ascii="Arial" w:hAnsi="Arial" w:cs="Arial"/>
        </w:rPr>
        <w:t xml:space="preserve">Establish clear and objective eligibility and termination parameters; </w:t>
      </w:r>
    </w:p>
    <w:p w14:paraId="656888B2" w14:textId="77777777" w:rsidR="000E3509" w:rsidRPr="000E3509" w:rsidRDefault="000E3509" w:rsidP="000E3509">
      <w:pPr>
        <w:numPr>
          <w:ilvl w:val="0"/>
          <w:numId w:val="5"/>
        </w:numPr>
        <w:spacing w:after="240"/>
        <w:ind w:left="1350" w:hanging="630"/>
        <w:jc w:val="both"/>
        <w:rPr>
          <w:rFonts w:ascii="Arial" w:hAnsi="Arial" w:cs="Arial"/>
        </w:rPr>
      </w:pPr>
      <w:r w:rsidRPr="000E3509">
        <w:rPr>
          <w:rFonts w:ascii="Arial" w:hAnsi="Arial" w:cs="Arial"/>
        </w:rPr>
        <w:t xml:space="preserve">Provide ERCOT the information necessary to incorporate temporarily nonconforming cooling load into its existing VRT/FRT assessments; and </w:t>
      </w:r>
    </w:p>
    <w:p w14:paraId="765112EA" w14:textId="77777777" w:rsidR="000E3509" w:rsidRPr="000E3509" w:rsidRDefault="000E3509" w:rsidP="000E3509">
      <w:pPr>
        <w:numPr>
          <w:ilvl w:val="0"/>
          <w:numId w:val="5"/>
        </w:numPr>
        <w:spacing w:after="240"/>
        <w:ind w:left="1350" w:hanging="630"/>
        <w:jc w:val="both"/>
        <w:rPr>
          <w:rFonts w:ascii="Arial" w:hAnsi="Arial" w:cs="Arial"/>
        </w:rPr>
      </w:pPr>
      <w:r w:rsidRPr="000E3509">
        <w:rPr>
          <w:rFonts w:ascii="Arial" w:hAnsi="Arial" w:cs="Arial"/>
        </w:rPr>
        <w:t>Allow reasonable flexibility where documented circumstances warrant additional time.</w:t>
      </w:r>
    </w:p>
    <w:p w14:paraId="1F4F9DAF" w14:textId="77777777" w:rsidR="000E3509" w:rsidRPr="000E3509" w:rsidRDefault="000E3509" w:rsidP="000E3509">
      <w:pPr>
        <w:spacing w:after="240"/>
        <w:ind w:left="720" w:hanging="720"/>
        <w:jc w:val="both"/>
        <w:rPr>
          <w:rFonts w:ascii="Arial" w:hAnsi="Arial" w:cs="Arial"/>
          <w:b/>
          <w:bCs/>
        </w:rPr>
      </w:pPr>
      <w:r w:rsidRPr="000E3509">
        <w:rPr>
          <w:rFonts w:ascii="Arial" w:hAnsi="Arial" w:cs="Arial"/>
          <w:b/>
          <w:bCs/>
        </w:rPr>
        <w:t xml:space="preserve">II. </w:t>
      </w:r>
      <w:r w:rsidRPr="000E3509">
        <w:rPr>
          <w:rFonts w:ascii="Arial" w:hAnsi="Arial" w:cs="Arial"/>
          <w:b/>
          <w:bCs/>
        </w:rPr>
        <w:tab/>
        <w:t>NOGRR289 Should Establish a Bounded Transition for Identified Cooling Load; Not a Facility-Wide Exemption</w:t>
      </w:r>
    </w:p>
    <w:p w14:paraId="4C611405" w14:textId="77777777" w:rsidR="000E3509" w:rsidRPr="000E3509" w:rsidRDefault="000E3509" w:rsidP="000E3509">
      <w:pPr>
        <w:spacing w:after="240"/>
        <w:jc w:val="both"/>
        <w:rPr>
          <w:rFonts w:ascii="Arial" w:hAnsi="Arial" w:cs="Arial"/>
        </w:rPr>
      </w:pPr>
      <w:r w:rsidRPr="000E3509">
        <w:rPr>
          <w:rFonts w:ascii="Arial" w:hAnsi="Arial" w:cs="Arial"/>
        </w:rPr>
        <w:t>Joint Commenters support treating NOGRR289 as a narrow transition for cooling system equipment. NOGRR289 addresses equipment that was designed, specified, procured, or incorporated into projects before equipment capable of satisfying the new performance envelope was available and validated at the necessary commercial scale. Temporary relief should accordingly apply only to the portion of cooling-system load that cannot achieve the otherwise applicable ride-through performance as of the relevant energization date. It should not operate as a blanket exemption for the computational load, the entire LCL, or an entire campus.</w:t>
      </w:r>
    </w:p>
    <w:p w14:paraId="4349EEAA" w14:textId="77777777" w:rsidR="000E3509" w:rsidRPr="000E3509" w:rsidRDefault="000E3509" w:rsidP="000E3509">
      <w:pPr>
        <w:spacing w:after="240"/>
        <w:jc w:val="both"/>
        <w:rPr>
          <w:rFonts w:ascii="Arial" w:hAnsi="Arial" w:cs="Arial"/>
        </w:rPr>
      </w:pPr>
      <w:r w:rsidRPr="000E3509">
        <w:rPr>
          <w:rFonts w:ascii="Arial" w:hAnsi="Arial" w:cs="Arial"/>
        </w:rPr>
        <w:lastRenderedPageBreak/>
        <w:t>Joint Commenters recommend defining “Noncompliant Cooling Load” or, more reasonably, “Transition Cooling Load” as the portion of cooling-system load (MW) within a qualifying load block that cannot satisfy the applicable ride-through performance specified in Nodal Operating Guide §§</w:t>
      </w:r>
      <w:r w:rsidR="00B619B9">
        <w:rPr>
          <w:rFonts w:ascii="Arial" w:hAnsi="Arial" w:cs="Arial"/>
        </w:rPr>
        <w:t xml:space="preserve"> </w:t>
      </w:r>
      <w:r w:rsidRPr="000E3509">
        <w:rPr>
          <w:rFonts w:ascii="Arial" w:hAnsi="Arial" w:cs="Arial"/>
        </w:rPr>
        <w:t>2.6.4 and/or 2.15 as of the applicable block energization date. The MW amount should be separately identified for FRT and VRT where the equipment has different capabilities below the requirements.</w:t>
      </w:r>
    </w:p>
    <w:p w14:paraId="0655CA5A" w14:textId="77777777" w:rsidR="000E3509" w:rsidRPr="000E3509" w:rsidRDefault="000E3509" w:rsidP="000E3509">
      <w:pPr>
        <w:spacing w:after="240"/>
        <w:jc w:val="both"/>
        <w:rPr>
          <w:rFonts w:ascii="Arial" w:hAnsi="Arial" w:cs="Arial"/>
        </w:rPr>
      </w:pPr>
      <w:r w:rsidRPr="000E3509">
        <w:rPr>
          <w:rFonts w:ascii="Arial" w:hAnsi="Arial" w:cs="Arial"/>
        </w:rPr>
        <w:t>This approach directly addresses ERCOT’s concern that cooling load may constitute as much as 35% of total site Demand. Therefore, the actual affected MW should be identified and modeled rather than assuming that all cooling loads have identical behavior.</w:t>
      </w:r>
    </w:p>
    <w:p w14:paraId="244082F6" w14:textId="77777777" w:rsidR="000E3509" w:rsidRPr="000E3509" w:rsidRDefault="000E3509" w:rsidP="000E3509">
      <w:pPr>
        <w:spacing w:after="240"/>
        <w:ind w:left="720" w:hanging="720"/>
        <w:jc w:val="both"/>
        <w:rPr>
          <w:rFonts w:ascii="Arial" w:hAnsi="Arial" w:cs="Arial"/>
          <w:b/>
          <w:bCs/>
        </w:rPr>
      </w:pPr>
      <w:r w:rsidRPr="000E3509">
        <w:rPr>
          <w:rFonts w:ascii="Arial" w:hAnsi="Arial" w:cs="Arial"/>
          <w:b/>
          <w:bCs/>
        </w:rPr>
        <w:t xml:space="preserve">III. </w:t>
      </w:r>
      <w:r w:rsidRPr="000E3509">
        <w:rPr>
          <w:rFonts w:ascii="Arial" w:hAnsi="Arial" w:cs="Arial"/>
          <w:b/>
          <w:bCs/>
        </w:rPr>
        <w:tab/>
        <w:t>Temporary Treatment Should Apply by Load Block and Based on Actual Cooling Load</w:t>
      </w:r>
    </w:p>
    <w:p w14:paraId="59ECEDE8" w14:textId="77777777" w:rsidR="000E3509" w:rsidRPr="000E3509" w:rsidRDefault="000E3509" w:rsidP="000E3509">
      <w:pPr>
        <w:spacing w:after="240"/>
        <w:jc w:val="both"/>
        <w:rPr>
          <w:rFonts w:ascii="Arial" w:hAnsi="Arial" w:cs="Arial"/>
        </w:rPr>
      </w:pPr>
      <w:r w:rsidRPr="000E3509">
        <w:rPr>
          <w:rFonts w:ascii="Arial" w:hAnsi="Arial" w:cs="Arial"/>
        </w:rPr>
        <w:t>NOGRR289’s reference to an LCL’s “in-service date” does not adequately address facilities that energize or increase Demand in discrete increments under a Load Commissioning Plan (LCP) or other applicable energization arrangement.</w:t>
      </w:r>
    </w:p>
    <w:p w14:paraId="716FD59D" w14:textId="77777777" w:rsidR="000E3509" w:rsidRPr="000E3509" w:rsidRDefault="000E3509" w:rsidP="000E3509">
      <w:pPr>
        <w:spacing w:after="240"/>
        <w:jc w:val="both"/>
        <w:rPr>
          <w:rFonts w:ascii="Arial" w:hAnsi="Arial" w:cs="Arial"/>
        </w:rPr>
      </w:pPr>
      <w:r w:rsidRPr="000E3509">
        <w:rPr>
          <w:rFonts w:ascii="Arial" w:hAnsi="Arial" w:cs="Arial"/>
        </w:rPr>
        <w:t>For those facilities, the temporary period should apply separately to each qualifying Load Block. A “Load Block” should mean an incremental quantity of Demand authorized to energize or increase consumption as a discrete increment, and its “Block Energization Date” should be the date on which that incremental Demand is first authorized to energize and draw power.</w:t>
      </w:r>
    </w:p>
    <w:p w14:paraId="6A62DD4C" w14:textId="77777777" w:rsidR="000E3509" w:rsidRPr="000E3509" w:rsidRDefault="000E3509" w:rsidP="000E3509">
      <w:pPr>
        <w:spacing w:after="240"/>
        <w:jc w:val="both"/>
        <w:rPr>
          <w:rFonts w:ascii="Arial" w:hAnsi="Arial" w:cs="Arial"/>
        </w:rPr>
      </w:pPr>
      <w:r w:rsidRPr="000E3509">
        <w:rPr>
          <w:rFonts w:ascii="Arial" w:hAnsi="Arial" w:cs="Arial"/>
        </w:rPr>
        <w:t>Each qualifying Load Block should receive a 12-month compliance allowance measured from the later of (a) the effective date of NOGRR289, or (b) the applicable Block Energization Date, and the temporary relief should apply only to the cooling-system MW associated with that block that cannot yet satisfy the applicable FRT or VRT performance.</w:t>
      </w:r>
    </w:p>
    <w:p w14:paraId="6DD090C9" w14:textId="77777777" w:rsidR="000E3509" w:rsidRPr="000E3509" w:rsidRDefault="000E3509" w:rsidP="000E3509">
      <w:pPr>
        <w:spacing w:after="240"/>
        <w:jc w:val="both"/>
        <w:rPr>
          <w:rFonts w:ascii="Arial" w:hAnsi="Arial" w:cs="Arial"/>
        </w:rPr>
      </w:pPr>
      <w:r w:rsidRPr="000E3509">
        <w:rPr>
          <w:rFonts w:ascii="Arial" w:hAnsi="Arial" w:cs="Arial"/>
        </w:rPr>
        <w:t>Temporary treatment for a load block should not authorize Demand beyond the amount otherwise permitted under the applicable LCP, interconnection agreement, TSP/DSP service arrangement, or ERCOT energization approval.</w:t>
      </w:r>
    </w:p>
    <w:p w14:paraId="754F6999" w14:textId="77777777" w:rsidR="000E3509" w:rsidRPr="000E3509" w:rsidRDefault="000E3509" w:rsidP="000E3509">
      <w:pPr>
        <w:spacing w:after="240"/>
        <w:ind w:left="720" w:hanging="720"/>
        <w:jc w:val="both"/>
        <w:rPr>
          <w:rFonts w:ascii="Arial" w:hAnsi="Arial" w:cs="Arial"/>
          <w:b/>
          <w:bCs/>
        </w:rPr>
      </w:pPr>
      <w:r w:rsidRPr="000E3509">
        <w:rPr>
          <w:rFonts w:ascii="Arial" w:hAnsi="Arial" w:cs="Arial"/>
          <w:b/>
          <w:bCs/>
        </w:rPr>
        <w:t xml:space="preserve">IV. </w:t>
      </w:r>
      <w:r w:rsidRPr="000E3509">
        <w:rPr>
          <w:rFonts w:ascii="Arial" w:hAnsi="Arial" w:cs="Arial"/>
          <w:b/>
          <w:bCs/>
        </w:rPr>
        <w:tab/>
        <w:t>Reliability Exposure Based on Nonconforming Cooling and Modeled Performance</w:t>
      </w:r>
    </w:p>
    <w:p w14:paraId="02931915" w14:textId="77777777" w:rsidR="000E3509" w:rsidRPr="000E3509" w:rsidRDefault="000E3509" w:rsidP="000E3509">
      <w:pPr>
        <w:spacing w:after="240"/>
        <w:jc w:val="both"/>
        <w:rPr>
          <w:rFonts w:ascii="Arial" w:hAnsi="Arial" w:cs="Arial"/>
        </w:rPr>
      </w:pPr>
      <w:r w:rsidRPr="000E3509">
        <w:rPr>
          <w:rFonts w:ascii="Arial" w:hAnsi="Arial" w:cs="Arial"/>
        </w:rPr>
        <w:t>ERCOT should have sufficient information to quantify and model the cooling load receiving temporary treatment. The Compliance Framework should therefore provide ERCOT, through an appropriate existing or otherwise legally sufficient channel, the information reasonably necessary to evaluate each qualifying Load Block, including:</w:t>
      </w:r>
    </w:p>
    <w:p w14:paraId="6035EFE7" w14:textId="77777777" w:rsidR="000E3509" w:rsidRPr="000E3509" w:rsidRDefault="000E3509" w:rsidP="000E3509">
      <w:pPr>
        <w:numPr>
          <w:ilvl w:val="0"/>
          <w:numId w:val="3"/>
        </w:numPr>
        <w:spacing w:after="240"/>
        <w:jc w:val="both"/>
        <w:rPr>
          <w:rFonts w:ascii="Arial" w:hAnsi="Arial" w:cs="Arial"/>
        </w:rPr>
      </w:pPr>
      <w:r w:rsidRPr="000E3509">
        <w:rPr>
          <w:rFonts w:ascii="Arial" w:hAnsi="Arial" w:cs="Arial"/>
        </w:rPr>
        <w:t>The anticipated Block Energization Date and incremental MW;</w:t>
      </w:r>
    </w:p>
    <w:p w14:paraId="10415062" w14:textId="77777777" w:rsidR="000E3509" w:rsidRPr="000E3509" w:rsidRDefault="000E3509" w:rsidP="000E3509">
      <w:pPr>
        <w:numPr>
          <w:ilvl w:val="0"/>
          <w:numId w:val="3"/>
        </w:numPr>
        <w:spacing w:after="240"/>
        <w:jc w:val="both"/>
        <w:rPr>
          <w:rFonts w:ascii="Arial" w:hAnsi="Arial" w:cs="Arial"/>
        </w:rPr>
      </w:pPr>
      <w:r w:rsidRPr="000E3509">
        <w:rPr>
          <w:rFonts w:ascii="Arial" w:hAnsi="Arial" w:cs="Arial"/>
        </w:rPr>
        <w:t>The amount of cooling load requiring temporary FRT and/or VRT treatment;</w:t>
      </w:r>
    </w:p>
    <w:p w14:paraId="34B57374" w14:textId="77777777" w:rsidR="000E3509" w:rsidRPr="000E3509" w:rsidRDefault="000E3509" w:rsidP="000E3509">
      <w:pPr>
        <w:numPr>
          <w:ilvl w:val="0"/>
          <w:numId w:val="3"/>
        </w:numPr>
        <w:spacing w:after="240"/>
        <w:jc w:val="both"/>
        <w:rPr>
          <w:rFonts w:ascii="Arial" w:hAnsi="Arial" w:cs="Arial"/>
        </w:rPr>
      </w:pPr>
      <w:r w:rsidRPr="000E3509">
        <w:rPr>
          <w:rFonts w:ascii="Arial" w:hAnsi="Arial" w:cs="Arial"/>
        </w:rPr>
        <w:t>The expected disturbance behavior of that load; and</w:t>
      </w:r>
    </w:p>
    <w:p w14:paraId="301AF74B" w14:textId="77777777" w:rsidR="000E3509" w:rsidRPr="000E3509" w:rsidRDefault="000E3509" w:rsidP="000E3509">
      <w:pPr>
        <w:numPr>
          <w:ilvl w:val="0"/>
          <w:numId w:val="3"/>
        </w:numPr>
        <w:spacing w:after="240"/>
        <w:jc w:val="both"/>
        <w:rPr>
          <w:rFonts w:ascii="Arial" w:hAnsi="Arial" w:cs="Arial"/>
        </w:rPr>
      </w:pPr>
      <w:r w:rsidRPr="000E3509">
        <w:rPr>
          <w:rFonts w:ascii="Arial" w:hAnsi="Arial" w:cs="Arial"/>
        </w:rPr>
        <w:t>The anticipated implementation schedule.</w:t>
      </w:r>
    </w:p>
    <w:p w14:paraId="158DBD08" w14:textId="77777777" w:rsidR="000E3509" w:rsidRPr="000E3509" w:rsidRDefault="000E3509" w:rsidP="000E3509">
      <w:pPr>
        <w:spacing w:after="240"/>
        <w:jc w:val="both"/>
        <w:rPr>
          <w:rFonts w:ascii="Arial" w:hAnsi="Arial" w:cs="Arial"/>
        </w:rPr>
      </w:pPr>
      <w:r w:rsidRPr="000E3509">
        <w:rPr>
          <w:rFonts w:ascii="Arial" w:hAnsi="Arial" w:cs="Arial"/>
        </w:rPr>
        <w:lastRenderedPageBreak/>
        <w:t xml:space="preserve">Dynamic models should reflect the actual expected behavior of the affected cooling load during the temporary period and should be updated as appropriate when equipment or controls are modified. </w:t>
      </w:r>
    </w:p>
    <w:p w14:paraId="7999AC00" w14:textId="77777777" w:rsidR="000E3509" w:rsidRPr="000E3509" w:rsidRDefault="000E3509" w:rsidP="000E3509">
      <w:pPr>
        <w:spacing w:after="240"/>
        <w:jc w:val="both"/>
        <w:rPr>
          <w:rFonts w:ascii="Arial" w:hAnsi="Arial" w:cs="Arial"/>
        </w:rPr>
      </w:pPr>
      <w:r w:rsidRPr="000E3509">
        <w:rPr>
          <w:rFonts w:ascii="Arial" w:hAnsi="Arial" w:cs="Arial"/>
        </w:rPr>
        <w:t xml:space="preserve">Furthermore, ERCOT should use its existing VRT/FRT assessments, applicable IROLs, and existing energization and operational processes to account for temporary reliability exposure. Likewise, temporary treatment under NOGRR289 should not authorize Demand beyond the amount otherwise permitted under the applicable energization approval, LCP, interconnection agreement, or other governing arrangement contribution to ERCOT’s applicable aggregate load loss assessment. </w:t>
      </w:r>
    </w:p>
    <w:p w14:paraId="176882E0" w14:textId="77777777" w:rsidR="000E3509" w:rsidRPr="000E3509" w:rsidRDefault="000E3509" w:rsidP="000E3509">
      <w:pPr>
        <w:spacing w:after="240"/>
        <w:ind w:left="720" w:hanging="720"/>
        <w:jc w:val="both"/>
        <w:rPr>
          <w:rFonts w:ascii="Arial" w:hAnsi="Arial" w:cs="Arial"/>
          <w:b/>
          <w:bCs/>
        </w:rPr>
      </w:pPr>
      <w:r w:rsidRPr="000E3509">
        <w:rPr>
          <w:rFonts w:ascii="Arial" w:hAnsi="Arial" w:cs="Arial"/>
          <w:b/>
          <w:bCs/>
        </w:rPr>
        <w:t xml:space="preserve">V. </w:t>
      </w:r>
      <w:r w:rsidRPr="000E3509">
        <w:rPr>
          <w:rFonts w:ascii="Arial" w:hAnsi="Arial" w:cs="Arial"/>
          <w:b/>
          <w:bCs/>
        </w:rPr>
        <w:tab/>
        <w:t>The Compliance Framework Should Be Bounded but Reasonably Flexible</w:t>
      </w:r>
    </w:p>
    <w:p w14:paraId="1F717D0E" w14:textId="77777777" w:rsidR="000E3509" w:rsidRPr="000E3509" w:rsidRDefault="000E3509" w:rsidP="000E3509">
      <w:pPr>
        <w:spacing w:after="240"/>
        <w:jc w:val="both"/>
        <w:rPr>
          <w:rFonts w:ascii="Arial" w:hAnsi="Arial" w:cs="Arial"/>
        </w:rPr>
      </w:pPr>
      <w:r w:rsidRPr="000E3509">
        <w:rPr>
          <w:rFonts w:ascii="Arial" w:hAnsi="Arial" w:cs="Arial"/>
        </w:rPr>
        <w:t xml:space="preserve">NOGRR289 should have objective </w:t>
      </w:r>
      <w:proofErr w:type="gramStart"/>
      <w:r w:rsidRPr="000E3509">
        <w:rPr>
          <w:rFonts w:ascii="Arial" w:hAnsi="Arial" w:cs="Arial"/>
        </w:rPr>
        <w:t>endpoints</w:t>
      </w:r>
      <w:proofErr w:type="gramEnd"/>
      <w:r w:rsidRPr="000E3509">
        <w:rPr>
          <w:rFonts w:ascii="Arial" w:hAnsi="Arial" w:cs="Arial"/>
        </w:rPr>
        <w:t xml:space="preserve"> and the Compliance Framework should apply only to qualifying Load Blocks energized on or before December 31, 2028, with all temporary relief terminating no later than December 31, 2029.</w:t>
      </w:r>
    </w:p>
    <w:p w14:paraId="5FD745F8" w14:textId="77777777" w:rsidR="000E3509" w:rsidRPr="000E3509" w:rsidRDefault="000E3509" w:rsidP="000E3509">
      <w:pPr>
        <w:spacing w:after="240"/>
        <w:jc w:val="both"/>
        <w:rPr>
          <w:rFonts w:ascii="Arial" w:hAnsi="Arial" w:cs="Arial"/>
        </w:rPr>
      </w:pPr>
      <w:r w:rsidRPr="000E3509">
        <w:rPr>
          <w:rFonts w:ascii="Arial" w:hAnsi="Arial" w:cs="Arial"/>
        </w:rPr>
        <w:t>A substantially earlier eligibility cutoff could exclude projects with cooling systems designed, specified, or procured before NOGRR282 became effective and that have limited practical ability to redesign integrated electrical and mechanical systems before energization. A defined transition through 2028 provides greater certainty for projects already in development while still imposing a finite endpoint.</w:t>
      </w:r>
    </w:p>
    <w:p w14:paraId="60A42AA9" w14:textId="77777777" w:rsidR="000E3509" w:rsidRPr="000E3509" w:rsidRDefault="000E3509" w:rsidP="000E3509">
      <w:pPr>
        <w:spacing w:after="240"/>
        <w:jc w:val="both"/>
        <w:rPr>
          <w:rFonts w:ascii="Arial" w:hAnsi="Arial" w:cs="Arial"/>
        </w:rPr>
      </w:pPr>
      <w:r w:rsidRPr="000E3509">
        <w:rPr>
          <w:rFonts w:ascii="Arial" w:hAnsi="Arial" w:cs="Arial"/>
        </w:rPr>
        <w:t>Moreover, a 12-month Compliance Allowance should not operate as an inflexible cliff. Where documented manufacturing lead times, certification delays, field</w:t>
      </w:r>
      <w:r w:rsidR="00F23E56">
        <w:rPr>
          <w:rFonts w:ascii="Arial" w:hAnsi="Arial" w:cs="Arial"/>
        </w:rPr>
        <w:t xml:space="preserve"> </w:t>
      </w:r>
      <w:r w:rsidRPr="000E3509">
        <w:rPr>
          <w:rFonts w:ascii="Arial" w:hAnsi="Arial" w:cs="Arial"/>
        </w:rPr>
        <w:t>testing limitations, commissioning constraints, or comparable circumstances outside the project developer’s/operator’s reasonable control prevent implementation within that period, ERCOT should allow a reasonable adjustment period, subject to the final transition deadline and then-current system reliability considerations.</w:t>
      </w:r>
    </w:p>
    <w:p w14:paraId="150580FF" w14:textId="77777777" w:rsidR="000E3509" w:rsidRPr="000E3509" w:rsidRDefault="000E3509" w:rsidP="000E3509">
      <w:pPr>
        <w:spacing w:after="240"/>
        <w:jc w:val="both"/>
        <w:rPr>
          <w:rFonts w:ascii="Arial" w:hAnsi="Arial" w:cs="Arial"/>
        </w:rPr>
      </w:pPr>
      <w:r w:rsidRPr="000E3509">
        <w:rPr>
          <w:rFonts w:ascii="Arial" w:hAnsi="Arial" w:cs="Arial"/>
        </w:rPr>
        <w:t>Any such determination should rely to the extent practicable on ERCOT’s existing reliability assessments rather than creating another project-specific study or approval process.</w:t>
      </w:r>
    </w:p>
    <w:p w14:paraId="0F3263D2" w14:textId="77777777" w:rsidR="000E3509" w:rsidRPr="000E3509" w:rsidRDefault="000E3509" w:rsidP="000E3509">
      <w:pPr>
        <w:spacing w:after="240"/>
        <w:jc w:val="both"/>
        <w:rPr>
          <w:rFonts w:ascii="Arial" w:hAnsi="Arial" w:cs="Arial"/>
        </w:rPr>
      </w:pPr>
      <w:r w:rsidRPr="000E3509">
        <w:rPr>
          <w:rFonts w:ascii="Arial" w:hAnsi="Arial" w:cs="Arial"/>
          <w:b/>
          <w:bCs/>
        </w:rPr>
        <w:t>VI.</w:t>
      </w:r>
      <w:r w:rsidRPr="000E3509">
        <w:rPr>
          <w:rFonts w:ascii="Arial" w:hAnsi="Arial" w:cs="Arial"/>
          <w:b/>
          <w:bCs/>
        </w:rPr>
        <w:tab/>
        <w:t>NOGRR289 Should Reflect Actual Cooling-System Ride-Through Capability</w:t>
      </w:r>
    </w:p>
    <w:p w14:paraId="1B2C3713" w14:textId="77777777" w:rsidR="000E3509" w:rsidRPr="000E3509" w:rsidRDefault="000E3509" w:rsidP="000E3509">
      <w:pPr>
        <w:spacing w:after="240"/>
        <w:jc w:val="both"/>
        <w:rPr>
          <w:rFonts w:ascii="Arial" w:hAnsi="Arial" w:cs="Arial"/>
        </w:rPr>
      </w:pPr>
      <w:r w:rsidRPr="000E3509">
        <w:rPr>
          <w:rFonts w:ascii="Arial" w:hAnsi="Arial" w:cs="Arial"/>
        </w:rPr>
        <w:t xml:space="preserve">Joint Commenters support NOGRR289 with revisions that establish a reasonable and </w:t>
      </w:r>
      <w:proofErr w:type="gramStart"/>
      <w:r w:rsidRPr="000E3509">
        <w:rPr>
          <w:rFonts w:ascii="Arial" w:hAnsi="Arial" w:cs="Arial"/>
        </w:rPr>
        <w:t>bounded</w:t>
      </w:r>
      <w:proofErr w:type="gramEnd"/>
      <w:r w:rsidRPr="000E3509">
        <w:rPr>
          <w:rFonts w:ascii="Arial" w:hAnsi="Arial" w:cs="Arial"/>
        </w:rPr>
        <w:t xml:space="preserve"> temporary Compliance Framework for cooling system load. The Compliance Framework should apply on a load-block basis, focus on the actual MW of cooling load requiring temporary treatment and its modeled reliability impact, provide ERCOT the information necessary to incorporate that load into existing VRT/FRT assessments, and preserve reasonable flexibility for </w:t>
      </w:r>
      <w:proofErr w:type="gramStart"/>
      <w:r w:rsidRPr="000E3509">
        <w:rPr>
          <w:rFonts w:ascii="Arial" w:hAnsi="Arial" w:cs="Arial"/>
        </w:rPr>
        <w:t>documented</w:t>
      </w:r>
      <w:proofErr w:type="gramEnd"/>
      <w:r w:rsidRPr="000E3509">
        <w:rPr>
          <w:rFonts w:ascii="Arial" w:hAnsi="Arial" w:cs="Arial"/>
        </w:rPr>
        <w:t xml:space="preserve"> implementation constraints.</w:t>
      </w:r>
    </w:p>
    <w:p w14:paraId="2E87F061" w14:textId="6904CE1F" w:rsidR="0055032D" w:rsidRPr="00F37ED5" w:rsidRDefault="000E3509" w:rsidP="00F37ED5">
      <w:pPr>
        <w:spacing w:after="240"/>
        <w:jc w:val="both"/>
        <w:rPr>
          <w:rFonts w:ascii="Arial" w:hAnsi="Arial" w:cs="Arial"/>
        </w:rPr>
      </w:pPr>
      <w:r w:rsidRPr="000E3509">
        <w:rPr>
          <w:rFonts w:ascii="Arial" w:hAnsi="Arial" w:cs="Arial"/>
        </w:rPr>
        <w:t>At the same time, NOGRR289 should avoid creating new stand-alone studies or engineering approvals. Properly structured, NOGRR289 can address ERCOT’s near-term reliability concerns while providing projects already in development a practical and technically supportable transition to the applicable ride-through requirements.</w:t>
      </w: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55032D" w:rsidRPr="000E3509" w14:paraId="7838E81A" w14:textId="77777777" w:rsidTr="004D37D7">
        <w:tblPrEx>
          <w:tblCellMar>
            <w:top w:w="0" w:type="dxa"/>
            <w:bottom w:w="0" w:type="dxa"/>
          </w:tblCellMar>
        </w:tblPrEx>
        <w:trPr>
          <w:trHeight w:val="350"/>
        </w:trPr>
        <w:tc>
          <w:tcPr>
            <w:tcW w:w="10440" w:type="dxa"/>
            <w:tcBorders>
              <w:bottom w:val="single" w:sz="4" w:space="0" w:color="auto"/>
            </w:tcBorders>
            <w:shd w:val="clear" w:color="auto" w:fill="FFFFFF"/>
            <w:vAlign w:val="center"/>
          </w:tcPr>
          <w:p w14:paraId="301D89B6" w14:textId="77777777" w:rsidR="0055032D" w:rsidRPr="000E3509" w:rsidRDefault="0055032D" w:rsidP="004D37D7">
            <w:pPr>
              <w:pStyle w:val="Header"/>
              <w:jc w:val="center"/>
              <w:rPr>
                <w:rFonts w:cs="Arial"/>
              </w:rPr>
            </w:pPr>
            <w:r w:rsidRPr="000E3509">
              <w:rPr>
                <w:rFonts w:cs="Arial"/>
              </w:rPr>
              <w:lastRenderedPageBreak/>
              <w:t>Revised Cover Page Language</w:t>
            </w:r>
          </w:p>
        </w:tc>
      </w:tr>
    </w:tbl>
    <w:p w14:paraId="5E9D44E6" w14:textId="3AE118FD" w:rsidR="00152993" w:rsidRPr="000E3509" w:rsidRDefault="00F37ED5" w:rsidP="00F37ED5">
      <w:pPr>
        <w:pStyle w:val="NormalArial"/>
        <w:spacing w:before="120" w:after="120"/>
        <w:rPr>
          <w:rFonts w:cs="Arial"/>
        </w:rPr>
      </w:pPr>
      <w:r>
        <w:rPr>
          <w:rFonts w:cs="Arial"/>
        </w:rPr>
        <w:t>None</w:t>
      </w: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152993" w:rsidRPr="000E3509" w14:paraId="267E91A3" w14:textId="77777777">
        <w:tblPrEx>
          <w:tblCellMar>
            <w:top w:w="0" w:type="dxa"/>
            <w:bottom w:w="0" w:type="dxa"/>
          </w:tblCellMar>
        </w:tblPrEx>
        <w:trPr>
          <w:trHeight w:val="350"/>
        </w:trPr>
        <w:tc>
          <w:tcPr>
            <w:tcW w:w="10440" w:type="dxa"/>
            <w:tcBorders>
              <w:bottom w:val="single" w:sz="4" w:space="0" w:color="auto"/>
            </w:tcBorders>
            <w:shd w:val="clear" w:color="auto" w:fill="FFFFFF"/>
            <w:vAlign w:val="center"/>
          </w:tcPr>
          <w:p w14:paraId="5269235D" w14:textId="77777777" w:rsidR="00152993" w:rsidRPr="000E3509" w:rsidRDefault="00152993">
            <w:pPr>
              <w:pStyle w:val="Header"/>
              <w:jc w:val="center"/>
              <w:rPr>
                <w:rFonts w:cs="Arial"/>
              </w:rPr>
            </w:pPr>
            <w:r w:rsidRPr="000E3509">
              <w:rPr>
                <w:rFonts w:cs="Arial"/>
              </w:rPr>
              <w:t xml:space="preserve">Revised Proposed </w:t>
            </w:r>
            <w:r w:rsidR="00C158EE" w:rsidRPr="000E3509">
              <w:rPr>
                <w:rFonts w:cs="Arial"/>
              </w:rPr>
              <w:t xml:space="preserve">Guide </w:t>
            </w:r>
            <w:r w:rsidRPr="000E3509">
              <w:rPr>
                <w:rFonts w:cs="Arial"/>
              </w:rPr>
              <w:t>Language</w:t>
            </w:r>
          </w:p>
        </w:tc>
      </w:tr>
    </w:tbl>
    <w:p w14:paraId="5BADDCC0" w14:textId="385D2943" w:rsidR="00152993" w:rsidRPr="000E3509" w:rsidRDefault="00F37ED5" w:rsidP="00F37ED5">
      <w:pPr>
        <w:pStyle w:val="NormalArial"/>
        <w:spacing w:before="120" w:after="120"/>
        <w:rPr>
          <w:rFonts w:cs="Arial"/>
        </w:rPr>
      </w:pPr>
      <w:r>
        <w:rPr>
          <w:rFonts w:cs="Arial"/>
        </w:rPr>
        <w:t>None</w:t>
      </w:r>
    </w:p>
    <w:sectPr w:rsidR="00152993" w:rsidRPr="000E3509" w:rsidSect="0074209E">
      <w:headerReference w:type="default" r:id="rId10"/>
      <w:footerReference w:type="defaul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A3255" w14:textId="77777777" w:rsidR="004D32A6" w:rsidRDefault="004D32A6">
      <w:r>
        <w:separator/>
      </w:r>
    </w:p>
  </w:endnote>
  <w:endnote w:type="continuationSeparator" w:id="0">
    <w:p w14:paraId="1FA8E002" w14:textId="77777777" w:rsidR="004D32A6" w:rsidRDefault="004D3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8AB46" w14:textId="23704518" w:rsidR="003D0994" w:rsidRDefault="007F4D61" w:rsidP="0074209E">
    <w:pPr>
      <w:pStyle w:val="Footer"/>
      <w:tabs>
        <w:tab w:val="clear" w:pos="4320"/>
        <w:tab w:val="clear" w:pos="8640"/>
        <w:tab w:val="right" w:pos="9360"/>
      </w:tabs>
      <w:rPr>
        <w:rFonts w:ascii="Arial" w:hAnsi="Arial"/>
        <w:sz w:val="18"/>
      </w:rPr>
    </w:pPr>
    <w:r>
      <w:rPr>
        <w:rFonts w:ascii="Arial" w:hAnsi="Arial"/>
        <w:sz w:val="18"/>
      </w:rPr>
      <w:fldChar w:fldCharType="begin"/>
    </w:r>
    <w:r>
      <w:rPr>
        <w:rFonts w:ascii="Arial" w:hAnsi="Arial"/>
        <w:sz w:val="18"/>
      </w:rPr>
      <w:instrText xml:space="preserve"> FILENAME   \* MERGEFORMAT </w:instrText>
    </w:r>
    <w:r>
      <w:rPr>
        <w:rFonts w:ascii="Arial" w:hAnsi="Arial"/>
        <w:sz w:val="18"/>
      </w:rPr>
      <w:fldChar w:fldCharType="separate"/>
    </w:r>
    <w:r w:rsidR="00FB5BEB">
      <w:rPr>
        <w:rFonts w:ascii="Arial" w:hAnsi="Arial"/>
        <w:noProof/>
        <w:sz w:val="18"/>
      </w:rPr>
      <w:t>289NOGRR-05 Joint Commenters Comments 083126</w:t>
    </w:r>
    <w:r>
      <w:rPr>
        <w:rFonts w:ascii="Arial" w:hAnsi="Arial"/>
        <w:sz w:val="18"/>
      </w:rPr>
      <w:fldChar w:fldCharType="end"/>
    </w:r>
    <w:r w:rsidR="003D0994">
      <w:rPr>
        <w:rFonts w:ascii="Arial" w:hAnsi="Arial"/>
        <w:sz w:val="18"/>
      </w:rPr>
      <w:tab/>
      <w:t xml:space="preserve">Page </w:t>
    </w:r>
    <w:r w:rsidR="003D0994">
      <w:rPr>
        <w:rFonts w:ascii="Arial" w:hAnsi="Arial"/>
        <w:sz w:val="18"/>
      </w:rPr>
      <w:fldChar w:fldCharType="begin"/>
    </w:r>
    <w:r w:rsidR="003D0994">
      <w:rPr>
        <w:rFonts w:ascii="Arial" w:hAnsi="Arial"/>
        <w:sz w:val="18"/>
      </w:rPr>
      <w:instrText xml:space="preserve"> PAGE </w:instrText>
    </w:r>
    <w:r w:rsidR="003D0994">
      <w:rPr>
        <w:rFonts w:ascii="Arial" w:hAnsi="Arial"/>
        <w:sz w:val="18"/>
      </w:rPr>
      <w:fldChar w:fldCharType="separate"/>
    </w:r>
    <w:r>
      <w:rPr>
        <w:rFonts w:ascii="Arial" w:hAnsi="Arial"/>
        <w:noProof/>
        <w:sz w:val="18"/>
      </w:rPr>
      <w:t>1</w:t>
    </w:r>
    <w:r w:rsidR="003D0994">
      <w:rPr>
        <w:rFonts w:ascii="Arial" w:hAnsi="Arial"/>
        <w:sz w:val="18"/>
      </w:rPr>
      <w:fldChar w:fldCharType="end"/>
    </w:r>
    <w:r w:rsidR="003D0994">
      <w:rPr>
        <w:rFonts w:ascii="Arial" w:hAnsi="Arial"/>
        <w:sz w:val="18"/>
      </w:rPr>
      <w:t xml:space="preserve"> of </w:t>
    </w:r>
    <w:r w:rsidR="003D0994">
      <w:rPr>
        <w:rFonts w:ascii="Arial" w:hAnsi="Arial"/>
        <w:sz w:val="18"/>
      </w:rPr>
      <w:fldChar w:fldCharType="begin"/>
    </w:r>
    <w:r w:rsidR="003D0994">
      <w:rPr>
        <w:rFonts w:ascii="Arial" w:hAnsi="Arial"/>
        <w:sz w:val="18"/>
      </w:rPr>
      <w:instrText xml:space="preserve"> NUMPAGES </w:instrText>
    </w:r>
    <w:r w:rsidR="003D0994">
      <w:rPr>
        <w:rFonts w:ascii="Arial" w:hAnsi="Arial"/>
        <w:sz w:val="18"/>
      </w:rPr>
      <w:fldChar w:fldCharType="separate"/>
    </w:r>
    <w:r>
      <w:rPr>
        <w:rFonts w:ascii="Arial" w:hAnsi="Arial"/>
        <w:noProof/>
        <w:sz w:val="18"/>
      </w:rPr>
      <w:t>1</w:t>
    </w:r>
    <w:r w:rsidR="003D0994">
      <w:rPr>
        <w:rFonts w:ascii="Arial" w:hAnsi="Arial"/>
        <w:sz w:val="18"/>
      </w:rPr>
      <w:fldChar w:fldCharType="end"/>
    </w:r>
  </w:p>
  <w:p w14:paraId="1AAF5E38" w14:textId="77777777" w:rsidR="00FD08E8" w:rsidRDefault="00FD08E8" w:rsidP="003C405A">
    <w:pPr>
      <w:pStyle w:val="Footer"/>
      <w:tabs>
        <w:tab w:val="clear" w:pos="4320"/>
        <w:tab w:val="clear" w:pos="8640"/>
        <w:tab w:val="right" w:pos="9360"/>
      </w:tabs>
      <w:jc w:val="center"/>
      <w:rPr>
        <w:rFonts w:ascii="Arial" w:hAnsi="Arial"/>
        <w:sz w:val="18"/>
      </w:rPr>
    </w:pPr>
    <w:r>
      <w:rPr>
        <w:rFonts w:ascii="Arial" w:hAnsi="Arial"/>
        <w:sz w:val="18"/>
      </w:rPr>
      <w:t>PUBLIC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10A3D" w14:textId="77777777" w:rsidR="004D32A6" w:rsidRDefault="004D32A6">
      <w:r>
        <w:separator/>
      </w:r>
    </w:p>
  </w:footnote>
  <w:footnote w:type="continuationSeparator" w:id="0">
    <w:p w14:paraId="42F5F8F9" w14:textId="77777777" w:rsidR="004D32A6" w:rsidRDefault="004D32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6AB8B" w14:textId="6606CC82" w:rsidR="003D0994" w:rsidRPr="00FB5BEB" w:rsidRDefault="00D825C5" w:rsidP="00FB5BEB">
    <w:pPr>
      <w:pStyle w:val="Header"/>
      <w:jc w:val="center"/>
      <w:rPr>
        <w:sz w:val="32"/>
      </w:rPr>
    </w:pPr>
    <w:r>
      <w:rPr>
        <w:sz w:val="32"/>
      </w:rPr>
      <w:t>NOG</w:t>
    </w:r>
    <w:r w:rsidR="00C158EE">
      <w:rPr>
        <w:sz w:val="32"/>
      </w:rPr>
      <w:t xml:space="preserve">RR </w:t>
    </w:r>
    <w:r w:rsidR="003D0994">
      <w:rPr>
        <w:sz w:val="32"/>
      </w:rPr>
      <w:t>Comments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5C26B7FC"/>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3B60002"/>
    <w:multiLevelType w:val="hybridMultilevel"/>
    <w:tmpl w:val="EB18AE86"/>
    <w:lvl w:ilvl="0" w:tplc="3FA2A704">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2F7267"/>
    <w:multiLevelType w:val="hybridMultilevel"/>
    <w:tmpl w:val="52F602C6"/>
    <w:lvl w:ilvl="0" w:tplc="7ABE2B7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5FA207DD"/>
    <w:multiLevelType w:val="multilevel"/>
    <w:tmpl w:val="BF78F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6060C90"/>
    <w:multiLevelType w:val="hybridMultilevel"/>
    <w:tmpl w:val="246208DE"/>
    <w:lvl w:ilvl="0" w:tplc="9434FC1A">
      <w:start w:val="1"/>
      <w:numFmt w:val="bullet"/>
      <w:pStyle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1530145736">
    <w:abstractNumId w:val="0"/>
  </w:num>
  <w:num w:numId="2" w16cid:durableId="1583561091">
    <w:abstractNumId w:val="4"/>
  </w:num>
  <w:num w:numId="3" w16cid:durableId="470946823">
    <w:abstractNumId w:val="3"/>
  </w:num>
  <w:num w:numId="4" w16cid:durableId="3435434">
    <w:abstractNumId w:val="1"/>
  </w:num>
  <w:num w:numId="5" w16cid:durableId="8437860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27D"/>
    <w:rsid w:val="00012122"/>
    <w:rsid w:val="00037668"/>
    <w:rsid w:val="00075A94"/>
    <w:rsid w:val="000E3509"/>
    <w:rsid w:val="00132855"/>
    <w:rsid w:val="00152993"/>
    <w:rsid w:val="00170297"/>
    <w:rsid w:val="001A227D"/>
    <w:rsid w:val="001E2032"/>
    <w:rsid w:val="00237F13"/>
    <w:rsid w:val="002771E6"/>
    <w:rsid w:val="003010C0"/>
    <w:rsid w:val="00332A97"/>
    <w:rsid w:val="00350C00"/>
    <w:rsid w:val="00366113"/>
    <w:rsid w:val="003C270C"/>
    <w:rsid w:val="003C405A"/>
    <w:rsid w:val="003D0994"/>
    <w:rsid w:val="003E7D74"/>
    <w:rsid w:val="00421255"/>
    <w:rsid w:val="00423824"/>
    <w:rsid w:val="0043567D"/>
    <w:rsid w:val="004B7B90"/>
    <w:rsid w:val="004D32A6"/>
    <w:rsid w:val="004D37D7"/>
    <w:rsid w:val="004E2C19"/>
    <w:rsid w:val="0055032D"/>
    <w:rsid w:val="005D284C"/>
    <w:rsid w:val="00633E23"/>
    <w:rsid w:val="006677A8"/>
    <w:rsid w:val="00673B94"/>
    <w:rsid w:val="00680AC6"/>
    <w:rsid w:val="006835D8"/>
    <w:rsid w:val="006C316E"/>
    <w:rsid w:val="006D0F7C"/>
    <w:rsid w:val="007269C4"/>
    <w:rsid w:val="00734EAF"/>
    <w:rsid w:val="0074209E"/>
    <w:rsid w:val="007B045B"/>
    <w:rsid w:val="007F2CA8"/>
    <w:rsid w:val="007F4D61"/>
    <w:rsid w:val="007F7161"/>
    <w:rsid w:val="0085559E"/>
    <w:rsid w:val="00896B1B"/>
    <w:rsid w:val="008E559E"/>
    <w:rsid w:val="00916080"/>
    <w:rsid w:val="00921A68"/>
    <w:rsid w:val="00960706"/>
    <w:rsid w:val="00A015C4"/>
    <w:rsid w:val="00A15172"/>
    <w:rsid w:val="00B619B9"/>
    <w:rsid w:val="00C0598D"/>
    <w:rsid w:val="00C11956"/>
    <w:rsid w:val="00C158EE"/>
    <w:rsid w:val="00C602E5"/>
    <w:rsid w:val="00C748FD"/>
    <w:rsid w:val="00D24DCF"/>
    <w:rsid w:val="00D4046E"/>
    <w:rsid w:val="00D67233"/>
    <w:rsid w:val="00D825C5"/>
    <w:rsid w:val="00DD4739"/>
    <w:rsid w:val="00DE5F33"/>
    <w:rsid w:val="00E07B54"/>
    <w:rsid w:val="00E11F78"/>
    <w:rsid w:val="00E40069"/>
    <w:rsid w:val="00E621E1"/>
    <w:rsid w:val="00EC2E99"/>
    <w:rsid w:val="00EC55B3"/>
    <w:rsid w:val="00F23E56"/>
    <w:rsid w:val="00F37ED5"/>
    <w:rsid w:val="00F96FB2"/>
    <w:rsid w:val="00FB51D8"/>
    <w:rsid w:val="00FB5BEB"/>
    <w:rsid w:val="00FD08E8"/>
    <w:rsid w:val="00FE5B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9B9296"/>
  <w15:chartTrackingRefBased/>
  <w15:docId w15:val="{6EDE9766-B272-41A1-A419-1742D2AC4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aliases w:val="h1"/>
    <w:basedOn w:val="Normal"/>
    <w:next w:val="Normal"/>
    <w:qFormat/>
    <w:pPr>
      <w:keepNext/>
      <w:numPr>
        <w:numId w:val="1"/>
      </w:numPr>
      <w:spacing w:after="240"/>
      <w:outlineLvl w:val="0"/>
    </w:pPr>
    <w:rPr>
      <w:b/>
      <w:caps/>
      <w:szCs w:val="20"/>
    </w:rPr>
  </w:style>
  <w:style w:type="paragraph" w:styleId="Heading2">
    <w:name w:val="heading 2"/>
    <w:aliases w:val="h2"/>
    <w:basedOn w:val="Normal"/>
    <w:next w:val="Normal"/>
    <w:qFormat/>
    <w:pPr>
      <w:keepNext/>
      <w:numPr>
        <w:ilvl w:val="1"/>
        <w:numId w:val="1"/>
      </w:numPr>
      <w:spacing w:before="240" w:after="240"/>
      <w:outlineLvl w:val="1"/>
    </w:pPr>
    <w:rPr>
      <w:b/>
      <w:szCs w:val="20"/>
    </w:rPr>
  </w:style>
  <w:style w:type="paragraph" w:styleId="Heading3">
    <w:name w:val="heading 3"/>
    <w:aliases w:val="h3"/>
    <w:basedOn w:val="Normal"/>
    <w:next w:val="Normal"/>
    <w:qFormat/>
    <w:pPr>
      <w:keepNext/>
      <w:numPr>
        <w:ilvl w:val="2"/>
        <w:numId w:val="1"/>
      </w:numPr>
      <w:spacing w:before="120" w:after="120"/>
      <w:outlineLvl w:val="2"/>
    </w:pPr>
    <w:rPr>
      <w:b/>
      <w:bCs/>
      <w:i/>
      <w:iCs/>
      <w:szCs w:val="20"/>
    </w:rPr>
  </w:style>
  <w:style w:type="paragraph" w:styleId="Heading4">
    <w:name w:val="heading 4"/>
    <w:aliases w:val="h4"/>
    <w:basedOn w:val="Normal"/>
    <w:next w:val="Normal"/>
    <w:qFormat/>
    <w:pPr>
      <w:keepNext/>
      <w:widowControl w:val="0"/>
      <w:numPr>
        <w:ilvl w:val="3"/>
        <w:numId w:val="1"/>
      </w:numPr>
      <w:spacing w:before="360" w:after="240"/>
      <w:outlineLvl w:val="3"/>
    </w:pPr>
    <w:rPr>
      <w:b/>
      <w:bCs/>
      <w:snapToGrid w:val="0"/>
      <w:szCs w:val="20"/>
    </w:rPr>
  </w:style>
  <w:style w:type="paragraph" w:styleId="Heading5">
    <w:name w:val="heading 5"/>
    <w:aliases w:val="h5"/>
    <w:basedOn w:val="Normal"/>
    <w:next w:val="Normal"/>
    <w:qFormat/>
    <w:pPr>
      <w:spacing w:before="240" w:after="60"/>
      <w:outlineLvl w:val="4"/>
    </w:pPr>
    <w:rPr>
      <w:b/>
      <w:i/>
      <w:sz w:val="26"/>
      <w:szCs w:val="20"/>
    </w:rPr>
  </w:style>
  <w:style w:type="paragraph" w:styleId="Heading6">
    <w:name w:val="heading 6"/>
    <w:aliases w:val="h6"/>
    <w:basedOn w:val="Normal"/>
    <w:next w:val="Normal"/>
    <w:qFormat/>
    <w:pPr>
      <w:spacing w:before="240" w:after="60"/>
      <w:outlineLvl w:val="5"/>
    </w:pPr>
    <w:rPr>
      <w:b/>
      <w:sz w:val="22"/>
      <w:szCs w:val="20"/>
    </w:rPr>
  </w:style>
  <w:style w:type="paragraph" w:styleId="Heading7">
    <w:name w:val="heading 7"/>
    <w:basedOn w:val="Normal"/>
    <w:next w:val="Normal"/>
    <w:qFormat/>
    <w:pPr>
      <w:spacing w:before="240" w:after="60"/>
      <w:outlineLvl w:val="6"/>
    </w:pPr>
    <w:rPr>
      <w:szCs w:val="20"/>
    </w:rPr>
  </w:style>
  <w:style w:type="paragraph" w:styleId="Heading8">
    <w:name w:val="heading 8"/>
    <w:basedOn w:val="Normal"/>
    <w:next w:val="Normal"/>
    <w:qFormat/>
    <w:pPr>
      <w:spacing w:before="240" w:after="60"/>
      <w:outlineLvl w:val="7"/>
    </w:pPr>
    <w:rPr>
      <w:i/>
      <w:szCs w:val="20"/>
    </w:rPr>
  </w:style>
  <w:style w:type="paragraph" w:styleId="Heading9">
    <w:name w:val="heading 9"/>
    <w:basedOn w:val="Normal"/>
    <w:next w:val="Normal"/>
    <w:qFormat/>
    <w:pPr>
      <w:spacing w:before="240" w:after="60"/>
      <w:outlineLvl w:val="8"/>
    </w:pPr>
    <w:rPr>
      <w:rFonts w:ascii="Arial" w:hAnsi="Arial"/>
      <w:sz w:val="22"/>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rPr>
      <w:rFonts w:ascii="Arial" w:hAnsi="Arial"/>
      <w:b/>
      <w:bCs/>
    </w:rPr>
  </w:style>
  <w:style w:type="paragraph" w:styleId="Footer">
    <w:name w:val="footer"/>
    <w:basedOn w:val="Normal"/>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pPr>
      <w:tabs>
        <w:tab w:val="center" w:pos="4536"/>
      </w:tabs>
    </w:pP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rPr>
      <w:color w:val="0000FF"/>
      <w:u w:val="single"/>
    </w:rPr>
  </w:style>
  <w:style w:type="paragraph" w:styleId="BodyText">
    <w:name w:val="Body Text"/>
    <w:basedOn w:val="Normal"/>
    <w:pPr>
      <w:spacing w:before="120" w:after="120"/>
    </w:pPr>
  </w:style>
  <w:style w:type="paragraph" w:styleId="BodyTextIndent">
    <w:name w:val="Body Text Indent"/>
    <w:basedOn w:val="Normal"/>
    <w:pPr>
      <w:spacing w:before="120" w:after="120"/>
      <w:ind w:left="720"/>
    </w:pPr>
  </w:style>
  <w:style w:type="paragraph" w:customStyle="1" w:styleId="Bullet">
    <w:name w:val="Bullet"/>
    <w:basedOn w:val="Normal"/>
    <w:pPr>
      <w:numPr>
        <w:numId w:val="2"/>
      </w:numPr>
      <w:spacing w:before="60" w:after="120"/>
    </w:pPr>
    <w:rPr>
      <w:szCs w:val="20"/>
    </w:rPr>
  </w:style>
  <w:style w:type="paragraph" w:styleId="BalloonText">
    <w:name w:val="Balloon Text"/>
    <w:basedOn w:val="Normal"/>
    <w:semiHidden/>
    <w:rsid w:val="00673B94"/>
    <w:rPr>
      <w:rFonts w:ascii="Tahoma" w:hAnsi="Tahoma" w:cs="Tahoma"/>
      <w:sz w:val="16"/>
      <w:szCs w:val="16"/>
    </w:rPr>
  </w:style>
  <w:style w:type="paragraph" w:customStyle="1" w:styleId="NormalArial">
    <w:name w:val="Normal+Arial"/>
    <w:basedOn w:val="Normal"/>
    <w:rPr>
      <w:rFonts w:ascii="Arial" w:hAnsi="Arial"/>
    </w:rPr>
  </w:style>
  <w:style w:type="table" w:styleId="TableGrid">
    <w:name w:val="Table Grid"/>
    <w:basedOn w:val="TableNormal"/>
    <w:rsid w:val="00075A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DD4739"/>
    <w:rPr>
      <w:sz w:val="16"/>
      <w:szCs w:val="16"/>
    </w:rPr>
  </w:style>
  <w:style w:type="paragraph" w:styleId="CommentText">
    <w:name w:val="annotation text"/>
    <w:basedOn w:val="Normal"/>
    <w:semiHidden/>
    <w:rsid w:val="00DD4739"/>
    <w:rPr>
      <w:sz w:val="20"/>
      <w:szCs w:val="20"/>
    </w:rPr>
  </w:style>
  <w:style w:type="paragraph" w:styleId="CommentSubject">
    <w:name w:val="annotation subject"/>
    <w:basedOn w:val="CommentText"/>
    <w:next w:val="CommentText"/>
    <w:semiHidden/>
    <w:rsid w:val="00DD4739"/>
    <w:rPr>
      <w:b/>
      <w:bCs/>
    </w:rPr>
  </w:style>
  <w:style w:type="character" w:styleId="UnresolvedMention">
    <w:name w:val="Unresolved Mention"/>
    <w:uiPriority w:val="99"/>
    <w:semiHidden/>
    <w:unhideWhenUsed/>
    <w:rsid w:val="00E400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3487073">
      <w:bodyDiv w:val="1"/>
      <w:marLeft w:val="0"/>
      <w:marRight w:val="0"/>
      <w:marTop w:val="0"/>
      <w:marBottom w:val="0"/>
      <w:divBdr>
        <w:top w:val="none" w:sz="0" w:space="0" w:color="auto"/>
        <w:left w:val="none" w:sz="0" w:space="0" w:color="auto"/>
        <w:bottom w:val="none" w:sz="0" w:space="0" w:color="auto"/>
        <w:right w:val="none" w:sz="0" w:space="0" w:color="auto"/>
      </w:divBdr>
    </w:div>
    <w:div w:id="1543128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haynes@skyboxdatacenters.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rcot.com/mktrules/issues/NOGRR28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hrismatos@googl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1391</Words>
  <Characters>9127</Characters>
  <Application>Microsoft Office Word</Application>
  <DocSecurity>0</DocSecurity>
  <Lines>178</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10448</CharactersWithSpaces>
  <SharedDoc>false</SharedDoc>
  <HLinks>
    <vt:vector size="18" baseType="variant">
      <vt:variant>
        <vt:i4>2949124</vt:i4>
      </vt:variant>
      <vt:variant>
        <vt:i4>6</vt:i4>
      </vt:variant>
      <vt:variant>
        <vt:i4>0</vt:i4>
      </vt:variant>
      <vt:variant>
        <vt:i4>5</vt:i4>
      </vt:variant>
      <vt:variant>
        <vt:lpwstr>mailto:chrismatos@google.com</vt:lpwstr>
      </vt:variant>
      <vt:variant>
        <vt:lpwstr/>
      </vt:variant>
      <vt:variant>
        <vt:i4>327739</vt:i4>
      </vt:variant>
      <vt:variant>
        <vt:i4>3</vt:i4>
      </vt:variant>
      <vt:variant>
        <vt:i4>0</vt:i4>
      </vt:variant>
      <vt:variant>
        <vt:i4>5</vt:i4>
      </vt:variant>
      <vt:variant>
        <vt:lpwstr>mailto:haynes@skyboxdatacenters.com</vt:lpwstr>
      </vt:variant>
      <vt:variant>
        <vt:lpwstr/>
      </vt:variant>
      <vt:variant>
        <vt:i4>8060972</vt:i4>
      </vt:variant>
      <vt:variant>
        <vt:i4>0</vt:i4>
      </vt:variant>
      <vt:variant>
        <vt:i4>0</vt:i4>
      </vt:variant>
      <vt:variant>
        <vt:i4>5</vt:i4>
      </vt:variant>
      <vt:variant>
        <vt:lpwstr>https://www.ercot.com/mktrules/issues/NOGRR289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CPhillips</dc:creator>
  <cp:keywords/>
  <dc:description/>
  <cp:lastModifiedBy>CPhillips</cp:lastModifiedBy>
  <cp:revision>3</cp:revision>
  <dcterms:created xsi:type="dcterms:W3CDTF">2026-08-31T20:14:00Z</dcterms:created>
  <dcterms:modified xsi:type="dcterms:W3CDTF">2026-08-31T20:15:00Z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2026-08-31T20:15:27Z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0fa69440-777d-4795-aefa-80c45a7cb987</vt:lpwstr>
  </property>
  <property fmtid="{D5CDD505-2E9C-101B-9397-08002B2CF9AE}" pid="8" name="MSIP_Label_7084cbda-52b8-46fb-a7b7-cb5bd465ed85_ContentBits">
    <vt:lpwstr>0</vt:lpwstr>
  </property>
  <property fmtid="{D5CDD505-2E9C-101B-9397-08002B2CF9AE}" pid="9" name="MSIP_Label_7084cbda-52b8-46fb-a7b7-cb5bd465ed85_Tag">
    <vt:lpwstr>10, 3, 0, 1</vt:lpwstr>
  </property>
</Properties>
</file>