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152993" w14:paraId="617734B9" w14:textId="77777777">
        <w:tc>
          <w:tcPr>
            <w:tcW w:w="1620" w:type="dxa"/>
            <w:tcBorders>
              <w:bottom w:val="single" w:sz="4" w:space="0" w:color="auto"/>
            </w:tcBorders>
            <w:shd w:val="clear" w:color="auto" w:fill="FFFFFF"/>
            <w:vAlign w:val="center"/>
          </w:tcPr>
          <w:p w14:paraId="61183D71" w14:textId="77777777" w:rsidR="00152993" w:rsidRDefault="00EE6681">
            <w:pPr>
              <w:pStyle w:val="Header"/>
              <w:rPr>
                <w:rFonts w:ascii="Verdana" w:hAnsi="Verdana"/>
                <w:sz w:val="22"/>
              </w:rPr>
            </w:pPr>
            <w:r>
              <w:t>N</w:t>
            </w:r>
            <w:r w:rsidR="00152993">
              <w:t>PRR Number</w:t>
            </w:r>
          </w:p>
        </w:tc>
        <w:tc>
          <w:tcPr>
            <w:tcW w:w="1260" w:type="dxa"/>
            <w:tcBorders>
              <w:bottom w:val="single" w:sz="4" w:space="0" w:color="auto"/>
            </w:tcBorders>
            <w:vAlign w:val="center"/>
          </w:tcPr>
          <w:p w14:paraId="04C7493F" w14:textId="7490BC46" w:rsidR="00552585" w:rsidRDefault="00552585">
            <w:pPr>
              <w:pStyle w:val="Header"/>
            </w:pPr>
            <w:hyperlink r:id="rId8" w:history="1">
              <w:r>
                <w:rPr>
                  <w:rStyle w:val="Hyperlink"/>
                </w:rPr>
                <w:t>1340</w:t>
              </w:r>
            </w:hyperlink>
          </w:p>
        </w:tc>
        <w:tc>
          <w:tcPr>
            <w:tcW w:w="900" w:type="dxa"/>
            <w:tcBorders>
              <w:bottom w:val="single" w:sz="4" w:space="0" w:color="auto"/>
            </w:tcBorders>
            <w:shd w:val="clear" w:color="auto" w:fill="FFFFFF"/>
            <w:vAlign w:val="center"/>
          </w:tcPr>
          <w:p w14:paraId="6C51A0AB" w14:textId="77777777" w:rsidR="00152993" w:rsidRDefault="00EE6681">
            <w:pPr>
              <w:pStyle w:val="Header"/>
            </w:pPr>
            <w:r>
              <w:t>N</w:t>
            </w:r>
            <w:r w:rsidR="00152993">
              <w:t>PRR Title</w:t>
            </w:r>
          </w:p>
        </w:tc>
        <w:tc>
          <w:tcPr>
            <w:tcW w:w="6660" w:type="dxa"/>
            <w:tcBorders>
              <w:bottom w:val="single" w:sz="4" w:space="0" w:color="auto"/>
            </w:tcBorders>
            <w:vAlign w:val="center"/>
          </w:tcPr>
          <w:p w14:paraId="128DB576" w14:textId="77777777" w:rsidR="00152993" w:rsidRDefault="00845224">
            <w:pPr>
              <w:pStyle w:val="Header"/>
            </w:pPr>
            <w:r w:rsidRPr="00845224">
              <w:t>Dispatchable Reliability Reserve Service Ancillary Service with Energy Storage Resource Participation</w:t>
            </w:r>
          </w:p>
        </w:tc>
      </w:tr>
      <w:tr w:rsidR="00152993" w14:paraId="0FCE5B5D" w14:textId="77777777">
        <w:trPr>
          <w:trHeight w:val="413"/>
        </w:trPr>
        <w:tc>
          <w:tcPr>
            <w:tcW w:w="2880" w:type="dxa"/>
            <w:gridSpan w:val="2"/>
            <w:tcBorders>
              <w:top w:val="nil"/>
              <w:left w:val="nil"/>
              <w:bottom w:val="single" w:sz="4" w:space="0" w:color="auto"/>
              <w:right w:val="nil"/>
            </w:tcBorders>
            <w:vAlign w:val="center"/>
          </w:tcPr>
          <w:p w14:paraId="352E9AA3" w14:textId="77777777" w:rsidR="00152993" w:rsidRDefault="00152993">
            <w:pPr>
              <w:pStyle w:val="NormalArial"/>
            </w:pPr>
          </w:p>
        </w:tc>
        <w:tc>
          <w:tcPr>
            <w:tcW w:w="7560" w:type="dxa"/>
            <w:gridSpan w:val="2"/>
            <w:tcBorders>
              <w:top w:val="single" w:sz="4" w:space="0" w:color="auto"/>
              <w:left w:val="nil"/>
              <w:bottom w:val="nil"/>
              <w:right w:val="nil"/>
            </w:tcBorders>
            <w:vAlign w:val="center"/>
          </w:tcPr>
          <w:p w14:paraId="57EF3B9A" w14:textId="77777777" w:rsidR="00152993" w:rsidRDefault="00152993">
            <w:pPr>
              <w:pStyle w:val="NormalArial"/>
            </w:pPr>
          </w:p>
        </w:tc>
      </w:tr>
      <w:tr w:rsidR="00152993" w14:paraId="04B31FD4" w14:textId="77777777">
        <w:trPr>
          <w:trHeight w:val="440"/>
        </w:trPr>
        <w:tc>
          <w:tcPr>
            <w:tcW w:w="2880" w:type="dxa"/>
            <w:gridSpan w:val="2"/>
            <w:tcBorders>
              <w:top w:val="single" w:sz="4" w:space="0" w:color="auto"/>
              <w:left w:val="single" w:sz="4" w:space="0" w:color="auto"/>
              <w:bottom w:val="single" w:sz="4" w:space="0" w:color="auto"/>
              <w:right w:val="single" w:sz="4" w:space="0" w:color="auto"/>
            </w:tcBorders>
            <w:vAlign w:val="center"/>
          </w:tcPr>
          <w:p w14:paraId="7A93BF25" w14:textId="77777777" w:rsidR="00152993" w:rsidRDefault="00152993">
            <w:pPr>
              <w:pStyle w:val="Header"/>
            </w:pPr>
            <w:r>
              <w:t>Date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1118EFC5" w14:textId="0E055C43" w:rsidR="00152993" w:rsidRDefault="005C6D2C">
            <w:pPr>
              <w:pStyle w:val="NormalArial"/>
            </w:pPr>
            <w:r>
              <w:t xml:space="preserve">August </w:t>
            </w:r>
            <w:r w:rsidR="0099151F">
              <w:t>18</w:t>
            </w:r>
            <w:r>
              <w:t>, 2026</w:t>
            </w:r>
          </w:p>
        </w:tc>
      </w:tr>
      <w:tr w:rsidR="00152993" w14:paraId="26D8C559" w14:textId="77777777">
        <w:trPr>
          <w:trHeight w:val="467"/>
        </w:trPr>
        <w:tc>
          <w:tcPr>
            <w:tcW w:w="2880" w:type="dxa"/>
            <w:gridSpan w:val="2"/>
            <w:tcBorders>
              <w:top w:val="single" w:sz="4" w:space="0" w:color="auto"/>
              <w:left w:val="nil"/>
              <w:bottom w:val="nil"/>
              <w:right w:val="nil"/>
            </w:tcBorders>
            <w:shd w:val="clear" w:color="auto" w:fill="FFFFFF"/>
            <w:vAlign w:val="center"/>
          </w:tcPr>
          <w:p w14:paraId="66D8B186" w14:textId="77777777" w:rsidR="00152993" w:rsidRDefault="00152993">
            <w:pPr>
              <w:pStyle w:val="NormalArial"/>
            </w:pPr>
          </w:p>
        </w:tc>
        <w:tc>
          <w:tcPr>
            <w:tcW w:w="7560" w:type="dxa"/>
            <w:gridSpan w:val="2"/>
            <w:tcBorders>
              <w:top w:val="nil"/>
              <w:left w:val="nil"/>
              <w:bottom w:val="nil"/>
              <w:right w:val="nil"/>
            </w:tcBorders>
            <w:vAlign w:val="center"/>
          </w:tcPr>
          <w:p w14:paraId="221F53A6" w14:textId="77777777" w:rsidR="00152993" w:rsidRDefault="00152993">
            <w:pPr>
              <w:pStyle w:val="NormalArial"/>
            </w:pPr>
          </w:p>
        </w:tc>
      </w:tr>
      <w:tr w:rsidR="00152993" w14:paraId="57E52E7D" w14:textId="77777777">
        <w:trPr>
          <w:trHeight w:val="440"/>
        </w:trPr>
        <w:tc>
          <w:tcPr>
            <w:tcW w:w="10440" w:type="dxa"/>
            <w:gridSpan w:val="4"/>
            <w:tcBorders>
              <w:top w:val="single" w:sz="4" w:space="0" w:color="auto"/>
            </w:tcBorders>
            <w:shd w:val="clear" w:color="auto" w:fill="FFFFFF"/>
            <w:vAlign w:val="center"/>
          </w:tcPr>
          <w:p w14:paraId="6517AA17" w14:textId="77777777" w:rsidR="00152993" w:rsidRDefault="00152993">
            <w:pPr>
              <w:pStyle w:val="Header"/>
              <w:jc w:val="center"/>
            </w:pPr>
            <w:r>
              <w:t>Submitter’s Information</w:t>
            </w:r>
          </w:p>
        </w:tc>
      </w:tr>
      <w:tr w:rsidR="00152993" w14:paraId="196E99F9" w14:textId="77777777">
        <w:trPr>
          <w:trHeight w:val="350"/>
        </w:trPr>
        <w:tc>
          <w:tcPr>
            <w:tcW w:w="2880" w:type="dxa"/>
            <w:gridSpan w:val="2"/>
            <w:shd w:val="clear" w:color="auto" w:fill="FFFFFF"/>
            <w:vAlign w:val="center"/>
          </w:tcPr>
          <w:p w14:paraId="0E354E1A" w14:textId="77777777" w:rsidR="00152993" w:rsidRPr="00EC55B3" w:rsidRDefault="00152993" w:rsidP="00EC55B3">
            <w:pPr>
              <w:pStyle w:val="Header"/>
            </w:pPr>
            <w:r w:rsidRPr="00EC55B3">
              <w:t>Name</w:t>
            </w:r>
          </w:p>
        </w:tc>
        <w:tc>
          <w:tcPr>
            <w:tcW w:w="7560" w:type="dxa"/>
            <w:gridSpan w:val="2"/>
            <w:vAlign w:val="center"/>
          </w:tcPr>
          <w:p w14:paraId="2E01E302" w14:textId="77777777" w:rsidR="00152993" w:rsidRDefault="00845224">
            <w:pPr>
              <w:pStyle w:val="NormalArial"/>
            </w:pPr>
            <w:r>
              <w:t>Mark Stover</w:t>
            </w:r>
          </w:p>
        </w:tc>
      </w:tr>
      <w:tr w:rsidR="00152993" w14:paraId="4CA38DB3" w14:textId="77777777">
        <w:trPr>
          <w:trHeight w:val="350"/>
        </w:trPr>
        <w:tc>
          <w:tcPr>
            <w:tcW w:w="2880" w:type="dxa"/>
            <w:gridSpan w:val="2"/>
            <w:shd w:val="clear" w:color="auto" w:fill="FFFFFF"/>
            <w:vAlign w:val="center"/>
          </w:tcPr>
          <w:p w14:paraId="43159B8E" w14:textId="77777777" w:rsidR="00152993" w:rsidRPr="00EC55B3" w:rsidRDefault="00152993" w:rsidP="00EC55B3">
            <w:pPr>
              <w:pStyle w:val="Header"/>
            </w:pPr>
            <w:r w:rsidRPr="00EC55B3">
              <w:t>E-mail Address</w:t>
            </w:r>
          </w:p>
        </w:tc>
        <w:tc>
          <w:tcPr>
            <w:tcW w:w="7560" w:type="dxa"/>
            <w:gridSpan w:val="2"/>
            <w:vAlign w:val="center"/>
          </w:tcPr>
          <w:p w14:paraId="2EFD75F9" w14:textId="674242C1" w:rsidR="00152993" w:rsidRDefault="00AA6910">
            <w:pPr>
              <w:pStyle w:val="NormalArial"/>
            </w:pPr>
            <w:hyperlink r:id="rId9" w:history="1">
              <w:r w:rsidRPr="00BC12BF">
                <w:rPr>
                  <w:rStyle w:val="Hyperlink"/>
                </w:rPr>
                <w:t>marks@txsolarstorage.org</w:t>
              </w:r>
            </w:hyperlink>
          </w:p>
        </w:tc>
      </w:tr>
      <w:tr w:rsidR="00152993" w14:paraId="5C1733FE" w14:textId="77777777">
        <w:trPr>
          <w:trHeight w:val="350"/>
        </w:trPr>
        <w:tc>
          <w:tcPr>
            <w:tcW w:w="2880" w:type="dxa"/>
            <w:gridSpan w:val="2"/>
            <w:shd w:val="clear" w:color="auto" w:fill="FFFFFF"/>
            <w:vAlign w:val="center"/>
          </w:tcPr>
          <w:p w14:paraId="397FE75E" w14:textId="77777777" w:rsidR="00152993" w:rsidRPr="00EC55B3" w:rsidRDefault="00152993" w:rsidP="00EC55B3">
            <w:pPr>
              <w:pStyle w:val="Header"/>
            </w:pPr>
            <w:r w:rsidRPr="00EC55B3">
              <w:t>Company</w:t>
            </w:r>
          </w:p>
        </w:tc>
        <w:tc>
          <w:tcPr>
            <w:tcW w:w="7560" w:type="dxa"/>
            <w:gridSpan w:val="2"/>
            <w:vAlign w:val="center"/>
          </w:tcPr>
          <w:p w14:paraId="7ADBC4BB" w14:textId="77777777" w:rsidR="00152993" w:rsidRDefault="00845224">
            <w:pPr>
              <w:pStyle w:val="NormalArial"/>
            </w:pPr>
            <w:r>
              <w:t>Texas Solar+Storage Association (TSSA)</w:t>
            </w:r>
          </w:p>
        </w:tc>
      </w:tr>
      <w:tr w:rsidR="00152993" w14:paraId="36BA6F8D" w14:textId="77777777">
        <w:trPr>
          <w:trHeight w:val="350"/>
        </w:trPr>
        <w:tc>
          <w:tcPr>
            <w:tcW w:w="2880" w:type="dxa"/>
            <w:gridSpan w:val="2"/>
            <w:tcBorders>
              <w:bottom w:val="single" w:sz="4" w:space="0" w:color="auto"/>
            </w:tcBorders>
            <w:shd w:val="clear" w:color="auto" w:fill="FFFFFF"/>
            <w:vAlign w:val="center"/>
          </w:tcPr>
          <w:p w14:paraId="01326D12" w14:textId="77777777" w:rsidR="00152993" w:rsidRPr="00EC55B3" w:rsidRDefault="00152993" w:rsidP="00EC55B3">
            <w:pPr>
              <w:pStyle w:val="Header"/>
            </w:pPr>
            <w:r w:rsidRPr="00EC55B3">
              <w:t>Phone Number</w:t>
            </w:r>
          </w:p>
        </w:tc>
        <w:tc>
          <w:tcPr>
            <w:tcW w:w="7560" w:type="dxa"/>
            <w:gridSpan w:val="2"/>
            <w:tcBorders>
              <w:bottom w:val="single" w:sz="4" w:space="0" w:color="auto"/>
            </w:tcBorders>
            <w:vAlign w:val="center"/>
          </w:tcPr>
          <w:p w14:paraId="068EFE32" w14:textId="77777777" w:rsidR="00152993" w:rsidRDefault="00152993">
            <w:pPr>
              <w:pStyle w:val="NormalArial"/>
            </w:pPr>
          </w:p>
        </w:tc>
      </w:tr>
      <w:tr w:rsidR="00152993" w14:paraId="1598D977" w14:textId="77777777">
        <w:trPr>
          <w:trHeight w:val="350"/>
        </w:trPr>
        <w:tc>
          <w:tcPr>
            <w:tcW w:w="2880" w:type="dxa"/>
            <w:gridSpan w:val="2"/>
            <w:shd w:val="clear" w:color="auto" w:fill="FFFFFF"/>
            <w:vAlign w:val="center"/>
          </w:tcPr>
          <w:p w14:paraId="295639B7" w14:textId="77777777" w:rsidR="00152993" w:rsidRPr="00EC55B3" w:rsidRDefault="00075A94" w:rsidP="00EC55B3">
            <w:pPr>
              <w:pStyle w:val="Header"/>
            </w:pPr>
            <w:r>
              <w:t>Cell</w:t>
            </w:r>
            <w:r w:rsidRPr="00EC55B3">
              <w:t xml:space="preserve"> </w:t>
            </w:r>
            <w:r w:rsidR="00152993" w:rsidRPr="00EC55B3">
              <w:t>Number</w:t>
            </w:r>
          </w:p>
        </w:tc>
        <w:tc>
          <w:tcPr>
            <w:tcW w:w="7560" w:type="dxa"/>
            <w:gridSpan w:val="2"/>
            <w:vAlign w:val="center"/>
          </w:tcPr>
          <w:p w14:paraId="6BF0F2A0" w14:textId="77777777" w:rsidR="00152993" w:rsidRDefault="00845224">
            <w:pPr>
              <w:pStyle w:val="NormalArial"/>
            </w:pPr>
            <w:r w:rsidRPr="00845224">
              <w:t>512-826-5516</w:t>
            </w:r>
          </w:p>
        </w:tc>
      </w:tr>
      <w:tr w:rsidR="00075A94" w14:paraId="541AB79F" w14:textId="77777777">
        <w:trPr>
          <w:trHeight w:val="350"/>
        </w:trPr>
        <w:tc>
          <w:tcPr>
            <w:tcW w:w="2880" w:type="dxa"/>
            <w:gridSpan w:val="2"/>
            <w:tcBorders>
              <w:bottom w:val="single" w:sz="4" w:space="0" w:color="auto"/>
            </w:tcBorders>
            <w:shd w:val="clear" w:color="auto" w:fill="FFFFFF"/>
            <w:vAlign w:val="center"/>
          </w:tcPr>
          <w:p w14:paraId="23DB6F17" w14:textId="77777777" w:rsidR="00075A94" w:rsidRPr="00EC55B3" w:rsidDel="00075A94" w:rsidRDefault="00075A94" w:rsidP="00EC55B3">
            <w:pPr>
              <w:pStyle w:val="Header"/>
            </w:pPr>
            <w:r>
              <w:t>Market Segment</w:t>
            </w:r>
          </w:p>
        </w:tc>
        <w:tc>
          <w:tcPr>
            <w:tcW w:w="7560" w:type="dxa"/>
            <w:gridSpan w:val="2"/>
            <w:tcBorders>
              <w:bottom w:val="single" w:sz="4" w:space="0" w:color="auto"/>
            </w:tcBorders>
            <w:vAlign w:val="center"/>
          </w:tcPr>
          <w:p w14:paraId="34419C6C" w14:textId="28C9C7C9" w:rsidR="00075A94" w:rsidRDefault="00845224">
            <w:pPr>
              <w:pStyle w:val="NormalArial"/>
            </w:pPr>
            <w:r>
              <w:t xml:space="preserve">Not </w:t>
            </w:r>
            <w:r w:rsidR="00AA6910">
              <w:t>a</w:t>
            </w:r>
            <w:r>
              <w:t>pplicable</w:t>
            </w:r>
          </w:p>
        </w:tc>
      </w:tr>
    </w:tbl>
    <w:p w14:paraId="3402D013"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83573" w14:paraId="5A03CDB6" w14:textId="77777777" w:rsidTr="0010417D">
        <w:trPr>
          <w:trHeight w:val="350"/>
        </w:trPr>
        <w:tc>
          <w:tcPr>
            <w:tcW w:w="10440" w:type="dxa"/>
            <w:tcBorders>
              <w:bottom w:val="single" w:sz="4" w:space="0" w:color="auto"/>
            </w:tcBorders>
            <w:shd w:val="clear" w:color="auto" w:fill="FFFFFF"/>
            <w:vAlign w:val="center"/>
          </w:tcPr>
          <w:p w14:paraId="2D1A0378" w14:textId="457D839F" w:rsidR="00183573" w:rsidRDefault="00183573" w:rsidP="0010417D">
            <w:pPr>
              <w:pStyle w:val="Header"/>
              <w:jc w:val="center"/>
            </w:pPr>
            <w:r>
              <w:t>Comments</w:t>
            </w:r>
          </w:p>
        </w:tc>
      </w:tr>
    </w:tbl>
    <w:p w14:paraId="03A4B29A" w14:textId="779D704A" w:rsidR="00385C5D" w:rsidRDefault="005C6D2C" w:rsidP="00AA6910">
      <w:pPr>
        <w:pStyle w:val="NormalArial"/>
        <w:spacing w:before="120" w:after="120"/>
        <w:rPr>
          <w:rFonts w:cs="Arial"/>
        </w:rPr>
      </w:pPr>
      <w:r w:rsidRPr="00DB5B42">
        <w:rPr>
          <w:rFonts w:cs="Arial"/>
        </w:rPr>
        <w:t xml:space="preserve">The Texas Solar+Storage Association (TSSA) is pleased to support the inclusion of </w:t>
      </w:r>
      <w:r w:rsidR="00887027" w:rsidRPr="00DB5B42">
        <w:rPr>
          <w:rFonts w:cs="Arial"/>
        </w:rPr>
        <w:t xml:space="preserve">qualifying </w:t>
      </w:r>
      <w:r w:rsidRPr="00DB5B42">
        <w:rPr>
          <w:rFonts w:cs="Arial"/>
        </w:rPr>
        <w:t xml:space="preserve">Energy Storage Resource (ESRs) </w:t>
      </w:r>
      <w:r w:rsidR="00DA7BEA" w:rsidRPr="00DB5B42">
        <w:rPr>
          <w:rFonts w:cs="Arial"/>
        </w:rPr>
        <w:t xml:space="preserve">as </w:t>
      </w:r>
      <w:r w:rsidR="00887027" w:rsidRPr="00DB5B42">
        <w:rPr>
          <w:rFonts w:cs="Arial"/>
        </w:rPr>
        <w:t>d</w:t>
      </w:r>
      <w:r w:rsidRPr="00DB5B42">
        <w:rPr>
          <w:rFonts w:cs="Arial"/>
        </w:rPr>
        <w:t>ispatchable generation resource</w:t>
      </w:r>
      <w:r w:rsidR="00DA7BEA" w:rsidRPr="00DB5B42">
        <w:rPr>
          <w:rFonts w:cs="Arial"/>
        </w:rPr>
        <w:t xml:space="preserve">s that </w:t>
      </w:r>
      <w:r w:rsidR="00887027" w:rsidRPr="00DB5B42">
        <w:rPr>
          <w:rFonts w:cs="Arial"/>
        </w:rPr>
        <w:t>are eligible to</w:t>
      </w:r>
      <w:r w:rsidR="00DA7BEA" w:rsidRPr="00DB5B42">
        <w:rPr>
          <w:rFonts w:cs="Arial"/>
        </w:rPr>
        <w:t xml:space="preserve"> participate</w:t>
      </w:r>
      <w:r w:rsidRPr="00DB5B42">
        <w:rPr>
          <w:rFonts w:cs="Arial"/>
        </w:rPr>
        <w:t xml:space="preserve"> in the newly approved </w:t>
      </w:r>
      <w:r w:rsidR="00385C5D" w:rsidRPr="00DB5B42">
        <w:rPr>
          <w:rFonts w:cs="Arial"/>
        </w:rPr>
        <w:t>Dispatchable</w:t>
      </w:r>
      <w:r w:rsidRPr="00DB5B42">
        <w:rPr>
          <w:rFonts w:cs="Arial"/>
        </w:rPr>
        <w:t xml:space="preserve"> Reliability Reserve Service Ancillary Service</w:t>
      </w:r>
      <w:r w:rsidRPr="00DB5B42">
        <w:rPr>
          <w:rStyle w:val="FootnoteReference"/>
          <w:rFonts w:cs="Arial"/>
        </w:rPr>
        <w:footnoteReference w:id="1"/>
      </w:r>
      <w:r w:rsidRPr="00DB5B42">
        <w:rPr>
          <w:rFonts w:cs="Arial"/>
        </w:rPr>
        <w:t xml:space="preserve"> </w:t>
      </w:r>
      <w:r w:rsidR="00236FE3">
        <w:rPr>
          <w:rFonts w:cs="Arial"/>
        </w:rPr>
        <w:t xml:space="preserve">(DRRS) </w:t>
      </w:r>
      <w:r w:rsidRPr="00DB5B42">
        <w:rPr>
          <w:rFonts w:cs="Arial"/>
        </w:rPr>
        <w:t>consistent with the plain language of the Public Utility Regulatory Act (PURA) §39.159 (d) and (e)</w:t>
      </w:r>
      <w:r w:rsidR="00DA7BEA" w:rsidRPr="00DB5B42">
        <w:rPr>
          <w:rFonts w:cs="Arial"/>
        </w:rPr>
        <w:t xml:space="preserve"> and the explicit guidance of the Public Utility Commission of Texas (PUCT).</w:t>
      </w:r>
      <w:r w:rsidR="00887027" w:rsidRPr="00DB5B42">
        <w:rPr>
          <w:rFonts w:cs="Arial"/>
        </w:rPr>
        <w:t xml:space="preserve">  </w:t>
      </w:r>
      <w:r w:rsidR="009D73D7">
        <w:rPr>
          <w:rFonts w:cs="Arial"/>
        </w:rPr>
        <w:t xml:space="preserve">TSSA appreciates ERCOT’s work on this </w:t>
      </w:r>
      <w:r w:rsidR="00183573">
        <w:rPr>
          <w:rFonts w:cs="Arial"/>
        </w:rPr>
        <w:t>Nodal Protocol Revision Request (</w:t>
      </w:r>
      <w:r w:rsidR="009D73D7">
        <w:rPr>
          <w:rFonts w:cs="Arial"/>
        </w:rPr>
        <w:t>NPRR</w:t>
      </w:r>
      <w:r w:rsidR="00183573">
        <w:rPr>
          <w:rFonts w:cs="Arial"/>
        </w:rPr>
        <w:t>)</w:t>
      </w:r>
      <w:r w:rsidR="009D73D7">
        <w:rPr>
          <w:rFonts w:cs="Arial"/>
        </w:rPr>
        <w:t xml:space="preserve"> and looks forward to continuing to work with ERCOT as it completes this NPRR by December.</w:t>
      </w:r>
    </w:p>
    <w:p w14:paraId="221E6FB1" w14:textId="4484C7D3" w:rsidR="00887027" w:rsidRDefault="00E25985" w:rsidP="00AA6910">
      <w:pPr>
        <w:pStyle w:val="NormalArial"/>
        <w:spacing w:before="120" w:after="120"/>
        <w:rPr>
          <w:rFonts w:cs="Arial"/>
        </w:rPr>
      </w:pPr>
      <w:r>
        <w:rPr>
          <w:rFonts w:cs="Arial"/>
        </w:rPr>
        <w:t>ESRs</w:t>
      </w:r>
      <w:r w:rsidR="00887027" w:rsidRPr="00DB5B42">
        <w:rPr>
          <w:rFonts w:cs="Arial"/>
        </w:rPr>
        <w:t xml:space="preserve"> are uniquely suited to respond quickly and flexibly to “market uncertaint</w:t>
      </w:r>
      <w:r w:rsidR="00BF7CA1" w:rsidRPr="00DB5B42">
        <w:rPr>
          <w:rFonts w:cs="Arial"/>
        </w:rPr>
        <w:t>y</w:t>
      </w:r>
      <w:r w:rsidR="00887027" w:rsidRPr="00DB5B42">
        <w:rPr>
          <w:rFonts w:cs="Arial"/>
        </w:rPr>
        <w:t>”</w:t>
      </w:r>
      <w:r w:rsidR="00887027" w:rsidRPr="00DB5B42">
        <w:rPr>
          <w:rStyle w:val="FootnoteReference"/>
          <w:rFonts w:cs="Arial"/>
        </w:rPr>
        <w:footnoteReference w:id="2"/>
      </w:r>
      <w:r w:rsidR="003A2AEE">
        <w:rPr>
          <w:rFonts w:cs="Arial"/>
        </w:rPr>
        <w:t xml:space="preserve"> </w:t>
      </w:r>
      <w:r w:rsidR="00C8703E">
        <w:rPr>
          <w:rFonts w:cs="Arial"/>
        </w:rPr>
        <w:t xml:space="preserve">inherent in </w:t>
      </w:r>
      <w:r w:rsidR="003A2AEE" w:rsidRPr="003A2AEE">
        <w:rPr>
          <w:rFonts w:cs="Arial"/>
        </w:rPr>
        <w:t>load and generation forecasts</w:t>
      </w:r>
      <w:r w:rsidR="003A37E6">
        <w:rPr>
          <w:rFonts w:cs="Arial"/>
        </w:rPr>
        <w:t xml:space="preserve"> </w:t>
      </w:r>
      <w:r w:rsidR="00887027" w:rsidRPr="00DB5B42">
        <w:rPr>
          <w:rFonts w:cs="Arial"/>
        </w:rPr>
        <w:t>while delivering cost savings to consumers.</w:t>
      </w:r>
      <w:r w:rsidR="004D5EF7">
        <w:rPr>
          <w:rStyle w:val="FootnoteReference"/>
          <w:rFonts w:cs="Arial"/>
        </w:rPr>
        <w:footnoteReference w:id="3"/>
      </w:r>
      <w:r w:rsidR="00DB5B42" w:rsidRPr="00DB5B42">
        <w:rPr>
          <w:rFonts w:cs="Arial"/>
        </w:rPr>
        <w:t xml:space="preserve"> </w:t>
      </w:r>
      <w:r w:rsidR="00E56609">
        <w:rPr>
          <w:rFonts w:cs="Arial"/>
        </w:rPr>
        <w:t xml:space="preserve"> </w:t>
      </w:r>
      <w:r w:rsidR="00236FE3">
        <w:rPr>
          <w:rFonts w:cs="Arial"/>
        </w:rPr>
        <w:t xml:space="preserve">TSSA urges </w:t>
      </w:r>
      <w:r w:rsidR="00385C5D">
        <w:rPr>
          <w:rFonts w:cs="Arial"/>
        </w:rPr>
        <w:t xml:space="preserve">swift </w:t>
      </w:r>
      <w:r w:rsidR="00236FE3">
        <w:rPr>
          <w:rFonts w:cs="Arial"/>
        </w:rPr>
        <w:t>approval of this NPRR so that these r</w:t>
      </w:r>
      <w:r w:rsidR="000041BB">
        <w:rPr>
          <w:rFonts w:cs="Arial"/>
        </w:rPr>
        <w:t>eliability</w:t>
      </w:r>
      <w:r w:rsidR="00BF7CA1" w:rsidRPr="00DB5B42">
        <w:rPr>
          <w:rFonts w:cs="Arial"/>
        </w:rPr>
        <w:t xml:space="preserve"> and cost benefits </w:t>
      </w:r>
      <w:r w:rsidR="00236FE3">
        <w:rPr>
          <w:rFonts w:cs="Arial"/>
        </w:rPr>
        <w:t xml:space="preserve">will </w:t>
      </w:r>
      <w:r w:rsidR="000041BB">
        <w:rPr>
          <w:rFonts w:cs="Arial"/>
        </w:rPr>
        <w:t xml:space="preserve">coincide with </w:t>
      </w:r>
      <w:r w:rsidR="00BF7CA1" w:rsidRPr="00DB5B42">
        <w:rPr>
          <w:rFonts w:cs="Arial"/>
        </w:rPr>
        <w:t>DRRS implementatio</w:t>
      </w:r>
      <w:r w:rsidR="00510730">
        <w:rPr>
          <w:rFonts w:cs="Arial"/>
        </w:rPr>
        <w:t>n</w:t>
      </w:r>
      <w:r w:rsidR="00385C5D">
        <w:rPr>
          <w:rFonts w:cs="Arial"/>
        </w:rPr>
        <w:t>. Inclusion of ESRs in DRRS will provide developers of long-duration energy storage the certainty and market signals they desire to confidently develop assets that will operate at nameplate capacity for four hours and longer</w:t>
      </w:r>
      <w:r w:rsidR="00510730">
        <w:rPr>
          <w:rFonts w:cs="Arial"/>
        </w:rPr>
        <w:t>.</w:t>
      </w:r>
    </w:p>
    <w:p w14:paraId="3482450D" w14:textId="77777777" w:rsidR="00510730" w:rsidRPr="00DB5B42" w:rsidRDefault="00510730" w:rsidP="00AA6910">
      <w:pPr>
        <w:pStyle w:val="NormalArial"/>
        <w:spacing w:before="120" w:after="120"/>
        <w:rPr>
          <w:rFonts w:cs="Arial"/>
        </w:rPr>
      </w:pPr>
    </w:p>
    <w:p w14:paraId="5D00F6C8" w14:textId="3A7EF799" w:rsidR="00385C5D" w:rsidRDefault="00277240" w:rsidP="00AA6910">
      <w:pPr>
        <w:spacing w:before="120" w:after="120"/>
        <w:rPr>
          <w:rFonts w:ascii="Arial" w:hAnsi="Arial" w:cs="Arial"/>
        </w:rPr>
      </w:pPr>
      <w:r w:rsidRPr="00DB5B42">
        <w:rPr>
          <w:rFonts w:ascii="Arial" w:hAnsi="Arial" w:cs="Arial"/>
        </w:rPr>
        <w:t xml:space="preserve">TSSA previously filed </w:t>
      </w:r>
      <w:hyperlink r:id="rId10" w:history="1">
        <w:r w:rsidR="001E518D" w:rsidRPr="00DB5B42">
          <w:rPr>
            <w:rStyle w:val="Hyperlink"/>
            <w:rFonts w:ascii="Arial" w:hAnsi="Arial" w:cs="Arial"/>
          </w:rPr>
          <w:t>Comments</w:t>
        </w:r>
      </w:hyperlink>
      <w:r w:rsidRPr="00DB5B42">
        <w:rPr>
          <w:rFonts w:ascii="Arial" w:hAnsi="Arial" w:cs="Arial"/>
        </w:rPr>
        <w:t xml:space="preserve"> in </w:t>
      </w:r>
      <w:hyperlink r:id="rId11" w:history="1">
        <w:r w:rsidR="00E4126A" w:rsidRPr="00DB5B42">
          <w:rPr>
            <w:rStyle w:val="Hyperlink"/>
            <w:rFonts w:ascii="Arial" w:hAnsi="Arial" w:cs="Arial"/>
          </w:rPr>
          <w:t>NPRR1309</w:t>
        </w:r>
      </w:hyperlink>
      <w:r w:rsidRPr="00DB5B42">
        <w:rPr>
          <w:rFonts w:ascii="Arial" w:hAnsi="Arial" w:cs="Arial"/>
        </w:rPr>
        <w:t>, Board Priority, Dispatchable Reliability Reser</w:t>
      </w:r>
      <w:r w:rsidR="00E4126A" w:rsidRPr="00DB5B42">
        <w:rPr>
          <w:rFonts w:ascii="Arial" w:hAnsi="Arial" w:cs="Arial"/>
        </w:rPr>
        <w:t>ve</w:t>
      </w:r>
      <w:r w:rsidRPr="00DB5B42">
        <w:rPr>
          <w:rFonts w:ascii="Arial" w:hAnsi="Arial" w:cs="Arial"/>
        </w:rPr>
        <w:t xml:space="preserve"> Service Ancillary Service </w:t>
      </w:r>
      <w:r w:rsidR="00BF7CA1" w:rsidRPr="00DB5B42">
        <w:rPr>
          <w:rFonts w:ascii="Arial" w:hAnsi="Arial" w:cs="Arial"/>
        </w:rPr>
        <w:t xml:space="preserve">which </w:t>
      </w:r>
      <w:r w:rsidRPr="00DB5B42">
        <w:rPr>
          <w:rFonts w:ascii="Arial" w:hAnsi="Arial" w:cs="Arial"/>
        </w:rPr>
        <w:t>urg</w:t>
      </w:r>
      <w:r w:rsidR="00BF7CA1" w:rsidRPr="00DB5B42">
        <w:rPr>
          <w:rFonts w:ascii="Arial" w:hAnsi="Arial" w:cs="Arial"/>
        </w:rPr>
        <w:t>ed</w:t>
      </w:r>
      <w:r w:rsidRPr="00DB5B42">
        <w:rPr>
          <w:rFonts w:ascii="Arial" w:hAnsi="Arial" w:cs="Arial"/>
        </w:rPr>
        <w:t xml:space="preserve"> the inclusion and participation of ESRs in DRRS</w:t>
      </w:r>
      <w:r w:rsidRPr="00DB5B42">
        <w:rPr>
          <w:rStyle w:val="FootnoteReference"/>
          <w:rFonts w:ascii="Arial" w:hAnsi="Arial" w:cs="Arial"/>
        </w:rPr>
        <w:footnoteReference w:id="4"/>
      </w:r>
      <w:r w:rsidR="00E4126A" w:rsidRPr="00DB5B42">
        <w:rPr>
          <w:rFonts w:ascii="Arial" w:hAnsi="Arial" w:cs="Arial"/>
        </w:rPr>
        <w:t xml:space="preserve"> </w:t>
      </w:r>
      <w:r w:rsidR="004F4CEB">
        <w:rPr>
          <w:rFonts w:ascii="Arial" w:hAnsi="Arial" w:cs="Arial"/>
        </w:rPr>
        <w:t>which</w:t>
      </w:r>
      <w:r w:rsidR="00BF7CA1" w:rsidRPr="00DB5B42">
        <w:rPr>
          <w:rFonts w:ascii="Arial" w:hAnsi="Arial" w:cs="Arial"/>
        </w:rPr>
        <w:t xml:space="preserve"> included</w:t>
      </w:r>
      <w:r w:rsidR="00E4126A" w:rsidRPr="00DB5B42">
        <w:rPr>
          <w:rFonts w:ascii="Arial" w:hAnsi="Arial" w:cs="Arial"/>
        </w:rPr>
        <w:t xml:space="preserve"> a</w:t>
      </w:r>
      <w:r w:rsidR="00643FD0" w:rsidRPr="00DB5B42">
        <w:rPr>
          <w:rFonts w:ascii="Arial" w:hAnsi="Arial" w:cs="Arial"/>
        </w:rPr>
        <w:t xml:space="preserve">n analysis </w:t>
      </w:r>
      <w:r w:rsidR="00E4126A" w:rsidRPr="00DB5B42">
        <w:rPr>
          <w:rFonts w:ascii="Arial" w:hAnsi="Arial" w:cs="Arial"/>
        </w:rPr>
        <w:t>of the statut</w:t>
      </w:r>
      <w:r w:rsidR="00643FD0" w:rsidRPr="00DB5B42">
        <w:rPr>
          <w:rFonts w:ascii="Arial" w:hAnsi="Arial" w:cs="Arial"/>
        </w:rPr>
        <w:t>ory requirements</w:t>
      </w:r>
      <w:r w:rsidR="00BF7CA1" w:rsidRPr="00DB5B42">
        <w:rPr>
          <w:rFonts w:ascii="Arial" w:hAnsi="Arial" w:cs="Arial"/>
        </w:rPr>
        <w:t xml:space="preserve">, </w:t>
      </w:r>
      <w:r w:rsidR="00E4126A" w:rsidRPr="00DB5B42">
        <w:rPr>
          <w:rFonts w:ascii="Arial" w:hAnsi="Arial" w:cs="Arial"/>
        </w:rPr>
        <w:t>the legislative history</w:t>
      </w:r>
      <w:r w:rsidR="00BF7CA1" w:rsidRPr="00DB5B42">
        <w:rPr>
          <w:rFonts w:ascii="Arial" w:hAnsi="Arial" w:cs="Arial"/>
        </w:rPr>
        <w:t>,</w:t>
      </w:r>
      <w:r w:rsidR="00E4126A" w:rsidRPr="00DB5B42">
        <w:rPr>
          <w:rFonts w:ascii="Arial" w:hAnsi="Arial" w:cs="Arial"/>
        </w:rPr>
        <w:t xml:space="preserve"> </w:t>
      </w:r>
      <w:r w:rsidR="00BF7CA1" w:rsidRPr="00DB5B42">
        <w:rPr>
          <w:rFonts w:ascii="Arial" w:hAnsi="Arial" w:cs="Arial"/>
        </w:rPr>
        <w:t>and</w:t>
      </w:r>
      <w:r w:rsidR="001E518D" w:rsidRPr="00DB5B42">
        <w:rPr>
          <w:rFonts w:ascii="Arial" w:hAnsi="Arial" w:cs="Arial"/>
        </w:rPr>
        <w:t xml:space="preserve"> the </w:t>
      </w:r>
      <w:r w:rsidR="00E4126A" w:rsidRPr="00DB5B42">
        <w:rPr>
          <w:rFonts w:ascii="Arial" w:hAnsi="Arial" w:cs="Arial"/>
        </w:rPr>
        <w:t xml:space="preserve">public policy arguments that support </w:t>
      </w:r>
      <w:r w:rsidR="00C27765">
        <w:rPr>
          <w:rFonts w:ascii="Arial" w:hAnsi="Arial" w:cs="Arial"/>
        </w:rPr>
        <w:t xml:space="preserve">inclusion of </w:t>
      </w:r>
      <w:r w:rsidR="00E4126A" w:rsidRPr="00DB5B42">
        <w:rPr>
          <w:rFonts w:ascii="Arial" w:hAnsi="Arial" w:cs="Arial"/>
        </w:rPr>
        <w:t>ESR participation</w:t>
      </w:r>
      <w:r w:rsidR="001E518D" w:rsidRPr="00DB5B42">
        <w:rPr>
          <w:rFonts w:ascii="Arial" w:hAnsi="Arial" w:cs="Arial"/>
        </w:rPr>
        <w:t xml:space="preserve"> in DRRS</w:t>
      </w:r>
      <w:r w:rsidR="00E4126A" w:rsidRPr="00DB5B42">
        <w:rPr>
          <w:rFonts w:ascii="Arial" w:hAnsi="Arial" w:cs="Arial"/>
        </w:rPr>
        <w:t xml:space="preserve">.  </w:t>
      </w:r>
    </w:p>
    <w:p w14:paraId="26EB269F" w14:textId="34B5D50B" w:rsidR="00DB5B42" w:rsidRPr="00DB5B42" w:rsidRDefault="001E518D" w:rsidP="00AA6910">
      <w:pPr>
        <w:spacing w:before="120" w:after="120"/>
        <w:rPr>
          <w:rFonts w:ascii="Arial" w:hAnsi="Arial" w:cs="Arial"/>
        </w:rPr>
      </w:pPr>
      <w:r w:rsidRPr="00DB5B42">
        <w:rPr>
          <w:rFonts w:ascii="Arial" w:hAnsi="Arial" w:cs="Arial"/>
        </w:rPr>
        <w:t>Rather than repeating those comments in their entirety here, we incorporate them by reference.</w:t>
      </w:r>
      <w:r w:rsidR="007A0FD8" w:rsidRPr="00DB5B42">
        <w:rPr>
          <w:rFonts w:ascii="Arial" w:hAnsi="Arial" w:cs="Arial"/>
        </w:rPr>
        <w:t xml:space="preserve">  </w:t>
      </w:r>
      <w:r w:rsidR="00DB5B42">
        <w:rPr>
          <w:rFonts w:ascii="Arial" w:hAnsi="Arial" w:cs="Arial"/>
        </w:rPr>
        <w:t xml:space="preserve">NPRR1340 </w:t>
      </w:r>
      <w:r w:rsidR="00DB5B42" w:rsidRPr="00DB5B42">
        <w:rPr>
          <w:rFonts w:ascii="Arial" w:hAnsi="Arial" w:cs="Arial"/>
        </w:rPr>
        <w:t>ensure</w:t>
      </w:r>
      <w:r w:rsidR="00DB5B42">
        <w:rPr>
          <w:rFonts w:ascii="Arial" w:hAnsi="Arial" w:cs="Arial"/>
        </w:rPr>
        <w:t>s</w:t>
      </w:r>
      <w:r w:rsidR="00DB5B42" w:rsidRPr="00DB5B42">
        <w:rPr>
          <w:rFonts w:ascii="Arial" w:hAnsi="Arial" w:cs="Arial"/>
        </w:rPr>
        <w:t xml:space="preserve"> that DRRS is implemented in a technology-neutral manner so that all qualifying dispatchable resources have an equal opportunity to participate as required by the statute</w:t>
      </w:r>
      <w:r w:rsidR="00945A97">
        <w:rPr>
          <w:rFonts w:ascii="Arial" w:hAnsi="Arial" w:cs="Arial"/>
        </w:rPr>
        <w:t xml:space="preserve"> so that </w:t>
      </w:r>
      <w:r w:rsidR="00BD7FCD">
        <w:rPr>
          <w:rFonts w:ascii="Arial" w:hAnsi="Arial" w:cs="Arial"/>
        </w:rPr>
        <w:t>reliability benefits can be delivered at the lowest costs to customers</w:t>
      </w:r>
      <w:r w:rsidR="00DB5B42" w:rsidRPr="00DB5B42">
        <w:rPr>
          <w:rFonts w:ascii="Arial" w:hAnsi="Arial" w:cs="Arial"/>
        </w:rPr>
        <w:t>.</w:t>
      </w:r>
    </w:p>
    <w:p w14:paraId="3E774541" w14:textId="24FFA76A" w:rsidR="004C0312" w:rsidRDefault="00C27765" w:rsidP="00AA6910">
      <w:pPr>
        <w:pStyle w:val="NormalArial"/>
        <w:spacing w:before="120" w:after="120"/>
        <w:rPr>
          <w:rFonts w:cs="Arial"/>
        </w:rPr>
      </w:pPr>
      <w:r>
        <w:rPr>
          <w:rFonts w:cs="Arial"/>
        </w:rPr>
        <w:t xml:space="preserve">The </w:t>
      </w:r>
      <w:r w:rsidR="001E518D" w:rsidRPr="00DB5B42">
        <w:rPr>
          <w:rFonts w:cs="Arial"/>
        </w:rPr>
        <w:t xml:space="preserve">PUCT has </w:t>
      </w:r>
      <w:r>
        <w:rPr>
          <w:rFonts w:cs="Arial"/>
        </w:rPr>
        <w:t xml:space="preserve">also </w:t>
      </w:r>
      <w:r w:rsidR="001E518D" w:rsidRPr="00DB5B42">
        <w:rPr>
          <w:rFonts w:cs="Arial"/>
        </w:rPr>
        <w:t xml:space="preserve">made explicit its </w:t>
      </w:r>
      <w:r w:rsidR="00C317AF">
        <w:rPr>
          <w:rFonts w:cs="Arial"/>
        </w:rPr>
        <w:t>expectation that</w:t>
      </w:r>
      <w:r w:rsidR="001E518D" w:rsidRPr="00DB5B42">
        <w:rPr>
          <w:rFonts w:cs="Arial"/>
        </w:rPr>
        <w:t xml:space="preserve"> qualifying ESRs be included as an eligible dispatchable </w:t>
      </w:r>
      <w:r w:rsidR="00643FD0" w:rsidRPr="00DB5B42">
        <w:rPr>
          <w:rFonts w:cs="Arial"/>
        </w:rPr>
        <w:t>g</w:t>
      </w:r>
      <w:r w:rsidR="001E518D" w:rsidRPr="00DB5B42">
        <w:rPr>
          <w:rFonts w:cs="Arial"/>
        </w:rPr>
        <w:t xml:space="preserve">eneration resource that can participate in DRRS </w:t>
      </w:r>
      <w:r w:rsidR="00C317AF">
        <w:rPr>
          <w:rFonts w:cs="Arial"/>
        </w:rPr>
        <w:t xml:space="preserve">from </w:t>
      </w:r>
      <w:r w:rsidR="001E518D" w:rsidRPr="00DB5B42">
        <w:rPr>
          <w:rFonts w:cs="Arial"/>
        </w:rPr>
        <w:t>day one of DRRS implementation.</w:t>
      </w:r>
      <w:r w:rsidR="001E518D" w:rsidRPr="00DB5B42">
        <w:rPr>
          <w:rStyle w:val="FootnoteReference"/>
          <w:rFonts w:cs="Arial"/>
        </w:rPr>
        <w:footnoteReference w:id="5"/>
      </w:r>
      <w:r w:rsidR="00643FD0" w:rsidRPr="00DB5B42">
        <w:rPr>
          <w:rFonts w:cs="Arial"/>
        </w:rPr>
        <w:t xml:space="preserve">  </w:t>
      </w:r>
      <w:r w:rsidR="00DB5B42" w:rsidRPr="00DB5B42">
        <w:rPr>
          <w:rFonts w:cs="Arial"/>
        </w:rPr>
        <w:t xml:space="preserve"> </w:t>
      </w:r>
      <w:r w:rsidR="005F4670">
        <w:rPr>
          <w:rFonts w:cs="Arial"/>
        </w:rPr>
        <w:t>A</w:t>
      </w:r>
      <w:r w:rsidR="004C0312">
        <w:rPr>
          <w:rFonts w:cs="Arial"/>
        </w:rPr>
        <w:t xml:space="preserve">t the March 26, </w:t>
      </w:r>
      <w:proofErr w:type="gramStart"/>
      <w:r w:rsidR="004C0312">
        <w:rPr>
          <w:rFonts w:cs="Arial"/>
        </w:rPr>
        <w:t>2026</w:t>
      </w:r>
      <w:proofErr w:type="gramEnd"/>
      <w:r w:rsidR="004C0312">
        <w:rPr>
          <w:rFonts w:cs="Arial"/>
        </w:rPr>
        <w:t xml:space="preserve"> Open Meeting, Chairman Gleeson stated tha</w:t>
      </w:r>
      <w:r w:rsidR="002A52C3">
        <w:rPr>
          <w:rFonts w:cs="Arial"/>
        </w:rPr>
        <w:t>t his one requirement was that th</w:t>
      </w:r>
      <w:r w:rsidR="007E4874">
        <w:rPr>
          <w:rFonts w:cs="Arial"/>
        </w:rPr>
        <w:t xml:space="preserve">is NPRR be </w:t>
      </w:r>
      <w:r w:rsidR="002A52C3">
        <w:rPr>
          <w:rFonts w:cs="Arial"/>
        </w:rPr>
        <w:t xml:space="preserve">moved quickly enough </w:t>
      </w:r>
      <w:r w:rsidR="004A2837">
        <w:rPr>
          <w:rFonts w:cs="Arial"/>
        </w:rPr>
        <w:t>so that this</w:t>
      </w:r>
      <w:r w:rsidR="007E4874">
        <w:rPr>
          <w:rFonts w:cs="Arial"/>
        </w:rPr>
        <w:t xml:space="preserve"> NPRR could be rolled into the f</w:t>
      </w:r>
      <w:r w:rsidR="004A2837">
        <w:rPr>
          <w:rFonts w:cs="Arial"/>
        </w:rPr>
        <w:t>ir</w:t>
      </w:r>
      <w:r w:rsidR="007E4874">
        <w:rPr>
          <w:rFonts w:cs="Arial"/>
        </w:rPr>
        <w:t xml:space="preserve">st </w:t>
      </w:r>
      <w:r w:rsidR="00385C5D">
        <w:rPr>
          <w:rFonts w:cs="Arial"/>
        </w:rPr>
        <w:t xml:space="preserve">run </w:t>
      </w:r>
      <w:r w:rsidR="007E4874">
        <w:rPr>
          <w:rFonts w:cs="Arial"/>
        </w:rPr>
        <w:t>of DRRS.</w:t>
      </w:r>
      <w:r w:rsidR="00E75E55">
        <w:rPr>
          <w:rStyle w:val="FootnoteReference"/>
          <w:rFonts w:cs="Arial"/>
        </w:rPr>
        <w:footnoteReference w:id="6"/>
      </w:r>
      <w:r w:rsidR="004A2837">
        <w:rPr>
          <w:rFonts w:cs="Arial"/>
        </w:rPr>
        <w:t xml:space="preserve">  </w:t>
      </w:r>
      <w:r w:rsidR="00643FD0" w:rsidRPr="00DB5B42">
        <w:rPr>
          <w:rFonts w:cs="Arial"/>
        </w:rPr>
        <w:t xml:space="preserve">NPRR1340 </w:t>
      </w:r>
      <w:r w:rsidR="00C317AF">
        <w:rPr>
          <w:rFonts w:cs="Arial"/>
        </w:rPr>
        <w:t>directly advances t</w:t>
      </w:r>
      <w:r>
        <w:rPr>
          <w:rFonts w:cs="Arial"/>
        </w:rPr>
        <w:t>hat</w:t>
      </w:r>
      <w:r w:rsidR="00C317AF">
        <w:rPr>
          <w:rFonts w:cs="Arial"/>
        </w:rPr>
        <w:t xml:space="preserve"> objective by establishing </w:t>
      </w:r>
      <w:r w:rsidR="00643FD0" w:rsidRPr="00DB5B42">
        <w:rPr>
          <w:rFonts w:cs="Arial"/>
        </w:rPr>
        <w:t xml:space="preserve">qualifying ESRs as eligible DRRS participants. </w:t>
      </w:r>
      <w:r w:rsidR="00A03263">
        <w:rPr>
          <w:rFonts w:cs="Arial"/>
        </w:rPr>
        <w:t xml:space="preserve"> ERCOT has stated that the NPRR must be approved no later than December to </w:t>
      </w:r>
      <w:r w:rsidR="005F4670">
        <w:rPr>
          <w:rFonts w:cs="Arial"/>
        </w:rPr>
        <w:t xml:space="preserve">allow ESR participation </w:t>
      </w:r>
      <w:r w:rsidR="00BB4777">
        <w:rPr>
          <w:rFonts w:cs="Arial"/>
        </w:rPr>
        <w:t>day one of DRRS</w:t>
      </w:r>
      <w:r w:rsidR="005F4670">
        <w:rPr>
          <w:rFonts w:cs="Arial"/>
        </w:rPr>
        <w:t xml:space="preserve"> implementation</w:t>
      </w:r>
      <w:r w:rsidR="00A03263">
        <w:rPr>
          <w:rFonts w:cs="Arial"/>
        </w:rPr>
        <w:t xml:space="preserve">. </w:t>
      </w:r>
    </w:p>
    <w:p w14:paraId="4861E584" w14:textId="5FC323F2" w:rsidR="00F30C98" w:rsidRDefault="009A680A" w:rsidP="00AA6910">
      <w:pPr>
        <w:pStyle w:val="NormalArial"/>
        <w:spacing w:before="120" w:after="120"/>
        <w:rPr>
          <w:rFonts w:cs="Arial"/>
        </w:rPr>
      </w:pPr>
      <w:r>
        <w:rPr>
          <w:rFonts w:cs="Arial"/>
        </w:rPr>
        <w:t xml:space="preserve">The PUCT also reiterated its </w:t>
      </w:r>
      <w:r w:rsidR="00385C5D">
        <w:rPr>
          <w:rFonts w:cs="Arial"/>
        </w:rPr>
        <w:t>long-standing</w:t>
      </w:r>
      <w:r>
        <w:rPr>
          <w:rFonts w:cs="Arial"/>
        </w:rPr>
        <w:t xml:space="preserve"> policy of implementing legislation in </w:t>
      </w:r>
      <w:proofErr w:type="gramStart"/>
      <w:r>
        <w:rPr>
          <w:rFonts w:cs="Arial"/>
        </w:rPr>
        <w:t>a technology-</w:t>
      </w:r>
      <w:proofErr w:type="gramEnd"/>
      <w:r>
        <w:rPr>
          <w:rFonts w:cs="Arial"/>
        </w:rPr>
        <w:t>neutral manner</w:t>
      </w:r>
      <w:r w:rsidR="00385C5D">
        <w:rPr>
          <w:rFonts w:cs="Arial"/>
        </w:rPr>
        <w:t>, which best benefits consumers and the market</w:t>
      </w:r>
      <w:r>
        <w:rPr>
          <w:rFonts w:cs="Arial"/>
        </w:rPr>
        <w:t xml:space="preserve">.  </w:t>
      </w:r>
      <w:r w:rsidR="005C2661">
        <w:rPr>
          <w:rFonts w:cs="Arial"/>
        </w:rPr>
        <w:t>For example,</w:t>
      </w:r>
      <w:r w:rsidR="00073E10">
        <w:rPr>
          <w:rFonts w:cs="Arial"/>
        </w:rPr>
        <w:t xml:space="preserve"> Commissioner Jackson </w:t>
      </w:r>
      <w:r w:rsidR="005C2661">
        <w:rPr>
          <w:rFonts w:cs="Arial"/>
        </w:rPr>
        <w:t xml:space="preserve">noted </w:t>
      </w:r>
      <w:r w:rsidR="00073E10">
        <w:rPr>
          <w:rFonts w:cs="Arial"/>
        </w:rPr>
        <w:t xml:space="preserve">during the </w:t>
      </w:r>
      <w:r w:rsidR="00C27765">
        <w:rPr>
          <w:rFonts w:cs="Arial"/>
        </w:rPr>
        <w:t xml:space="preserve">March 26 </w:t>
      </w:r>
      <w:r w:rsidR="00073E10">
        <w:rPr>
          <w:rFonts w:cs="Arial"/>
        </w:rPr>
        <w:t xml:space="preserve">Open Meeting discussion, </w:t>
      </w:r>
      <w:r w:rsidR="00C317AF">
        <w:rPr>
          <w:rFonts w:cs="Arial"/>
        </w:rPr>
        <w:t>“I think this would be a good outcome, not only because we want to be technology-neutral, but also I think that diversity of having both batterie</w:t>
      </w:r>
      <w:r w:rsidR="00073E10">
        <w:rPr>
          <w:rFonts w:cs="Arial"/>
        </w:rPr>
        <w:t>s</w:t>
      </w:r>
      <w:r w:rsidR="00C317AF">
        <w:rPr>
          <w:rFonts w:cs="Arial"/>
        </w:rPr>
        <w:t xml:space="preserve"> as well as potentially gas generation is good for the system and good for reliability.”</w:t>
      </w:r>
      <w:r w:rsidR="00073E10">
        <w:rPr>
          <w:rStyle w:val="FootnoteReference"/>
          <w:rFonts w:cs="Arial"/>
        </w:rPr>
        <w:footnoteReference w:id="7"/>
      </w:r>
      <w:r w:rsidR="00073E10">
        <w:rPr>
          <w:rFonts w:cs="Arial"/>
        </w:rPr>
        <w:t xml:space="preserve"> </w:t>
      </w:r>
      <w:r w:rsidR="005C2661">
        <w:rPr>
          <w:rFonts w:cs="Arial"/>
        </w:rPr>
        <w:t xml:space="preserve"> </w:t>
      </w:r>
      <w:r w:rsidR="00073E10" w:rsidRPr="00073E10">
        <w:rPr>
          <w:rFonts w:cs="Arial"/>
        </w:rPr>
        <w:t xml:space="preserve">TSSA </w:t>
      </w:r>
      <w:r w:rsidR="00073E10">
        <w:rPr>
          <w:rFonts w:cs="Arial"/>
        </w:rPr>
        <w:t xml:space="preserve">agrees and </w:t>
      </w:r>
      <w:r w:rsidR="00073E10" w:rsidRPr="00073E10">
        <w:rPr>
          <w:rFonts w:cs="Arial"/>
        </w:rPr>
        <w:t>urges stakeholders to promptly approve NPRR1340 so that DRRS implementation fully reflects the PUCT’s direction to include ESR participation</w:t>
      </w:r>
      <w:r w:rsidR="00AC6C39">
        <w:rPr>
          <w:rFonts w:cs="Arial"/>
        </w:rPr>
        <w:t xml:space="preserve"> to deliver benefits to the grid and consumers</w:t>
      </w:r>
      <w:r w:rsidR="00073E10" w:rsidRPr="00073E10">
        <w:rPr>
          <w:rFonts w:cs="Arial"/>
        </w:rPr>
        <w:t xml:space="preserve">. </w:t>
      </w:r>
    </w:p>
    <w:p w14:paraId="6A4E4873" w14:textId="4DE8C8A7" w:rsidR="00F30C98" w:rsidRDefault="00F30C98" w:rsidP="00AA6910">
      <w:pPr>
        <w:pStyle w:val="NormalArial"/>
        <w:spacing w:before="120" w:after="120"/>
        <w:rPr>
          <w:rFonts w:cs="Arial"/>
        </w:rPr>
      </w:pPr>
      <w:r w:rsidRPr="00654290">
        <w:rPr>
          <w:rFonts w:cs="Arial"/>
        </w:rPr>
        <w:t xml:space="preserve">Finally, TSSA would like to briefly address </w:t>
      </w:r>
      <w:r w:rsidR="00385C5D">
        <w:rPr>
          <w:rFonts w:cs="Arial"/>
        </w:rPr>
        <w:t xml:space="preserve">on-going </w:t>
      </w:r>
      <w:r w:rsidR="007D5038" w:rsidRPr="00654290">
        <w:rPr>
          <w:rFonts w:cs="Arial"/>
        </w:rPr>
        <w:t>comments by</w:t>
      </w:r>
      <w:r w:rsidRPr="00654290">
        <w:rPr>
          <w:rFonts w:cs="Arial"/>
        </w:rPr>
        <w:t xml:space="preserve"> some stakeholders</w:t>
      </w:r>
      <w:r w:rsidR="007D5038" w:rsidRPr="00654290">
        <w:rPr>
          <w:rFonts w:cs="Arial"/>
        </w:rPr>
        <w:t xml:space="preserve"> </w:t>
      </w:r>
      <w:r w:rsidR="00385C5D">
        <w:rPr>
          <w:rFonts w:cs="Arial"/>
        </w:rPr>
        <w:t>that</w:t>
      </w:r>
      <w:r w:rsidR="00385C5D" w:rsidRPr="00654290">
        <w:rPr>
          <w:rFonts w:cs="Arial"/>
        </w:rPr>
        <w:t xml:space="preserve"> </w:t>
      </w:r>
      <w:r w:rsidR="00B236E8" w:rsidRPr="00654290">
        <w:rPr>
          <w:rFonts w:cs="Arial"/>
        </w:rPr>
        <w:t xml:space="preserve">seek to </w:t>
      </w:r>
      <w:r w:rsidR="000975B2" w:rsidRPr="00654290">
        <w:rPr>
          <w:rFonts w:cs="Arial"/>
        </w:rPr>
        <w:t>modify the design of DRRS</w:t>
      </w:r>
      <w:r w:rsidR="00B236E8" w:rsidRPr="00654290">
        <w:rPr>
          <w:rFonts w:cs="Arial"/>
        </w:rPr>
        <w:t xml:space="preserve"> </w:t>
      </w:r>
      <w:r w:rsidR="00A83539">
        <w:rPr>
          <w:rFonts w:cs="Arial"/>
        </w:rPr>
        <w:t xml:space="preserve">as a resource adequacy product with longer </w:t>
      </w:r>
      <w:r w:rsidR="00A83539">
        <w:rPr>
          <w:rFonts w:cs="Arial"/>
        </w:rPr>
        <w:lastRenderedPageBreak/>
        <w:t>duration</w:t>
      </w:r>
      <w:r w:rsidR="00EB2579">
        <w:rPr>
          <w:rFonts w:cs="Arial"/>
        </w:rPr>
        <w:t xml:space="preserve"> to address seasonal needs</w:t>
      </w:r>
      <w:r w:rsidR="00805AA1">
        <w:rPr>
          <w:rFonts w:cs="Arial"/>
        </w:rPr>
        <w:t>.</w:t>
      </w:r>
      <w:r w:rsidR="00153818" w:rsidRPr="00654290">
        <w:rPr>
          <w:rStyle w:val="FootnoteReference"/>
          <w:rFonts w:cs="Arial"/>
        </w:rPr>
        <w:footnoteReference w:id="8"/>
      </w:r>
      <w:r w:rsidR="00A83539">
        <w:rPr>
          <w:rFonts w:cs="Arial"/>
        </w:rPr>
        <w:t xml:space="preserve">  T</w:t>
      </w:r>
      <w:r w:rsidR="00153818" w:rsidRPr="00654290">
        <w:rPr>
          <w:rFonts w:cs="Arial"/>
        </w:rPr>
        <w:t>he</w:t>
      </w:r>
      <w:r w:rsidR="00385C5D">
        <w:rPr>
          <w:rFonts w:cs="Arial"/>
        </w:rPr>
        <w:t xml:space="preserve"> most recent</w:t>
      </w:r>
      <w:r w:rsidR="00153818" w:rsidRPr="00654290">
        <w:rPr>
          <w:rFonts w:cs="Arial"/>
        </w:rPr>
        <w:t xml:space="preserve"> </w:t>
      </w:r>
      <w:r w:rsidR="00A83539">
        <w:rPr>
          <w:rFonts w:cs="Arial"/>
        </w:rPr>
        <w:t xml:space="preserve">comments </w:t>
      </w:r>
      <w:r w:rsidR="00B236E8" w:rsidRPr="00654290">
        <w:rPr>
          <w:rFonts w:cs="Arial"/>
        </w:rPr>
        <w:t>are</w:t>
      </w:r>
      <w:r w:rsidR="00805AA1">
        <w:rPr>
          <w:rFonts w:cs="Arial"/>
        </w:rPr>
        <w:t xml:space="preserve"> generally a</w:t>
      </w:r>
      <w:r w:rsidR="007D5038" w:rsidRPr="00654290">
        <w:rPr>
          <w:rFonts w:cs="Arial"/>
        </w:rPr>
        <w:t xml:space="preserve"> reprise of </w:t>
      </w:r>
      <w:r w:rsidR="00654290">
        <w:rPr>
          <w:rFonts w:cs="Arial"/>
        </w:rPr>
        <w:t xml:space="preserve">earlier </w:t>
      </w:r>
      <w:r w:rsidR="007D5038" w:rsidRPr="00654290">
        <w:rPr>
          <w:rFonts w:cs="Arial"/>
        </w:rPr>
        <w:t>arguments made during the development of NPRR1309.</w:t>
      </w:r>
    </w:p>
    <w:p w14:paraId="652FBD04" w14:textId="5D702244" w:rsidR="001B6446" w:rsidRDefault="00F30C98" w:rsidP="00AA6910">
      <w:pPr>
        <w:pStyle w:val="NormalArial"/>
        <w:spacing w:before="120" w:after="120"/>
        <w:rPr>
          <w:rFonts w:cs="Arial"/>
        </w:rPr>
      </w:pPr>
      <w:r>
        <w:rPr>
          <w:rFonts w:cs="Arial"/>
        </w:rPr>
        <w:t xml:space="preserve">First, the PUCT has already decided that DRRS </w:t>
      </w:r>
      <w:r w:rsidR="001B6446">
        <w:rPr>
          <w:rFonts w:cs="Arial"/>
        </w:rPr>
        <w:t xml:space="preserve">(NPRR1309) </w:t>
      </w:r>
      <w:r w:rsidR="00EB2579">
        <w:rPr>
          <w:rFonts w:cs="Arial"/>
        </w:rPr>
        <w:t>should be implemented as</w:t>
      </w:r>
      <w:r w:rsidR="001B6446">
        <w:rPr>
          <w:rFonts w:cs="Arial"/>
        </w:rPr>
        <w:t xml:space="preserve"> a</w:t>
      </w:r>
      <w:r w:rsidR="002B0DB6">
        <w:rPr>
          <w:rFonts w:cs="Arial"/>
        </w:rPr>
        <w:t xml:space="preserve"> traditional</w:t>
      </w:r>
      <w:r w:rsidR="001B6446">
        <w:rPr>
          <w:rFonts w:cs="Arial"/>
        </w:rPr>
        <w:t xml:space="preserve"> </w:t>
      </w:r>
      <w:r>
        <w:rPr>
          <w:rFonts w:cs="Arial"/>
        </w:rPr>
        <w:t xml:space="preserve">Ancillary Service product </w:t>
      </w:r>
      <w:r w:rsidR="00915A19">
        <w:rPr>
          <w:rFonts w:cs="Arial"/>
        </w:rPr>
        <w:t>to meet</w:t>
      </w:r>
      <w:r>
        <w:rPr>
          <w:rFonts w:cs="Arial"/>
        </w:rPr>
        <w:t xml:space="preserve"> the statutory objective of PURA §35.159</w:t>
      </w:r>
      <w:r w:rsidR="00153818">
        <w:rPr>
          <w:rFonts w:cs="Arial"/>
        </w:rPr>
        <w:t>(d)</w:t>
      </w:r>
      <w:r>
        <w:rPr>
          <w:rFonts w:cs="Arial"/>
        </w:rPr>
        <w:t>.  In recommending approval of NPRR1309, the PUCT Staff filed a Memo noting that NPRR1309 “has been developed pursuant to the Public Utility Regulatory Act (PURA) §39.159(d) which requires ERCOT ‘to develop and implement an ancillary services program to procure dispatchable reliability reserve services on a day ahead and real time basis to account for market uncertainty.’”</w:t>
      </w:r>
      <w:r w:rsidR="009F3973">
        <w:rPr>
          <w:rStyle w:val="FootnoteReference"/>
          <w:rFonts w:cs="Arial"/>
        </w:rPr>
        <w:footnoteReference w:id="9"/>
      </w:r>
      <w:r w:rsidR="009F3973">
        <w:rPr>
          <w:rFonts w:cs="Arial"/>
        </w:rPr>
        <w:t xml:space="preserve">  Staff recommended approval of NPRR1309 stat</w:t>
      </w:r>
      <w:r w:rsidR="001B6446">
        <w:rPr>
          <w:rFonts w:cs="Arial"/>
        </w:rPr>
        <w:t>ing</w:t>
      </w:r>
      <w:r w:rsidR="009F3973">
        <w:rPr>
          <w:rFonts w:cs="Arial"/>
        </w:rPr>
        <w:t xml:space="preserve"> that: “Staff </w:t>
      </w:r>
      <w:r w:rsidR="009F3973" w:rsidRPr="00805AA1">
        <w:rPr>
          <w:rFonts w:cs="Arial"/>
        </w:rPr>
        <w:t>supports NPRR1309</w:t>
      </w:r>
      <w:r w:rsidR="009F3973" w:rsidRPr="00805AA1">
        <w:rPr>
          <w:rFonts w:cs="Arial"/>
          <w:i/>
          <w:iCs/>
        </w:rPr>
        <w:t xml:space="preserve"> as it implements a statutorily mandated service</w:t>
      </w:r>
      <w:r w:rsidR="009F3973">
        <w:rPr>
          <w:rFonts w:cs="Arial"/>
        </w:rPr>
        <w:t>.”</w:t>
      </w:r>
      <w:r w:rsidR="00153818">
        <w:rPr>
          <w:rStyle w:val="FootnoteReference"/>
          <w:rFonts w:cs="Arial"/>
        </w:rPr>
        <w:footnoteReference w:id="10"/>
      </w:r>
      <w:r w:rsidR="00153818">
        <w:rPr>
          <w:rFonts w:cs="Arial"/>
        </w:rPr>
        <w:t xml:space="preserve"> </w:t>
      </w:r>
      <w:r w:rsidR="00805AA1">
        <w:rPr>
          <w:rFonts w:cs="Arial"/>
        </w:rPr>
        <w:t>(emphasis supplied).</w:t>
      </w:r>
      <w:r w:rsidR="00153818">
        <w:rPr>
          <w:rFonts w:cs="Arial"/>
        </w:rPr>
        <w:t xml:space="preserve"> The PUCT adopted NPRR1309 on July 9 as recommended by Staff</w:t>
      </w:r>
      <w:r w:rsidR="001B6446">
        <w:rPr>
          <w:rFonts w:cs="Arial"/>
        </w:rPr>
        <w:t xml:space="preserve">.  </w:t>
      </w:r>
    </w:p>
    <w:p w14:paraId="3932BF6A" w14:textId="5785BDA4" w:rsidR="00BA42F2" w:rsidRDefault="00DC19B1" w:rsidP="00AA6910">
      <w:pPr>
        <w:pStyle w:val="NormalArial"/>
        <w:spacing w:before="120" w:after="120"/>
        <w:rPr>
          <w:rFonts w:cs="Arial"/>
        </w:rPr>
      </w:pPr>
      <w:r>
        <w:rPr>
          <w:rFonts w:cs="Arial"/>
        </w:rPr>
        <w:t>While TSSA recognizes that the statute allows the duration of DRRS to be e</w:t>
      </w:r>
      <w:r w:rsidR="00DF7A20">
        <w:rPr>
          <w:rFonts w:cs="Arial"/>
        </w:rPr>
        <w:t xml:space="preserve">xtended should there be a demonstrated need, the Commission has already </w:t>
      </w:r>
      <w:r w:rsidR="00D268BF">
        <w:rPr>
          <w:rFonts w:cs="Arial"/>
        </w:rPr>
        <w:t>affirmed that</w:t>
      </w:r>
      <w:r w:rsidR="00DF7A20">
        <w:rPr>
          <w:rFonts w:cs="Arial"/>
        </w:rPr>
        <w:t xml:space="preserve"> the four</w:t>
      </w:r>
      <w:r w:rsidR="00385C5D">
        <w:rPr>
          <w:rFonts w:cs="Arial"/>
        </w:rPr>
        <w:t>-</w:t>
      </w:r>
      <w:r w:rsidR="00DF7A20">
        <w:rPr>
          <w:rFonts w:cs="Arial"/>
        </w:rPr>
        <w:t xml:space="preserve">hour duration </w:t>
      </w:r>
      <w:r w:rsidR="00D268BF">
        <w:rPr>
          <w:rFonts w:cs="Arial"/>
        </w:rPr>
        <w:t xml:space="preserve">should not be altered </w:t>
      </w:r>
      <w:r w:rsidR="00DF7A20">
        <w:rPr>
          <w:rFonts w:cs="Arial"/>
        </w:rPr>
        <w:t>at this time.</w:t>
      </w:r>
      <w:r w:rsidR="00A559B7">
        <w:rPr>
          <w:rStyle w:val="FootnoteReference"/>
          <w:rFonts w:cs="Arial"/>
        </w:rPr>
        <w:footnoteReference w:id="11"/>
      </w:r>
      <w:r w:rsidR="00DF7A20">
        <w:rPr>
          <w:rFonts w:cs="Arial"/>
        </w:rPr>
        <w:t xml:space="preserve">  </w:t>
      </w:r>
      <w:r w:rsidR="00C41E81">
        <w:rPr>
          <w:rFonts w:cs="Arial"/>
        </w:rPr>
        <w:t xml:space="preserve">The </w:t>
      </w:r>
      <w:r>
        <w:rPr>
          <w:rFonts w:cs="Arial"/>
        </w:rPr>
        <w:t xml:space="preserve">Commission </w:t>
      </w:r>
      <w:r w:rsidR="00C41E81">
        <w:rPr>
          <w:rFonts w:cs="Arial"/>
        </w:rPr>
        <w:t xml:space="preserve">stated its agreement </w:t>
      </w:r>
      <w:r>
        <w:rPr>
          <w:rFonts w:cs="Arial"/>
        </w:rPr>
        <w:t xml:space="preserve">with </w:t>
      </w:r>
      <w:r w:rsidR="0099151F">
        <w:rPr>
          <w:rFonts w:cs="Arial"/>
        </w:rPr>
        <w:t xml:space="preserve">the </w:t>
      </w:r>
      <w:r>
        <w:rPr>
          <w:rFonts w:cs="Arial"/>
        </w:rPr>
        <w:t>PUCT Staff</w:t>
      </w:r>
      <w:r w:rsidR="00803143">
        <w:rPr>
          <w:rFonts w:cs="Arial"/>
        </w:rPr>
        <w:t>’s</w:t>
      </w:r>
      <w:r>
        <w:rPr>
          <w:rFonts w:cs="Arial"/>
        </w:rPr>
        <w:t xml:space="preserve"> </w:t>
      </w:r>
      <w:r w:rsidR="0099151F">
        <w:rPr>
          <w:rFonts w:cs="Arial"/>
        </w:rPr>
        <w:t xml:space="preserve">DRRS </w:t>
      </w:r>
      <w:r>
        <w:rPr>
          <w:rFonts w:cs="Arial"/>
        </w:rPr>
        <w:t>recommendation</w:t>
      </w:r>
      <w:r w:rsidR="00030CD4">
        <w:rPr>
          <w:rFonts w:cs="Arial"/>
        </w:rPr>
        <w:t>s including</w:t>
      </w:r>
      <w:r>
        <w:rPr>
          <w:rFonts w:cs="Arial"/>
        </w:rPr>
        <w:t xml:space="preserve"> that “</w:t>
      </w:r>
      <w:r w:rsidRPr="00DC19B1">
        <w:rPr>
          <w:rFonts w:cs="Arial"/>
        </w:rPr>
        <w:t>The duration requirement for DRRS should be kept at four hours for now and not</w:t>
      </w:r>
      <w:r>
        <w:rPr>
          <w:rFonts w:cs="Arial"/>
        </w:rPr>
        <w:t xml:space="preserve"> </w:t>
      </w:r>
      <w:r w:rsidRPr="00DC19B1">
        <w:rPr>
          <w:rFonts w:cs="Arial"/>
        </w:rPr>
        <w:t>increased yet as allowed by statute</w:t>
      </w:r>
      <w:r>
        <w:rPr>
          <w:rFonts w:cs="Arial"/>
        </w:rPr>
        <w:t>.”</w:t>
      </w:r>
      <w:r w:rsidR="00803143">
        <w:rPr>
          <w:rStyle w:val="FootnoteReference"/>
          <w:rFonts w:cs="Arial"/>
        </w:rPr>
        <w:footnoteReference w:id="12"/>
      </w:r>
    </w:p>
    <w:p w14:paraId="335F7C46" w14:textId="656BE48C" w:rsidR="00643FD0" w:rsidRDefault="00385C5D" w:rsidP="00AA6910">
      <w:pPr>
        <w:pStyle w:val="NormalArial"/>
        <w:spacing w:before="120" w:after="120"/>
        <w:rPr>
          <w:rFonts w:cs="Arial"/>
        </w:rPr>
      </w:pPr>
      <w:r>
        <w:rPr>
          <w:rFonts w:cs="Arial"/>
        </w:rPr>
        <w:t>TSSA welcome</w:t>
      </w:r>
      <w:r w:rsidR="009D73D7">
        <w:rPr>
          <w:rFonts w:cs="Arial"/>
        </w:rPr>
        <w:t>s</w:t>
      </w:r>
      <w:r>
        <w:rPr>
          <w:rFonts w:cs="Arial"/>
        </w:rPr>
        <w:t xml:space="preserve"> discussion</w:t>
      </w:r>
      <w:r w:rsidR="009D73D7">
        <w:rPr>
          <w:rFonts w:cs="Arial"/>
        </w:rPr>
        <w:t>s</w:t>
      </w:r>
      <w:r>
        <w:rPr>
          <w:rFonts w:cs="Arial"/>
        </w:rPr>
        <w:t xml:space="preserve"> on the future reliability of the grid and potential new market design tools that are data-driven</w:t>
      </w:r>
      <w:r w:rsidR="009D73D7">
        <w:rPr>
          <w:rFonts w:cs="Arial"/>
        </w:rPr>
        <w:t>, transparent, technology-neutral and address an explicit need. The</w:t>
      </w:r>
      <w:r w:rsidR="002B0DB6">
        <w:rPr>
          <w:rFonts w:cs="Arial"/>
        </w:rPr>
        <w:t xml:space="preserve"> question of whether there should be a different </w:t>
      </w:r>
      <w:r w:rsidR="00030CD4">
        <w:rPr>
          <w:rFonts w:cs="Arial"/>
        </w:rPr>
        <w:t xml:space="preserve">DRRS </w:t>
      </w:r>
      <w:r w:rsidR="002B0DB6">
        <w:rPr>
          <w:rFonts w:cs="Arial"/>
        </w:rPr>
        <w:t xml:space="preserve">product to meet </w:t>
      </w:r>
      <w:r w:rsidR="004A0C2E">
        <w:rPr>
          <w:rFonts w:cs="Arial"/>
        </w:rPr>
        <w:t>a specific</w:t>
      </w:r>
      <w:r w:rsidR="002B0DB6">
        <w:rPr>
          <w:rFonts w:cs="Arial"/>
        </w:rPr>
        <w:t xml:space="preserve"> resource adequacy need</w:t>
      </w:r>
      <w:r w:rsidR="009D73D7">
        <w:rPr>
          <w:rFonts w:cs="Arial"/>
        </w:rPr>
        <w:t>, h</w:t>
      </w:r>
      <w:r w:rsidR="0099151F">
        <w:rPr>
          <w:rFonts w:cs="Arial"/>
        </w:rPr>
        <w:t>o</w:t>
      </w:r>
      <w:r w:rsidR="009D73D7">
        <w:rPr>
          <w:rFonts w:cs="Arial"/>
        </w:rPr>
        <w:t>wever,</w:t>
      </w:r>
      <w:r w:rsidR="002B0DB6">
        <w:rPr>
          <w:rFonts w:cs="Arial"/>
        </w:rPr>
        <w:t xml:space="preserve"> </w:t>
      </w:r>
      <w:r w:rsidR="00805AA1">
        <w:rPr>
          <w:rFonts w:cs="Arial"/>
        </w:rPr>
        <w:t>should</w:t>
      </w:r>
      <w:r w:rsidR="002B0DB6">
        <w:rPr>
          <w:rFonts w:cs="Arial"/>
        </w:rPr>
        <w:t xml:space="preserve"> be addressed </w:t>
      </w:r>
      <w:r w:rsidR="00805AA1">
        <w:rPr>
          <w:rFonts w:cs="Arial"/>
        </w:rPr>
        <w:t xml:space="preserve">only after </w:t>
      </w:r>
      <w:r w:rsidR="002B0DB6">
        <w:rPr>
          <w:rFonts w:cs="Arial"/>
        </w:rPr>
        <w:t>ERCOT has completed its Reliability Assessment</w:t>
      </w:r>
      <w:r w:rsidR="00763928">
        <w:rPr>
          <w:rFonts w:cs="Arial"/>
        </w:rPr>
        <w:t xml:space="preserve"> in PUCT Project No. 58777.</w:t>
      </w:r>
      <w:r w:rsidR="00763928">
        <w:rPr>
          <w:rStyle w:val="FootnoteReference"/>
          <w:rFonts w:cs="Arial"/>
        </w:rPr>
        <w:footnoteReference w:id="13"/>
      </w:r>
      <w:r w:rsidR="002B0DB6">
        <w:rPr>
          <w:rFonts w:cs="Arial"/>
        </w:rPr>
        <w:t xml:space="preserve">  </w:t>
      </w:r>
      <w:r w:rsidR="00241956" w:rsidRPr="00241956">
        <w:rPr>
          <w:rFonts w:cs="Arial"/>
        </w:rPr>
        <w:t xml:space="preserve">It is premature to select one particular market design or product in advance of the </w:t>
      </w:r>
      <w:r w:rsidR="00241956" w:rsidRPr="00241956">
        <w:rPr>
          <w:rFonts w:cs="Arial"/>
        </w:rPr>
        <w:lastRenderedPageBreak/>
        <w:t xml:space="preserve">completion of the reliability study without first </w:t>
      </w:r>
      <w:r w:rsidR="001343CE">
        <w:rPr>
          <w:rFonts w:cs="Arial"/>
        </w:rPr>
        <w:t xml:space="preserve">analyzing and </w:t>
      </w:r>
      <w:r w:rsidR="00241956" w:rsidRPr="00241956">
        <w:rPr>
          <w:rFonts w:cs="Arial"/>
        </w:rPr>
        <w:t>understanding the market need, if any, and without undertaking a review of all existing market products and a cost</w:t>
      </w:r>
      <w:r w:rsidR="00104AB8">
        <w:rPr>
          <w:rFonts w:cs="Arial"/>
        </w:rPr>
        <w:t>/</w:t>
      </w:r>
      <w:r w:rsidR="00241956" w:rsidRPr="00241956">
        <w:rPr>
          <w:rFonts w:cs="Arial"/>
        </w:rPr>
        <w:t xml:space="preserve">benefit analysis of competing design proposals.  </w:t>
      </w:r>
      <w:r>
        <w:rPr>
          <w:rFonts w:cs="Arial"/>
        </w:rPr>
        <w:t>This NPRR is neither the time nor place for discussion</w:t>
      </w:r>
      <w:r w:rsidR="009D73D7">
        <w:rPr>
          <w:rFonts w:cs="Arial"/>
        </w:rPr>
        <w:t>s</w:t>
      </w:r>
      <w:r>
        <w:rPr>
          <w:rFonts w:cs="Arial"/>
        </w:rPr>
        <w:t xml:space="preserve"> </w:t>
      </w:r>
      <w:r w:rsidR="009D73D7">
        <w:rPr>
          <w:rFonts w:cs="Arial"/>
        </w:rPr>
        <w:t>beyond</w:t>
      </w:r>
      <w:r>
        <w:rPr>
          <w:rFonts w:cs="Arial"/>
        </w:rPr>
        <w:t xml:space="preserve"> </w:t>
      </w:r>
      <w:r w:rsidR="009D73D7">
        <w:rPr>
          <w:rFonts w:cs="Arial"/>
        </w:rPr>
        <w:t>the</w:t>
      </w:r>
      <w:r>
        <w:rPr>
          <w:rFonts w:cs="Arial"/>
        </w:rPr>
        <w:t xml:space="preserve"> integrati</w:t>
      </w:r>
      <w:r w:rsidR="009D73D7">
        <w:rPr>
          <w:rFonts w:cs="Arial"/>
        </w:rPr>
        <w:t>on of</w:t>
      </w:r>
      <w:r>
        <w:rPr>
          <w:rFonts w:cs="Arial"/>
        </w:rPr>
        <w:t xml:space="preserve"> batteries into the DRRS. </w:t>
      </w:r>
      <w:r w:rsidR="0099151F">
        <w:rPr>
          <w:rFonts w:cs="Arial"/>
        </w:rPr>
        <w:t xml:space="preserve">A holistic review of ERCOT’s reliability needs </w:t>
      </w:r>
      <w:r w:rsidR="00241956" w:rsidRPr="00241956">
        <w:rPr>
          <w:rFonts w:cs="Arial"/>
        </w:rPr>
        <w:t xml:space="preserve">is well underway in </w:t>
      </w:r>
      <w:r w:rsidR="00C4532B">
        <w:rPr>
          <w:rFonts w:cs="Arial"/>
        </w:rPr>
        <w:t xml:space="preserve">PUCT </w:t>
      </w:r>
      <w:r w:rsidR="00241956" w:rsidRPr="00241956">
        <w:rPr>
          <w:rFonts w:cs="Arial"/>
        </w:rPr>
        <w:t xml:space="preserve">Project </w:t>
      </w:r>
      <w:r w:rsidR="00C4532B">
        <w:rPr>
          <w:rFonts w:cs="Arial"/>
        </w:rPr>
        <w:t xml:space="preserve">No. </w:t>
      </w:r>
      <w:r w:rsidR="00241956" w:rsidRPr="00241956">
        <w:rPr>
          <w:rFonts w:cs="Arial"/>
        </w:rPr>
        <w:t xml:space="preserve">58777 and stakeholders should allow that process to </w:t>
      </w:r>
      <w:r w:rsidR="00E760FA">
        <w:rPr>
          <w:rFonts w:cs="Arial"/>
        </w:rPr>
        <w:t xml:space="preserve">continue without prematurely advancing </w:t>
      </w:r>
      <w:r w:rsidR="00740D35">
        <w:rPr>
          <w:rFonts w:cs="Arial"/>
        </w:rPr>
        <w:t>proposals in this NPRR.</w:t>
      </w:r>
    </w:p>
    <w:p w14:paraId="2EF276B6" w14:textId="2993FB70" w:rsidR="006E7878" w:rsidRDefault="0099151F" w:rsidP="00AA6910">
      <w:pPr>
        <w:pStyle w:val="NormalArial"/>
        <w:spacing w:before="120" w:after="120"/>
        <w:rPr>
          <w:rFonts w:cs="Arial"/>
        </w:rPr>
      </w:pPr>
      <w:r>
        <w:rPr>
          <w:rFonts w:cs="Arial"/>
        </w:rPr>
        <w:t>As part of</w:t>
      </w:r>
      <w:r w:rsidR="00740D35">
        <w:rPr>
          <w:rFonts w:cs="Arial"/>
        </w:rPr>
        <w:t xml:space="preserve"> the reliability assessment, t</w:t>
      </w:r>
      <w:r w:rsidR="00241956" w:rsidRPr="00241956">
        <w:rPr>
          <w:rFonts w:cs="Arial"/>
        </w:rPr>
        <w:t xml:space="preserve">he Commission could </w:t>
      </w:r>
      <w:r w:rsidR="00104AB8">
        <w:rPr>
          <w:rFonts w:cs="Arial"/>
        </w:rPr>
        <w:t xml:space="preserve">ultimately </w:t>
      </w:r>
      <w:r w:rsidR="00241956" w:rsidRPr="00241956">
        <w:rPr>
          <w:rFonts w:cs="Arial"/>
        </w:rPr>
        <w:t xml:space="preserve">determine that additional market design changes are not needed at this time or that implementing yet another out of market capacity-type product could </w:t>
      </w:r>
      <w:r w:rsidR="00241956">
        <w:rPr>
          <w:rFonts w:cs="Arial"/>
        </w:rPr>
        <w:t xml:space="preserve">dampen price signals that incentivize investment in new generation and maintenance of existing resources, which could </w:t>
      </w:r>
      <w:r w:rsidR="004A0C2E">
        <w:rPr>
          <w:rFonts w:cs="Arial"/>
        </w:rPr>
        <w:t>lead to</w:t>
      </w:r>
      <w:r w:rsidR="00241956">
        <w:rPr>
          <w:rFonts w:cs="Arial"/>
        </w:rPr>
        <w:t xml:space="preserve"> </w:t>
      </w:r>
      <w:r w:rsidR="00104AB8">
        <w:rPr>
          <w:rFonts w:cs="Arial"/>
        </w:rPr>
        <w:t xml:space="preserve">its own </w:t>
      </w:r>
      <w:r w:rsidR="00241956">
        <w:rPr>
          <w:rFonts w:cs="Arial"/>
        </w:rPr>
        <w:t>long-term reliability challenges</w:t>
      </w:r>
      <w:r w:rsidR="00104AB8">
        <w:rPr>
          <w:rFonts w:cs="Arial"/>
        </w:rPr>
        <w:t>.</w:t>
      </w:r>
      <w:r w:rsidR="00241956">
        <w:rPr>
          <w:rFonts w:cs="Arial"/>
        </w:rPr>
        <w:t xml:space="preserve"> </w:t>
      </w:r>
      <w:r w:rsidR="004A0C2E">
        <w:rPr>
          <w:rFonts w:cs="Arial"/>
        </w:rPr>
        <w:t>In fact, the Independent Markt Monitor (IMM) has found that there is</w:t>
      </w:r>
      <w:r w:rsidR="004A0C2E" w:rsidRPr="004A0C2E">
        <w:rPr>
          <w:rFonts w:cs="Arial"/>
        </w:rPr>
        <w:t xml:space="preserve"> significant surplus of capacity in </w:t>
      </w:r>
      <w:proofErr w:type="gramStart"/>
      <w:r w:rsidR="004A0C2E" w:rsidRPr="004A0C2E">
        <w:rPr>
          <w:rFonts w:cs="Arial"/>
        </w:rPr>
        <w:t>ERCOT</w:t>
      </w:r>
      <w:proofErr w:type="gramEnd"/>
      <w:r w:rsidR="004A0C2E">
        <w:rPr>
          <w:rFonts w:cs="Arial"/>
        </w:rPr>
        <w:t xml:space="preserve"> and </w:t>
      </w:r>
      <w:r w:rsidR="004A0C2E" w:rsidRPr="004A0C2E">
        <w:rPr>
          <w:rFonts w:cs="Arial"/>
        </w:rPr>
        <w:t>reliability was not</w:t>
      </w:r>
      <w:r w:rsidR="004A0C2E">
        <w:rPr>
          <w:rFonts w:cs="Arial"/>
        </w:rPr>
        <w:t xml:space="preserve"> </w:t>
      </w:r>
      <w:r w:rsidR="004A0C2E" w:rsidRPr="004A0C2E">
        <w:rPr>
          <w:rFonts w:cs="Arial"/>
        </w:rPr>
        <w:t>meaningfully threatened in during 2025</w:t>
      </w:r>
      <w:r w:rsidR="004A0C2E">
        <w:rPr>
          <w:rFonts w:cs="Arial"/>
        </w:rPr>
        <w:t>.</w:t>
      </w:r>
      <w:r w:rsidR="004A0C2E">
        <w:rPr>
          <w:rStyle w:val="FootnoteReference"/>
          <w:rFonts w:cs="Arial"/>
        </w:rPr>
        <w:footnoteReference w:id="14"/>
      </w:r>
      <w:r w:rsidR="004A0C2E">
        <w:rPr>
          <w:rFonts w:cs="Arial"/>
        </w:rPr>
        <w:t xml:space="preserve">  </w:t>
      </w:r>
    </w:p>
    <w:p w14:paraId="1B8CDE0F" w14:textId="3A60FC13" w:rsidR="006E7878" w:rsidRDefault="00104AB8" w:rsidP="00AA6910">
      <w:pPr>
        <w:pStyle w:val="NormalArial"/>
        <w:spacing w:before="120" w:after="120"/>
        <w:rPr>
          <w:rFonts w:cs="Arial"/>
          <w:lang w:val="en"/>
        </w:rPr>
      </w:pPr>
      <w:r>
        <w:rPr>
          <w:rFonts w:cs="Arial"/>
        </w:rPr>
        <w:t xml:space="preserve">Another optimistic indicator </w:t>
      </w:r>
      <w:r w:rsidR="006E7878">
        <w:rPr>
          <w:rFonts w:cs="Arial"/>
        </w:rPr>
        <w:t xml:space="preserve">of the health of the ERCOT market </w:t>
      </w:r>
      <w:r>
        <w:rPr>
          <w:rFonts w:cs="Arial"/>
        </w:rPr>
        <w:t xml:space="preserve">recently came to light in a June 27 </w:t>
      </w:r>
      <w:hyperlink r:id="rId12" w:history="1">
        <w:r w:rsidRPr="00104AB8">
          <w:rPr>
            <w:rStyle w:val="Hyperlink"/>
            <w:rFonts w:cs="Arial"/>
            <w:lang w:val="en"/>
          </w:rPr>
          <w:t>Market Notice</w:t>
        </w:r>
      </w:hyperlink>
      <w:r>
        <w:rPr>
          <w:rFonts w:cs="Arial"/>
        </w:rPr>
        <w:t>.  D</w:t>
      </w:r>
      <w:r w:rsidR="004A0C2E">
        <w:rPr>
          <w:rFonts w:cs="Arial"/>
        </w:rPr>
        <w:t>espite a</w:t>
      </w:r>
      <w:r>
        <w:rPr>
          <w:rFonts w:cs="Arial"/>
        </w:rPr>
        <w:t>n</w:t>
      </w:r>
      <w:r w:rsidR="004A0C2E">
        <w:rPr>
          <w:rFonts w:cs="Arial"/>
        </w:rPr>
        <w:t xml:space="preserve"> </w:t>
      </w:r>
      <w:r w:rsidRPr="00104AB8">
        <w:rPr>
          <w:rFonts w:cs="Arial"/>
          <w:lang w:val="en"/>
        </w:rPr>
        <w:t xml:space="preserve">error related to </w:t>
      </w:r>
      <w:r>
        <w:rPr>
          <w:rFonts w:cs="Arial"/>
          <w:lang w:val="en"/>
        </w:rPr>
        <w:t>ERCOT’s</w:t>
      </w:r>
      <w:r w:rsidRPr="00104AB8">
        <w:rPr>
          <w:rFonts w:cs="Arial"/>
          <w:lang w:val="en"/>
        </w:rPr>
        <w:t xml:space="preserve"> 2026 AS Procurement Quantities for ECRS and Non-Spin</w:t>
      </w:r>
      <w:r w:rsidR="009D73D7">
        <w:rPr>
          <w:rFonts w:cs="Arial"/>
          <w:lang w:val="en"/>
        </w:rPr>
        <w:t>,</w:t>
      </w:r>
      <w:r w:rsidRPr="00104AB8">
        <w:rPr>
          <w:rFonts w:cs="Arial"/>
          <w:lang w:val="en"/>
        </w:rPr>
        <w:t xml:space="preserve"> which</w:t>
      </w:r>
      <w:r w:rsidR="006E7878">
        <w:rPr>
          <w:rFonts w:cs="Arial"/>
          <w:lang w:val="en"/>
        </w:rPr>
        <w:t xml:space="preserve"> </w:t>
      </w:r>
      <w:r>
        <w:rPr>
          <w:rFonts w:cs="Arial"/>
          <w:lang w:val="en"/>
        </w:rPr>
        <w:t>resulted in</w:t>
      </w:r>
      <w:r w:rsidRPr="00104AB8">
        <w:rPr>
          <w:rFonts w:cs="Arial"/>
          <w:lang w:val="en"/>
        </w:rPr>
        <w:t xml:space="preserve"> </w:t>
      </w:r>
      <w:r w:rsidR="006E7878">
        <w:rPr>
          <w:rFonts w:cs="Arial"/>
          <w:lang w:val="en"/>
        </w:rPr>
        <w:t xml:space="preserve">minimum procurement quantities of </w:t>
      </w:r>
      <w:r w:rsidRPr="00104AB8">
        <w:rPr>
          <w:rFonts w:cs="Arial"/>
          <w:lang w:val="en"/>
        </w:rPr>
        <w:t xml:space="preserve">approximately 3,700 MW </w:t>
      </w:r>
      <w:r w:rsidR="006E7878">
        <w:rPr>
          <w:rFonts w:cs="Arial"/>
          <w:lang w:val="en"/>
        </w:rPr>
        <w:t>less</w:t>
      </w:r>
      <w:r w:rsidRPr="00104AB8">
        <w:rPr>
          <w:rFonts w:cs="Arial"/>
          <w:lang w:val="en"/>
        </w:rPr>
        <w:t>, on average, each hour</w:t>
      </w:r>
      <w:r>
        <w:rPr>
          <w:rFonts w:cs="Arial"/>
          <w:lang w:val="en"/>
        </w:rPr>
        <w:t xml:space="preserve">, </w:t>
      </w:r>
      <w:r w:rsidR="006E7878">
        <w:rPr>
          <w:rFonts w:cs="Arial"/>
          <w:lang w:val="en"/>
        </w:rPr>
        <w:t xml:space="preserve">than what should have been procured, </w:t>
      </w:r>
      <w:r w:rsidRPr="00104AB8">
        <w:rPr>
          <w:rFonts w:cs="Arial"/>
          <w:lang w:val="en"/>
        </w:rPr>
        <w:t xml:space="preserve">ERCOT </w:t>
      </w:r>
      <w:r>
        <w:rPr>
          <w:rFonts w:cs="Arial"/>
          <w:lang w:val="en"/>
        </w:rPr>
        <w:t xml:space="preserve">confirmed that it </w:t>
      </w:r>
      <w:r w:rsidRPr="00104AB8">
        <w:rPr>
          <w:rFonts w:cs="Arial"/>
          <w:lang w:val="en"/>
        </w:rPr>
        <w:t xml:space="preserve">has not experienced </w:t>
      </w:r>
      <w:r w:rsidR="006E7878">
        <w:rPr>
          <w:rFonts w:cs="Arial"/>
          <w:lang w:val="en"/>
        </w:rPr>
        <w:t xml:space="preserve">any </w:t>
      </w:r>
      <w:r w:rsidRPr="00104AB8">
        <w:rPr>
          <w:rFonts w:cs="Arial"/>
          <w:lang w:val="en"/>
        </w:rPr>
        <w:t>reliability issues</w:t>
      </w:r>
      <w:r>
        <w:rPr>
          <w:rFonts w:cs="Arial"/>
          <w:lang w:val="en"/>
        </w:rPr>
        <w:t xml:space="preserve"> to date.</w:t>
      </w:r>
      <w:r w:rsidR="006E7878">
        <w:rPr>
          <w:rFonts w:cs="Arial"/>
          <w:lang w:val="en"/>
        </w:rPr>
        <w:t xml:space="preserve">  This is especially significant considering </w:t>
      </w:r>
      <w:r w:rsidR="00211573">
        <w:rPr>
          <w:rFonts w:cs="Arial"/>
          <w:lang w:val="en"/>
        </w:rPr>
        <w:t>r</w:t>
      </w:r>
      <w:r w:rsidR="006E7878">
        <w:rPr>
          <w:rFonts w:cs="Arial"/>
          <w:lang w:val="en"/>
        </w:rPr>
        <w:t>ecent record demand, including the</w:t>
      </w:r>
      <w:r w:rsidR="00D1587F">
        <w:rPr>
          <w:rFonts w:cs="Arial"/>
          <w:lang w:val="en"/>
        </w:rPr>
        <w:t xml:space="preserve"> yearly</w:t>
      </w:r>
      <w:r w:rsidR="006E7878">
        <w:rPr>
          <w:rFonts w:cs="Arial"/>
          <w:lang w:val="en"/>
        </w:rPr>
        <w:t xml:space="preserve"> peak demand record set on July 22 at </w:t>
      </w:r>
      <w:r w:rsidR="006E7878" w:rsidRPr="006E7878">
        <w:rPr>
          <w:rFonts w:cs="Arial"/>
          <w:lang w:val="en"/>
        </w:rPr>
        <w:t>91,089</w:t>
      </w:r>
      <w:r w:rsidR="006E7878">
        <w:rPr>
          <w:rFonts w:cs="Arial"/>
          <w:lang w:val="en"/>
        </w:rPr>
        <w:t xml:space="preserve"> MW. </w:t>
      </w:r>
      <w:r w:rsidR="009D73D7">
        <w:rPr>
          <w:rFonts w:cs="Arial"/>
          <w:lang w:val="en"/>
        </w:rPr>
        <w:t xml:space="preserve">At that time, there </w:t>
      </w:r>
      <w:proofErr w:type="gramStart"/>
      <w:r w:rsidR="009D73D7">
        <w:rPr>
          <w:rFonts w:cs="Arial"/>
          <w:lang w:val="en"/>
        </w:rPr>
        <w:t>were</w:t>
      </w:r>
      <w:proofErr w:type="gramEnd"/>
      <w:r w:rsidR="009D73D7">
        <w:rPr>
          <w:rFonts w:cs="Arial"/>
          <w:lang w:val="en"/>
        </w:rPr>
        <w:t xml:space="preserve"> roughly 20,000 MW of capacity in reserve.</w:t>
      </w:r>
    </w:p>
    <w:p w14:paraId="6E6AA498" w14:textId="49EEFF02" w:rsidR="00C27765" w:rsidRPr="00C27765" w:rsidRDefault="00C27765" w:rsidP="00AA6910">
      <w:pPr>
        <w:pStyle w:val="NormalArial"/>
        <w:spacing w:before="120" w:after="120"/>
        <w:rPr>
          <w:rFonts w:cs="Arial"/>
        </w:rPr>
      </w:pPr>
      <w:r>
        <w:rPr>
          <w:rFonts w:cs="Arial"/>
          <w:lang w:val="en"/>
        </w:rPr>
        <w:t xml:space="preserve">Again, without the completion of ERCOT’s reliability assessment study, it is simply </w:t>
      </w:r>
      <w:r w:rsidR="00211573">
        <w:rPr>
          <w:rFonts w:cs="Arial"/>
          <w:lang w:val="en"/>
        </w:rPr>
        <w:t xml:space="preserve">unknown </w:t>
      </w:r>
      <w:r w:rsidR="00234CF3">
        <w:rPr>
          <w:rFonts w:cs="Arial"/>
          <w:lang w:val="en"/>
        </w:rPr>
        <w:t xml:space="preserve">what the </w:t>
      </w:r>
      <w:r w:rsidR="00FC5A23">
        <w:rPr>
          <w:rFonts w:cs="Arial"/>
          <w:lang w:val="en"/>
        </w:rPr>
        <w:t xml:space="preserve">reliability </w:t>
      </w:r>
      <w:r w:rsidR="00234CF3">
        <w:rPr>
          <w:rFonts w:cs="Arial"/>
          <w:lang w:val="en"/>
        </w:rPr>
        <w:t>needs may be</w:t>
      </w:r>
      <w:r w:rsidR="00FC5A23">
        <w:rPr>
          <w:rFonts w:cs="Arial"/>
          <w:lang w:val="en"/>
        </w:rPr>
        <w:t>, if any,</w:t>
      </w:r>
      <w:r w:rsidR="00234CF3">
        <w:rPr>
          <w:rFonts w:cs="Arial"/>
          <w:lang w:val="en"/>
        </w:rPr>
        <w:t xml:space="preserve"> and it is </w:t>
      </w:r>
      <w:r>
        <w:rPr>
          <w:rFonts w:cs="Arial"/>
          <w:lang w:val="en"/>
        </w:rPr>
        <w:t xml:space="preserve">premature to suggest new market design mechanisms at this time. Instead, </w:t>
      </w:r>
      <w:r w:rsidRPr="00C27765">
        <w:rPr>
          <w:rFonts w:cs="Arial"/>
        </w:rPr>
        <w:t xml:space="preserve">TSSA urges stakeholders to </w:t>
      </w:r>
      <w:r>
        <w:rPr>
          <w:rFonts w:cs="Arial"/>
        </w:rPr>
        <w:t xml:space="preserve">promptly </w:t>
      </w:r>
      <w:r w:rsidRPr="00C27765">
        <w:rPr>
          <w:rFonts w:cs="Arial"/>
        </w:rPr>
        <w:t xml:space="preserve">approve ESR participation </w:t>
      </w:r>
      <w:r>
        <w:rPr>
          <w:rFonts w:cs="Arial"/>
        </w:rPr>
        <w:t xml:space="preserve">in DRRS </w:t>
      </w:r>
      <w:r w:rsidRPr="00C27765">
        <w:rPr>
          <w:rFonts w:cs="Arial"/>
        </w:rPr>
        <w:t xml:space="preserve">to secure </w:t>
      </w:r>
      <w:r>
        <w:rPr>
          <w:rFonts w:cs="Arial"/>
        </w:rPr>
        <w:t>known</w:t>
      </w:r>
      <w:r w:rsidRPr="00C27765">
        <w:rPr>
          <w:rFonts w:cs="Arial"/>
        </w:rPr>
        <w:t xml:space="preserve"> </w:t>
      </w:r>
      <w:proofErr w:type="gramStart"/>
      <w:r w:rsidRPr="00C27765">
        <w:rPr>
          <w:rFonts w:cs="Arial"/>
        </w:rPr>
        <w:t>grid</w:t>
      </w:r>
      <w:proofErr w:type="gramEnd"/>
      <w:r w:rsidRPr="00C27765">
        <w:rPr>
          <w:rFonts w:cs="Arial"/>
        </w:rPr>
        <w:t xml:space="preserve"> and cost benefits coincident with DRRS implementation</w:t>
      </w:r>
      <w:r>
        <w:rPr>
          <w:rFonts w:cs="Arial"/>
        </w:rPr>
        <w:t xml:space="preserve"> in an already approved market design framework as requested by the PUCT.</w:t>
      </w:r>
      <w:r w:rsidRPr="00C27765">
        <w:rPr>
          <w:rFonts w:cs="Arial"/>
        </w:rPr>
        <w:t xml:space="preserve">  </w:t>
      </w:r>
    </w:p>
    <w:p w14:paraId="2DB403E9" w14:textId="4079B48C" w:rsidR="00BD7258" w:rsidRDefault="00BA42F2" w:rsidP="00183573">
      <w:pPr>
        <w:pStyle w:val="NormalArial"/>
        <w:spacing w:before="120" w:after="120"/>
      </w:pPr>
      <w:r w:rsidRPr="00BA42F2">
        <w:t>TSSA agrees with ERCOT’s August 4 Comments</w:t>
      </w:r>
      <w:r w:rsidRPr="00BA42F2">
        <w:rPr>
          <w:vertAlign w:val="superscript"/>
        </w:rPr>
        <w:footnoteReference w:id="15"/>
      </w:r>
      <w:r w:rsidRPr="00BA42F2">
        <w:t xml:space="preserve"> that NPRR1340 simply adds ESR participation to an already PUCT-approved DRRS framework. There is no need to modify the design of the DRRS program which was approved </w:t>
      </w:r>
      <w:r w:rsidR="00C45940">
        <w:t>last</w:t>
      </w:r>
      <w:r w:rsidRPr="00BA42F2">
        <w:t xml:space="preserve"> month by the Commission.  The PUCT has determined that DRRS (NPRR1309) complies with the statutory requirements and approval of NPRR 1340 should be a </w:t>
      </w:r>
      <w:r w:rsidR="009D73D7" w:rsidRPr="00BA42F2">
        <w:t>straight</w:t>
      </w:r>
      <w:r w:rsidR="009D73D7">
        <w:t>-</w:t>
      </w:r>
      <w:r w:rsidR="009D73D7" w:rsidRPr="00BA42F2">
        <w:t>forward</w:t>
      </w:r>
      <w:r w:rsidRPr="00BA42F2">
        <w:t xml:space="preserve"> exercise to allow all qualifying resources, including ESRs, to participate.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BD7258" w14:paraId="167588DD" w14:textId="77777777" w:rsidTr="00B5080A">
        <w:trPr>
          <w:trHeight w:val="350"/>
        </w:trPr>
        <w:tc>
          <w:tcPr>
            <w:tcW w:w="10440" w:type="dxa"/>
            <w:tcBorders>
              <w:bottom w:val="single" w:sz="4" w:space="0" w:color="auto"/>
            </w:tcBorders>
            <w:shd w:val="clear" w:color="auto" w:fill="FFFFFF"/>
            <w:vAlign w:val="center"/>
          </w:tcPr>
          <w:p w14:paraId="6E06D064" w14:textId="77777777" w:rsidR="00BD7258" w:rsidRDefault="00BD7258" w:rsidP="00B5080A">
            <w:pPr>
              <w:pStyle w:val="Header"/>
              <w:jc w:val="center"/>
            </w:pPr>
            <w:r>
              <w:lastRenderedPageBreak/>
              <w:t>Revised Cover Page Language</w:t>
            </w:r>
          </w:p>
        </w:tc>
      </w:tr>
    </w:tbl>
    <w:p w14:paraId="18A6290E" w14:textId="57BE0CDA" w:rsidR="00BD7258" w:rsidRDefault="00845224" w:rsidP="00AA6910">
      <w:pPr>
        <w:pStyle w:val="NormalArial"/>
        <w:spacing w:before="120" w:after="120"/>
      </w:pPr>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43F7FFC5" w14:textId="77777777">
        <w:trPr>
          <w:trHeight w:val="350"/>
        </w:trPr>
        <w:tc>
          <w:tcPr>
            <w:tcW w:w="10440" w:type="dxa"/>
            <w:tcBorders>
              <w:bottom w:val="single" w:sz="4" w:space="0" w:color="auto"/>
            </w:tcBorders>
            <w:shd w:val="clear" w:color="auto" w:fill="FFFFFF"/>
            <w:vAlign w:val="center"/>
          </w:tcPr>
          <w:p w14:paraId="3981CF3C" w14:textId="77777777" w:rsidR="00152993" w:rsidRDefault="00152993">
            <w:pPr>
              <w:pStyle w:val="Header"/>
              <w:jc w:val="center"/>
            </w:pPr>
            <w:r>
              <w:t>Revised Proposed Protocol Language</w:t>
            </w:r>
          </w:p>
        </w:tc>
      </w:tr>
    </w:tbl>
    <w:p w14:paraId="1C1C13A4" w14:textId="77777777" w:rsidR="00152993" w:rsidRPr="00845224" w:rsidRDefault="00845224">
      <w:pPr>
        <w:pStyle w:val="BodyText"/>
        <w:rPr>
          <w:bCs/>
        </w:rPr>
      </w:pPr>
      <w:r w:rsidRPr="00845224">
        <w:rPr>
          <w:rFonts w:ascii="Arial" w:hAnsi="Arial" w:cs="Arial"/>
          <w:bCs/>
        </w:rPr>
        <w:t>None</w:t>
      </w:r>
    </w:p>
    <w:sectPr w:rsidR="00152993" w:rsidRPr="00845224" w:rsidSect="0074209E">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8BB93" w14:textId="77777777" w:rsidR="000F5A23" w:rsidRDefault="000F5A23">
      <w:r>
        <w:separator/>
      </w:r>
    </w:p>
  </w:endnote>
  <w:endnote w:type="continuationSeparator" w:id="0">
    <w:p w14:paraId="6C5780BD" w14:textId="77777777" w:rsidR="000F5A23" w:rsidRDefault="000F5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5CF0" w14:textId="20101BA3" w:rsidR="00EE6681" w:rsidRDefault="00845224" w:rsidP="0074209E">
    <w:pPr>
      <w:pStyle w:val="Footer"/>
      <w:tabs>
        <w:tab w:val="clear" w:pos="4320"/>
        <w:tab w:val="clear" w:pos="8640"/>
        <w:tab w:val="right" w:pos="9360"/>
      </w:tabs>
      <w:rPr>
        <w:rFonts w:ascii="Arial" w:hAnsi="Arial"/>
        <w:sz w:val="18"/>
      </w:rPr>
    </w:pPr>
    <w:r>
      <w:rPr>
        <w:rFonts w:ascii="Arial" w:hAnsi="Arial"/>
        <w:sz w:val="18"/>
      </w:rPr>
      <w:t>1340NPRR</w:t>
    </w:r>
    <w:r w:rsidR="00183573">
      <w:rPr>
        <w:rFonts w:ascii="Arial" w:hAnsi="Arial"/>
        <w:sz w:val="18"/>
      </w:rPr>
      <w:t>-15</w:t>
    </w:r>
    <w:r>
      <w:rPr>
        <w:rFonts w:ascii="Arial" w:hAnsi="Arial"/>
        <w:sz w:val="18"/>
      </w:rPr>
      <w:t xml:space="preserve"> TSSA Comments</w:t>
    </w:r>
    <w:r w:rsidR="00183573">
      <w:rPr>
        <w:rFonts w:ascii="Arial" w:hAnsi="Arial"/>
        <w:sz w:val="18"/>
      </w:rPr>
      <w:t xml:space="preserve"> 081826</w:t>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p>
  <w:p w14:paraId="030E4C2B"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396FF" w14:textId="77777777" w:rsidR="000F5A23" w:rsidRDefault="000F5A23">
      <w:r>
        <w:separator/>
      </w:r>
    </w:p>
  </w:footnote>
  <w:footnote w:type="continuationSeparator" w:id="0">
    <w:p w14:paraId="36556861" w14:textId="77777777" w:rsidR="000F5A23" w:rsidRDefault="000F5A23">
      <w:r>
        <w:continuationSeparator/>
      </w:r>
    </w:p>
  </w:footnote>
  <w:footnote w:id="1">
    <w:p w14:paraId="2E64AE97" w14:textId="195C8CEE" w:rsidR="005C6D2C" w:rsidRPr="00030C06" w:rsidRDefault="005C6D2C">
      <w:pPr>
        <w:pStyle w:val="FootnoteText"/>
        <w:rPr>
          <w:rFonts w:ascii="Arial" w:hAnsi="Arial" w:cs="Arial"/>
        </w:rPr>
      </w:pPr>
      <w:r w:rsidRPr="00030C06">
        <w:rPr>
          <w:rStyle w:val="FootnoteReference"/>
          <w:rFonts w:ascii="Arial" w:hAnsi="Arial" w:cs="Arial"/>
        </w:rPr>
        <w:footnoteRef/>
      </w:r>
      <w:r w:rsidRPr="00030C06">
        <w:rPr>
          <w:rFonts w:ascii="Arial" w:hAnsi="Arial" w:cs="Arial"/>
        </w:rPr>
        <w:t xml:space="preserve"> </w:t>
      </w:r>
      <w:hyperlink r:id="rId1" w:history="1">
        <w:r w:rsidRPr="00030C06">
          <w:rPr>
            <w:rStyle w:val="Hyperlink"/>
            <w:rFonts w:ascii="Arial" w:hAnsi="Arial" w:cs="Arial"/>
          </w:rPr>
          <w:t>NPRR1309</w:t>
        </w:r>
      </w:hyperlink>
      <w:r w:rsidR="00277240" w:rsidRPr="00030C06">
        <w:rPr>
          <w:rFonts w:ascii="Arial" w:hAnsi="Arial" w:cs="Arial"/>
        </w:rPr>
        <w:t>, Board Priority - Dispatchable Reliability Reserve Service Ancillary Service</w:t>
      </w:r>
      <w:r w:rsidRPr="00030C06">
        <w:rPr>
          <w:rFonts w:ascii="Arial" w:hAnsi="Arial" w:cs="Arial"/>
        </w:rPr>
        <w:t xml:space="preserve"> was approved by the P</w:t>
      </w:r>
      <w:r w:rsidR="00DA7BEA" w:rsidRPr="00030C06">
        <w:rPr>
          <w:rFonts w:ascii="Arial" w:hAnsi="Arial" w:cs="Arial"/>
        </w:rPr>
        <w:t>UCT</w:t>
      </w:r>
      <w:r w:rsidR="00277240" w:rsidRPr="00030C06">
        <w:rPr>
          <w:rFonts w:ascii="Arial" w:hAnsi="Arial" w:cs="Arial"/>
        </w:rPr>
        <w:t xml:space="preserve"> in PUCT Project No. 54445, </w:t>
      </w:r>
      <w:r w:rsidR="00277240" w:rsidRPr="00030C06">
        <w:rPr>
          <w:rFonts w:ascii="Arial" w:hAnsi="Arial" w:cs="Arial"/>
          <w:i/>
          <w:iCs/>
        </w:rPr>
        <w:t>Review of Protocols Adopted by the Independent Organization</w:t>
      </w:r>
      <w:r w:rsidR="00277240" w:rsidRPr="00030C06">
        <w:rPr>
          <w:rFonts w:ascii="Arial" w:hAnsi="Arial" w:cs="Arial"/>
        </w:rPr>
        <w:t xml:space="preserve">, </w:t>
      </w:r>
      <w:hyperlink r:id="rId2" w:history="1">
        <w:r w:rsidR="00277240" w:rsidRPr="00030C06">
          <w:rPr>
            <w:rStyle w:val="Hyperlink"/>
            <w:rFonts w:ascii="Arial" w:hAnsi="Arial" w:cs="Arial"/>
          </w:rPr>
          <w:t>Order</w:t>
        </w:r>
      </w:hyperlink>
      <w:r w:rsidR="00277240" w:rsidRPr="00030C06">
        <w:rPr>
          <w:rFonts w:ascii="Arial" w:hAnsi="Arial" w:cs="Arial"/>
        </w:rPr>
        <w:t xml:space="preserve"> (June 9, 2026).</w:t>
      </w:r>
    </w:p>
    <w:p w14:paraId="678AAB99" w14:textId="4FD99A6C" w:rsidR="005C6D2C" w:rsidRPr="00030C06" w:rsidRDefault="005C6D2C">
      <w:pPr>
        <w:pStyle w:val="FootnoteText"/>
        <w:rPr>
          <w:rFonts w:ascii="Arial" w:hAnsi="Arial" w:cs="Arial"/>
        </w:rPr>
      </w:pPr>
    </w:p>
  </w:footnote>
  <w:footnote w:id="2">
    <w:p w14:paraId="1C7599A8" w14:textId="057B194A" w:rsidR="00887027" w:rsidRPr="00030C06" w:rsidRDefault="00887027">
      <w:pPr>
        <w:pStyle w:val="FootnoteText"/>
        <w:rPr>
          <w:rFonts w:ascii="Arial" w:hAnsi="Arial" w:cs="Arial"/>
        </w:rPr>
      </w:pPr>
      <w:r w:rsidRPr="00030C06">
        <w:rPr>
          <w:rStyle w:val="FootnoteReference"/>
          <w:rFonts w:ascii="Arial" w:hAnsi="Arial" w:cs="Arial"/>
        </w:rPr>
        <w:footnoteRef/>
      </w:r>
      <w:r w:rsidRPr="00030C06">
        <w:rPr>
          <w:rFonts w:ascii="Arial" w:hAnsi="Arial" w:cs="Arial"/>
        </w:rPr>
        <w:t xml:space="preserve"> PURA §39.159</w:t>
      </w:r>
      <w:r w:rsidR="00BF7CA1" w:rsidRPr="00030C06">
        <w:rPr>
          <w:rFonts w:ascii="Arial" w:hAnsi="Arial" w:cs="Arial"/>
        </w:rPr>
        <w:t>(d).</w:t>
      </w:r>
    </w:p>
    <w:p w14:paraId="6522D0FA" w14:textId="679790F7" w:rsidR="00887027" w:rsidRPr="00030C06" w:rsidRDefault="00887027">
      <w:pPr>
        <w:pStyle w:val="FootnoteText"/>
        <w:rPr>
          <w:rFonts w:ascii="Arial" w:hAnsi="Arial" w:cs="Arial"/>
        </w:rPr>
      </w:pPr>
    </w:p>
  </w:footnote>
  <w:footnote w:id="3">
    <w:p w14:paraId="3D3F2D67" w14:textId="4B37ED88" w:rsidR="004D5EF7" w:rsidRPr="00030C06" w:rsidRDefault="004D5EF7">
      <w:pPr>
        <w:pStyle w:val="FootnoteText"/>
        <w:rPr>
          <w:rFonts w:ascii="Arial" w:hAnsi="Arial" w:cs="Arial"/>
        </w:rPr>
      </w:pPr>
      <w:r w:rsidRPr="00030C06">
        <w:rPr>
          <w:rStyle w:val="FootnoteReference"/>
          <w:rFonts w:ascii="Arial" w:hAnsi="Arial" w:cs="Arial"/>
        </w:rPr>
        <w:footnoteRef/>
      </w:r>
      <w:r w:rsidRPr="00030C06">
        <w:rPr>
          <w:rFonts w:ascii="Arial" w:hAnsi="Arial" w:cs="Arial"/>
        </w:rPr>
        <w:t xml:space="preserve"> </w:t>
      </w:r>
      <w:r w:rsidRPr="00030C06">
        <w:rPr>
          <w:rFonts w:ascii="Arial" w:hAnsi="Arial" w:cs="Arial"/>
          <w:i/>
          <w:iCs/>
        </w:rPr>
        <w:t>See</w:t>
      </w:r>
      <w:r w:rsidRPr="00030C06">
        <w:rPr>
          <w:rFonts w:ascii="Arial" w:hAnsi="Arial" w:cs="Arial"/>
        </w:rPr>
        <w:t xml:space="preserve">, </w:t>
      </w:r>
      <w:r w:rsidR="007F2691" w:rsidRPr="00030C06">
        <w:rPr>
          <w:rFonts w:ascii="Arial" w:hAnsi="Arial" w:cs="Arial"/>
        </w:rPr>
        <w:t>e.g., Understanding Battery Energy Storage Systems – Current and Future BESS Presentation to ERCOT Technology and Security Committee February 9, 2026</w:t>
      </w:r>
      <w:r w:rsidR="00030C06" w:rsidRPr="00030C06">
        <w:rPr>
          <w:rFonts w:ascii="Arial" w:hAnsi="Arial" w:cs="Arial"/>
        </w:rPr>
        <w:t xml:space="preserve">, which can be accessed here: </w:t>
      </w:r>
      <w:hyperlink r:id="rId3" w:history="1">
        <w:r w:rsidR="00030C06" w:rsidRPr="00030C06">
          <w:rPr>
            <w:rStyle w:val="Hyperlink"/>
            <w:rFonts w:ascii="Arial" w:hAnsi="Arial" w:cs="Arial"/>
          </w:rPr>
          <w:t>https://www.ercot.com/files/docs/2026/02/02/4-Understanding-Battery-Energy-Storage-Systems-Current-and-Future.pdf</w:t>
        </w:r>
      </w:hyperlink>
    </w:p>
    <w:p w14:paraId="0F1097DE" w14:textId="77777777" w:rsidR="00030C06" w:rsidRPr="00030C06" w:rsidRDefault="00030C06">
      <w:pPr>
        <w:pStyle w:val="FootnoteText"/>
        <w:rPr>
          <w:rFonts w:ascii="Arial" w:hAnsi="Arial" w:cs="Arial"/>
        </w:rPr>
      </w:pPr>
    </w:p>
    <w:p w14:paraId="291A4ACA" w14:textId="77777777" w:rsidR="004D5EF7" w:rsidRDefault="004D5EF7">
      <w:pPr>
        <w:pStyle w:val="FootnoteText"/>
      </w:pPr>
    </w:p>
  </w:footnote>
  <w:footnote w:id="4">
    <w:p w14:paraId="40DD31FC" w14:textId="2EC5203B" w:rsidR="00277240" w:rsidRPr="00BF7CA1" w:rsidRDefault="00277240">
      <w:pPr>
        <w:pStyle w:val="FootnoteText"/>
        <w:rPr>
          <w:rFonts w:ascii="Arial" w:hAnsi="Arial" w:cs="Arial"/>
        </w:rPr>
      </w:pPr>
      <w:r w:rsidRPr="00BF7CA1">
        <w:rPr>
          <w:rStyle w:val="FootnoteReference"/>
          <w:rFonts w:ascii="Arial" w:hAnsi="Arial" w:cs="Arial"/>
        </w:rPr>
        <w:footnoteRef/>
      </w:r>
      <w:r w:rsidRPr="00BF7CA1">
        <w:rPr>
          <w:rFonts w:ascii="Arial" w:hAnsi="Arial" w:cs="Arial"/>
        </w:rPr>
        <w:t xml:space="preserve"> </w:t>
      </w:r>
      <w:r w:rsidRPr="00BF7CA1">
        <w:rPr>
          <w:rFonts w:ascii="Arial" w:hAnsi="Arial" w:cs="Arial"/>
          <w:i/>
          <w:iCs/>
        </w:rPr>
        <w:t>See</w:t>
      </w:r>
      <w:r w:rsidRPr="00BF7CA1">
        <w:rPr>
          <w:rFonts w:ascii="Arial" w:hAnsi="Arial" w:cs="Arial"/>
        </w:rPr>
        <w:t xml:space="preserve">, TSSA Comments on </w:t>
      </w:r>
      <w:hyperlink r:id="rId4" w:history="1">
        <w:r w:rsidRPr="00BF7CA1">
          <w:rPr>
            <w:rStyle w:val="Hyperlink"/>
            <w:rFonts w:ascii="Arial" w:hAnsi="Arial" w:cs="Arial"/>
          </w:rPr>
          <w:t>NPRR1309</w:t>
        </w:r>
      </w:hyperlink>
      <w:r w:rsidRPr="00BF7CA1">
        <w:rPr>
          <w:rFonts w:ascii="Arial" w:hAnsi="Arial" w:cs="Arial"/>
        </w:rPr>
        <w:t xml:space="preserve">, Board Priority - Dispatchable Reliability Reserve Service Ancillary Service </w:t>
      </w:r>
      <w:r w:rsidR="00A6211D">
        <w:rPr>
          <w:rFonts w:ascii="Arial" w:hAnsi="Arial" w:cs="Arial"/>
        </w:rPr>
        <w:t xml:space="preserve">filed </w:t>
      </w:r>
      <w:r w:rsidRPr="00BF7CA1">
        <w:rPr>
          <w:rFonts w:ascii="Arial" w:hAnsi="Arial" w:cs="Arial"/>
        </w:rPr>
        <w:t xml:space="preserve">on January 29, 2026:  </w:t>
      </w:r>
      <w:hyperlink r:id="rId5" w:history="1">
        <w:r w:rsidRPr="00BF7CA1">
          <w:rPr>
            <w:rStyle w:val="Hyperlink"/>
            <w:rFonts w:ascii="Arial" w:hAnsi="Arial" w:cs="Arial"/>
          </w:rPr>
          <w:t>https://www.ercot.com/files/docs/2026/01/29/1309NPRR-07-TSSA-Comments-012926.docx</w:t>
        </w:r>
      </w:hyperlink>
      <w:r w:rsidRPr="00BF7CA1">
        <w:rPr>
          <w:rFonts w:ascii="Arial" w:hAnsi="Arial" w:cs="Arial"/>
        </w:rPr>
        <w:t>.</w:t>
      </w:r>
    </w:p>
    <w:p w14:paraId="6478C002" w14:textId="4D513EA6" w:rsidR="00277240" w:rsidRPr="00BF7CA1" w:rsidRDefault="00277240">
      <w:pPr>
        <w:pStyle w:val="FootnoteText"/>
        <w:rPr>
          <w:rFonts w:ascii="Arial" w:hAnsi="Arial" w:cs="Arial"/>
        </w:rPr>
      </w:pPr>
      <w:r w:rsidRPr="00BF7CA1">
        <w:rPr>
          <w:rFonts w:ascii="Arial" w:hAnsi="Arial" w:cs="Arial"/>
        </w:rPr>
        <w:t xml:space="preserve">  </w:t>
      </w:r>
    </w:p>
  </w:footnote>
  <w:footnote w:id="5">
    <w:p w14:paraId="66CB33FA" w14:textId="5FB1387E" w:rsidR="001E518D" w:rsidRPr="004A0C2E" w:rsidRDefault="001E518D">
      <w:pPr>
        <w:pStyle w:val="FootnoteText"/>
        <w:rPr>
          <w:rFonts w:ascii="Arial" w:hAnsi="Arial" w:cs="Arial"/>
        </w:rPr>
      </w:pPr>
      <w:r w:rsidRPr="004A0C2E">
        <w:rPr>
          <w:rStyle w:val="FootnoteReference"/>
          <w:rFonts w:ascii="Arial" w:hAnsi="Arial" w:cs="Arial"/>
        </w:rPr>
        <w:footnoteRef/>
      </w:r>
      <w:r w:rsidRPr="004A0C2E">
        <w:rPr>
          <w:rFonts w:ascii="Arial" w:hAnsi="Arial" w:cs="Arial"/>
        </w:rPr>
        <w:t xml:space="preserve"> March 26, </w:t>
      </w:r>
      <w:proofErr w:type="gramStart"/>
      <w:r w:rsidRPr="004A0C2E">
        <w:rPr>
          <w:rFonts w:ascii="Arial" w:hAnsi="Arial" w:cs="Arial"/>
        </w:rPr>
        <w:t>2026</w:t>
      </w:r>
      <w:proofErr w:type="gramEnd"/>
      <w:r w:rsidRPr="004A0C2E">
        <w:rPr>
          <w:rFonts w:ascii="Arial" w:hAnsi="Arial" w:cs="Arial"/>
        </w:rPr>
        <w:t xml:space="preserve"> Open Meeting, Item 15, Project No. 55797, </w:t>
      </w:r>
      <w:r w:rsidRPr="004A0C2E">
        <w:rPr>
          <w:rFonts w:ascii="Arial" w:hAnsi="Arial" w:cs="Arial"/>
          <w:i/>
          <w:iCs/>
        </w:rPr>
        <w:t xml:space="preserve">Dispatchable Reliability Reserve Service </w:t>
      </w:r>
      <w:r w:rsidR="00643FD0" w:rsidRPr="004A0C2E">
        <w:rPr>
          <w:rFonts w:ascii="Arial" w:hAnsi="Arial" w:cs="Arial"/>
          <w:i/>
          <w:iCs/>
        </w:rPr>
        <w:t>(</w:t>
      </w:r>
      <w:r w:rsidRPr="004A0C2E">
        <w:rPr>
          <w:rFonts w:ascii="Arial" w:hAnsi="Arial" w:cs="Arial"/>
          <w:i/>
          <w:iCs/>
        </w:rPr>
        <w:t>DRRS</w:t>
      </w:r>
      <w:r w:rsidR="00643FD0" w:rsidRPr="004A0C2E">
        <w:rPr>
          <w:rFonts w:ascii="Arial" w:hAnsi="Arial" w:cs="Arial"/>
          <w:i/>
          <w:iCs/>
        </w:rPr>
        <w:t>)</w:t>
      </w:r>
      <w:r w:rsidRPr="004A0C2E">
        <w:rPr>
          <w:rFonts w:ascii="Arial" w:hAnsi="Arial" w:cs="Arial"/>
        </w:rPr>
        <w:t xml:space="preserve">.  </w:t>
      </w:r>
      <w:r w:rsidR="007A0FD8" w:rsidRPr="004A0C2E">
        <w:rPr>
          <w:rFonts w:ascii="Arial" w:hAnsi="Arial" w:cs="Arial"/>
        </w:rPr>
        <w:t xml:space="preserve">Discussion and transcript may be viewed </w:t>
      </w:r>
      <w:r w:rsidRPr="004A0C2E">
        <w:rPr>
          <w:rFonts w:ascii="Arial" w:hAnsi="Arial" w:cs="Arial"/>
        </w:rPr>
        <w:t>via Grid Monitor</w:t>
      </w:r>
      <w:r w:rsidR="007A0FD8" w:rsidRPr="004A0C2E">
        <w:rPr>
          <w:rFonts w:ascii="Arial" w:hAnsi="Arial" w:cs="Arial"/>
        </w:rPr>
        <w:t>, timestamped at 00:11:21</w:t>
      </w:r>
      <w:r w:rsidR="00073E10" w:rsidRPr="004A0C2E">
        <w:rPr>
          <w:rFonts w:ascii="Arial" w:hAnsi="Arial" w:cs="Arial"/>
        </w:rPr>
        <w:t>.</w:t>
      </w:r>
    </w:p>
    <w:p w14:paraId="1E0DA648" w14:textId="77777777" w:rsidR="00073E10" w:rsidRPr="004A0C2E" w:rsidRDefault="00073E10">
      <w:pPr>
        <w:pStyle w:val="FootnoteText"/>
        <w:rPr>
          <w:rFonts w:ascii="Arial" w:hAnsi="Arial" w:cs="Arial"/>
        </w:rPr>
      </w:pPr>
    </w:p>
  </w:footnote>
  <w:footnote w:id="6">
    <w:p w14:paraId="7EF114DA" w14:textId="7B96733E" w:rsidR="00E75E55" w:rsidRPr="00E75E55" w:rsidRDefault="00E75E55">
      <w:pPr>
        <w:pStyle w:val="FootnoteText"/>
        <w:rPr>
          <w:rFonts w:ascii="Arial" w:hAnsi="Arial" w:cs="Arial"/>
        </w:rPr>
      </w:pPr>
      <w:r w:rsidRPr="00E75E55">
        <w:rPr>
          <w:rStyle w:val="FootnoteReference"/>
          <w:rFonts w:ascii="Arial" w:hAnsi="Arial" w:cs="Arial"/>
        </w:rPr>
        <w:footnoteRef/>
      </w:r>
      <w:r w:rsidRPr="00E75E55">
        <w:rPr>
          <w:rFonts w:ascii="Arial" w:hAnsi="Arial" w:cs="Arial"/>
        </w:rPr>
        <w:t xml:space="preserve"> </w:t>
      </w:r>
      <w:r w:rsidRPr="0045417E">
        <w:rPr>
          <w:rFonts w:ascii="Arial" w:hAnsi="Arial" w:cs="Arial"/>
          <w:i/>
          <w:iCs/>
        </w:rPr>
        <w:t>Id</w:t>
      </w:r>
      <w:r w:rsidRPr="00E75E55">
        <w:rPr>
          <w:rFonts w:ascii="Arial" w:hAnsi="Arial" w:cs="Arial"/>
        </w:rPr>
        <w:t xml:space="preserve">. </w:t>
      </w:r>
      <w:r w:rsidR="0099151F">
        <w:rPr>
          <w:rFonts w:ascii="Arial" w:hAnsi="Arial" w:cs="Arial"/>
        </w:rPr>
        <w:t xml:space="preserve">Discussion </w:t>
      </w:r>
      <w:r w:rsidR="0045417E">
        <w:rPr>
          <w:rFonts w:ascii="Arial" w:hAnsi="Arial" w:cs="Arial"/>
        </w:rPr>
        <w:t xml:space="preserve">timestamped </w:t>
      </w:r>
      <w:r w:rsidRPr="00E75E55">
        <w:rPr>
          <w:rFonts w:ascii="Arial" w:hAnsi="Arial" w:cs="Arial"/>
        </w:rPr>
        <w:t>at 00.14.09.</w:t>
      </w:r>
    </w:p>
    <w:p w14:paraId="1C142162" w14:textId="77777777" w:rsidR="00E75E55" w:rsidRDefault="00E75E55">
      <w:pPr>
        <w:pStyle w:val="FootnoteText"/>
      </w:pPr>
    </w:p>
  </w:footnote>
  <w:footnote w:id="7">
    <w:p w14:paraId="340145BE" w14:textId="53FB1DA7" w:rsidR="00073E10" w:rsidRPr="004A0C2E" w:rsidRDefault="00073E10">
      <w:pPr>
        <w:pStyle w:val="FootnoteText"/>
        <w:rPr>
          <w:rFonts w:ascii="Arial" w:hAnsi="Arial" w:cs="Arial"/>
        </w:rPr>
      </w:pPr>
      <w:r w:rsidRPr="004A0C2E">
        <w:rPr>
          <w:rStyle w:val="FootnoteReference"/>
          <w:rFonts w:ascii="Arial" w:hAnsi="Arial" w:cs="Arial"/>
        </w:rPr>
        <w:footnoteRef/>
      </w:r>
      <w:r w:rsidRPr="004A0C2E">
        <w:rPr>
          <w:rFonts w:ascii="Arial" w:hAnsi="Arial" w:cs="Arial"/>
        </w:rPr>
        <w:t xml:space="preserve"> </w:t>
      </w:r>
      <w:r w:rsidR="00CF3F83" w:rsidRPr="008E0192">
        <w:rPr>
          <w:rFonts w:ascii="Arial" w:hAnsi="Arial" w:cs="Arial"/>
          <w:i/>
          <w:iCs/>
        </w:rPr>
        <w:t>Id</w:t>
      </w:r>
      <w:r w:rsidR="00CF3F83">
        <w:rPr>
          <w:rFonts w:ascii="Arial" w:hAnsi="Arial" w:cs="Arial"/>
        </w:rPr>
        <w:t xml:space="preserve">. </w:t>
      </w:r>
      <w:r w:rsidR="008E0192">
        <w:rPr>
          <w:rFonts w:ascii="Arial" w:hAnsi="Arial" w:cs="Arial"/>
        </w:rPr>
        <w:t>Discussion</w:t>
      </w:r>
      <w:r w:rsidR="00CF3F83">
        <w:rPr>
          <w:rFonts w:ascii="Arial" w:hAnsi="Arial" w:cs="Arial"/>
        </w:rPr>
        <w:t xml:space="preserve"> </w:t>
      </w:r>
      <w:r w:rsidRPr="004A0C2E">
        <w:rPr>
          <w:rFonts w:ascii="Arial" w:hAnsi="Arial" w:cs="Arial"/>
        </w:rPr>
        <w:t xml:space="preserve">timestamped </w:t>
      </w:r>
      <w:r w:rsidR="00F30C98" w:rsidRPr="004A0C2E">
        <w:rPr>
          <w:rFonts w:ascii="Arial" w:hAnsi="Arial" w:cs="Arial"/>
        </w:rPr>
        <w:t xml:space="preserve">at </w:t>
      </w:r>
      <w:r w:rsidRPr="004A0C2E">
        <w:rPr>
          <w:rFonts w:ascii="Arial" w:hAnsi="Arial" w:cs="Arial"/>
        </w:rPr>
        <w:t>00:18:45.</w:t>
      </w:r>
    </w:p>
    <w:p w14:paraId="6141C7CB" w14:textId="77777777" w:rsidR="009F3973" w:rsidRPr="004A0C2E" w:rsidRDefault="009F3973">
      <w:pPr>
        <w:pStyle w:val="FootnoteText"/>
        <w:rPr>
          <w:rFonts w:ascii="Arial" w:hAnsi="Arial" w:cs="Arial"/>
        </w:rPr>
      </w:pPr>
    </w:p>
  </w:footnote>
  <w:footnote w:id="8">
    <w:p w14:paraId="0A5F808F" w14:textId="7EA5A6DC" w:rsidR="00D36FCB" w:rsidRPr="004A0C2E" w:rsidRDefault="00153818">
      <w:pPr>
        <w:pStyle w:val="FootnoteText"/>
        <w:rPr>
          <w:rFonts w:ascii="Arial" w:hAnsi="Arial" w:cs="Arial"/>
        </w:rPr>
      </w:pPr>
      <w:r w:rsidRPr="004A0C2E">
        <w:rPr>
          <w:rStyle w:val="FootnoteReference"/>
          <w:rFonts w:ascii="Arial" w:hAnsi="Arial" w:cs="Arial"/>
        </w:rPr>
        <w:footnoteRef/>
      </w:r>
      <w:r w:rsidRPr="004A0C2E">
        <w:rPr>
          <w:rFonts w:ascii="Arial" w:hAnsi="Arial" w:cs="Arial"/>
        </w:rPr>
        <w:t xml:space="preserve"> </w:t>
      </w:r>
      <w:r w:rsidRPr="004A0C2E">
        <w:rPr>
          <w:rFonts w:ascii="Arial" w:hAnsi="Arial" w:cs="Arial"/>
          <w:i/>
          <w:iCs/>
        </w:rPr>
        <w:t>See</w:t>
      </w:r>
      <w:r w:rsidRPr="004A0C2E">
        <w:rPr>
          <w:rFonts w:ascii="Arial" w:hAnsi="Arial" w:cs="Arial"/>
        </w:rPr>
        <w:t xml:space="preserve"> </w:t>
      </w:r>
      <w:r w:rsidR="008E7ACA" w:rsidRPr="004A0C2E">
        <w:rPr>
          <w:rFonts w:ascii="Arial" w:hAnsi="Arial" w:cs="Arial"/>
        </w:rPr>
        <w:t>e.g.,</w:t>
      </w:r>
      <w:r w:rsidRPr="004A0C2E">
        <w:rPr>
          <w:rFonts w:ascii="Arial" w:hAnsi="Arial" w:cs="Arial"/>
        </w:rPr>
        <w:t xml:space="preserve"> TCPA Comments filed in NPRR1340 on July 21, 2026:</w:t>
      </w:r>
    </w:p>
    <w:p w14:paraId="3C2FBC7E" w14:textId="4B7CC00C" w:rsidR="00153818" w:rsidRPr="004A0C2E" w:rsidRDefault="00153818">
      <w:pPr>
        <w:pStyle w:val="FootnoteText"/>
        <w:rPr>
          <w:rFonts w:ascii="Arial" w:hAnsi="Arial" w:cs="Arial"/>
        </w:rPr>
      </w:pPr>
      <w:hyperlink r:id="rId6" w:history="1">
        <w:r w:rsidRPr="004A0C2E">
          <w:rPr>
            <w:rStyle w:val="Hyperlink"/>
            <w:rFonts w:ascii="Arial" w:hAnsi="Arial" w:cs="Arial"/>
          </w:rPr>
          <w:t>https://www.ercot.com/files/docs/2026/07/21/1340NPRR-08-TCPA-Comments-072126.docx</w:t>
        </w:r>
      </w:hyperlink>
    </w:p>
    <w:p w14:paraId="5F5D3A01" w14:textId="77777777" w:rsidR="00153818" w:rsidRPr="004A0C2E" w:rsidRDefault="00153818">
      <w:pPr>
        <w:pStyle w:val="FootnoteText"/>
        <w:rPr>
          <w:rFonts w:ascii="Arial" w:hAnsi="Arial" w:cs="Arial"/>
        </w:rPr>
      </w:pPr>
    </w:p>
  </w:footnote>
  <w:footnote w:id="9">
    <w:p w14:paraId="06C55872" w14:textId="0A8852E4" w:rsidR="009F3973" w:rsidRPr="004A0C2E" w:rsidRDefault="009F3973">
      <w:pPr>
        <w:pStyle w:val="FootnoteText"/>
        <w:rPr>
          <w:rFonts w:ascii="Arial" w:hAnsi="Arial" w:cs="Arial"/>
        </w:rPr>
      </w:pPr>
      <w:r w:rsidRPr="004A0C2E">
        <w:rPr>
          <w:rStyle w:val="FootnoteReference"/>
          <w:rFonts w:ascii="Arial" w:hAnsi="Arial" w:cs="Arial"/>
        </w:rPr>
        <w:footnoteRef/>
      </w:r>
      <w:r w:rsidRPr="004A0C2E">
        <w:rPr>
          <w:rFonts w:ascii="Arial" w:hAnsi="Arial" w:cs="Arial"/>
        </w:rPr>
        <w:t xml:space="preserve"> PUCT Project No. 54445, Review of Protocols Adopted by the Independent Organization, Staff Memos and Proposed Order (July 9, 2026), pages 4-5,  which can be accessed at: </w:t>
      </w:r>
      <w:hyperlink r:id="rId7" w:history="1">
        <w:r w:rsidRPr="004A0C2E">
          <w:rPr>
            <w:rStyle w:val="Hyperlink"/>
            <w:rFonts w:ascii="Arial" w:hAnsi="Arial" w:cs="Arial"/>
          </w:rPr>
          <w:t>https://interchange.puc.texas.gov/search/documents/?controlNumber=54445&amp;itemNumber=160</w:t>
        </w:r>
      </w:hyperlink>
    </w:p>
    <w:p w14:paraId="65F14744" w14:textId="73D3287E" w:rsidR="009F3973" w:rsidRPr="004A0C2E" w:rsidRDefault="009F3973">
      <w:pPr>
        <w:pStyle w:val="FootnoteText"/>
        <w:rPr>
          <w:rFonts w:ascii="Arial" w:hAnsi="Arial" w:cs="Arial"/>
        </w:rPr>
      </w:pPr>
      <w:r w:rsidRPr="004A0C2E">
        <w:rPr>
          <w:rFonts w:ascii="Arial" w:hAnsi="Arial" w:cs="Arial"/>
        </w:rPr>
        <w:t xml:space="preserve"> </w:t>
      </w:r>
    </w:p>
  </w:footnote>
  <w:footnote w:id="10">
    <w:p w14:paraId="6403A06D" w14:textId="76D79D85" w:rsidR="00153818" w:rsidRDefault="00153818">
      <w:pPr>
        <w:pStyle w:val="FootnoteText"/>
        <w:rPr>
          <w:rFonts w:ascii="Arial" w:hAnsi="Arial" w:cs="Arial"/>
        </w:rPr>
      </w:pPr>
      <w:r w:rsidRPr="004A0C2E">
        <w:rPr>
          <w:rStyle w:val="FootnoteReference"/>
          <w:rFonts w:ascii="Arial" w:hAnsi="Arial" w:cs="Arial"/>
        </w:rPr>
        <w:footnoteRef/>
      </w:r>
      <w:r w:rsidRPr="004A0C2E">
        <w:rPr>
          <w:rFonts w:ascii="Arial" w:hAnsi="Arial" w:cs="Arial"/>
        </w:rPr>
        <w:t xml:space="preserve"> Id. at 5.</w:t>
      </w:r>
    </w:p>
    <w:p w14:paraId="13F37451" w14:textId="77777777" w:rsidR="00663B8E" w:rsidRPr="004A0C2E" w:rsidRDefault="00663B8E">
      <w:pPr>
        <w:pStyle w:val="FootnoteText"/>
        <w:rPr>
          <w:rFonts w:ascii="Arial" w:hAnsi="Arial" w:cs="Arial"/>
        </w:rPr>
      </w:pPr>
    </w:p>
  </w:footnote>
  <w:footnote w:id="11">
    <w:p w14:paraId="49F3C99F" w14:textId="7B7CACED" w:rsidR="00A559B7" w:rsidRPr="00D265F7" w:rsidRDefault="00A559B7">
      <w:pPr>
        <w:pStyle w:val="FootnoteText"/>
        <w:rPr>
          <w:rFonts w:ascii="Arial" w:hAnsi="Arial" w:cs="Arial"/>
        </w:rPr>
      </w:pPr>
      <w:r w:rsidRPr="00D265F7">
        <w:rPr>
          <w:rStyle w:val="FootnoteReference"/>
          <w:rFonts w:ascii="Arial" w:hAnsi="Arial" w:cs="Arial"/>
        </w:rPr>
        <w:footnoteRef/>
      </w:r>
      <w:r w:rsidRPr="00D265F7">
        <w:rPr>
          <w:rFonts w:ascii="Arial" w:hAnsi="Arial" w:cs="Arial"/>
        </w:rPr>
        <w:t xml:space="preserve"> See, PUCT Project No. 55797 (Dispatchable Reliability Reserve Service (DRRS), Staff Recommend</w:t>
      </w:r>
      <w:r w:rsidR="007F517D" w:rsidRPr="00D265F7">
        <w:rPr>
          <w:rFonts w:ascii="Arial" w:hAnsi="Arial" w:cs="Arial"/>
        </w:rPr>
        <w:t xml:space="preserve">ation regarding ESR Participation in DRRS (March 19, 2026) </w:t>
      </w:r>
      <w:r w:rsidR="00D265F7" w:rsidRPr="00D265F7">
        <w:rPr>
          <w:rFonts w:ascii="Arial" w:hAnsi="Arial" w:cs="Arial"/>
        </w:rPr>
        <w:t xml:space="preserve">at page 2 </w:t>
      </w:r>
      <w:r w:rsidR="007F517D" w:rsidRPr="00D265F7">
        <w:rPr>
          <w:rFonts w:ascii="Arial" w:hAnsi="Arial" w:cs="Arial"/>
        </w:rPr>
        <w:t xml:space="preserve">which can be accessed at: </w:t>
      </w:r>
      <w:hyperlink r:id="rId8" w:history="1">
        <w:r w:rsidR="00D265F7" w:rsidRPr="00D265F7">
          <w:rPr>
            <w:rStyle w:val="Hyperlink"/>
            <w:rFonts w:ascii="Arial" w:hAnsi="Arial" w:cs="Arial"/>
          </w:rPr>
          <w:t>https://interchange.puc.texas.gov/Documents/55797_11_1606070.PDF</w:t>
        </w:r>
      </w:hyperlink>
      <w:r w:rsidR="00D265F7" w:rsidRPr="00D265F7">
        <w:rPr>
          <w:rFonts w:ascii="Arial" w:hAnsi="Arial" w:cs="Arial"/>
        </w:rPr>
        <w:t>.</w:t>
      </w:r>
    </w:p>
    <w:p w14:paraId="6F1B86C5" w14:textId="77777777" w:rsidR="00D265F7" w:rsidRPr="00D265F7" w:rsidRDefault="00D265F7">
      <w:pPr>
        <w:pStyle w:val="FootnoteText"/>
        <w:rPr>
          <w:rFonts w:ascii="Arial" w:hAnsi="Arial" w:cs="Arial"/>
        </w:rPr>
      </w:pPr>
    </w:p>
  </w:footnote>
  <w:footnote w:id="12">
    <w:p w14:paraId="1B96857F" w14:textId="4B7D86F3" w:rsidR="00EC32C4" w:rsidRPr="00EC32C4" w:rsidRDefault="00803143" w:rsidP="00EC32C4">
      <w:pPr>
        <w:rPr>
          <w:rFonts w:ascii="Arial" w:hAnsi="Arial" w:cs="Arial"/>
          <w:sz w:val="20"/>
          <w:szCs w:val="20"/>
        </w:rPr>
      </w:pPr>
      <w:r w:rsidRPr="00EC32C4">
        <w:rPr>
          <w:rStyle w:val="FootnoteReference"/>
          <w:rFonts w:ascii="Arial" w:hAnsi="Arial" w:cs="Arial"/>
          <w:sz w:val="20"/>
          <w:szCs w:val="20"/>
        </w:rPr>
        <w:footnoteRef/>
      </w:r>
      <w:r w:rsidRPr="00EC32C4">
        <w:rPr>
          <w:rFonts w:ascii="Arial" w:hAnsi="Arial" w:cs="Arial"/>
          <w:sz w:val="20"/>
          <w:szCs w:val="20"/>
        </w:rPr>
        <w:t xml:space="preserve"> </w:t>
      </w:r>
      <w:r w:rsidR="00EC32C4" w:rsidRPr="00EC32C4">
        <w:rPr>
          <w:rFonts w:ascii="Arial" w:hAnsi="Arial" w:cs="Arial"/>
          <w:sz w:val="20"/>
          <w:szCs w:val="20"/>
        </w:rPr>
        <w:t xml:space="preserve">March 26, </w:t>
      </w:r>
      <w:proofErr w:type="gramStart"/>
      <w:r w:rsidR="00EC32C4" w:rsidRPr="00EC32C4">
        <w:rPr>
          <w:rFonts w:ascii="Arial" w:hAnsi="Arial" w:cs="Arial"/>
          <w:sz w:val="20"/>
          <w:szCs w:val="20"/>
        </w:rPr>
        <w:t>2026</w:t>
      </w:r>
      <w:proofErr w:type="gramEnd"/>
      <w:r w:rsidR="00EC32C4" w:rsidRPr="00EC32C4">
        <w:rPr>
          <w:rFonts w:ascii="Arial" w:hAnsi="Arial" w:cs="Arial"/>
          <w:sz w:val="20"/>
          <w:szCs w:val="20"/>
        </w:rPr>
        <w:t xml:space="preserve"> Open Meeting, Item 15, Project No. 55797, Dispatchable Reliability Reserve Service (DRRS), via Grid Monitor timestamped at 00:</w:t>
      </w:r>
      <w:r w:rsidR="00EC32C4">
        <w:rPr>
          <w:rFonts w:ascii="Arial" w:hAnsi="Arial" w:cs="Arial"/>
          <w:sz w:val="20"/>
          <w:szCs w:val="20"/>
        </w:rPr>
        <w:t>19:11</w:t>
      </w:r>
      <w:r w:rsidR="00EC32C4" w:rsidRPr="00EC32C4">
        <w:rPr>
          <w:rFonts w:ascii="Arial" w:hAnsi="Arial" w:cs="Arial"/>
          <w:sz w:val="20"/>
          <w:szCs w:val="20"/>
        </w:rPr>
        <w:t>.</w:t>
      </w:r>
      <w:r w:rsidR="00A86D16">
        <w:rPr>
          <w:rFonts w:ascii="Arial" w:hAnsi="Arial" w:cs="Arial"/>
          <w:sz w:val="20"/>
          <w:szCs w:val="20"/>
        </w:rPr>
        <w:t xml:space="preserve">  </w:t>
      </w:r>
    </w:p>
    <w:p w14:paraId="2574892D" w14:textId="788C1304" w:rsidR="00803143" w:rsidRDefault="00803143">
      <w:pPr>
        <w:pStyle w:val="FootnoteText"/>
      </w:pPr>
    </w:p>
  </w:footnote>
  <w:footnote w:id="13">
    <w:p w14:paraId="71EDC829" w14:textId="3CC560F6" w:rsidR="00763928" w:rsidRPr="004A0C2E" w:rsidRDefault="00763928" w:rsidP="00663B8E">
      <w:pPr>
        <w:pStyle w:val="FootnoteText"/>
        <w:rPr>
          <w:rFonts w:ascii="Arial" w:hAnsi="Arial" w:cs="Arial"/>
        </w:rPr>
      </w:pPr>
      <w:r w:rsidRPr="00D265F7">
        <w:rPr>
          <w:rStyle w:val="FootnoteReference"/>
          <w:rFonts w:ascii="Arial" w:hAnsi="Arial" w:cs="Arial"/>
        </w:rPr>
        <w:footnoteRef/>
      </w:r>
      <w:r w:rsidRPr="00D265F7">
        <w:rPr>
          <w:rFonts w:ascii="Arial" w:hAnsi="Arial" w:cs="Arial"/>
        </w:rPr>
        <w:t xml:space="preserve"> ERCOT </w:t>
      </w:r>
      <w:r w:rsidR="0099151F">
        <w:rPr>
          <w:rFonts w:ascii="Arial" w:hAnsi="Arial" w:cs="Arial"/>
        </w:rPr>
        <w:t>is currently scheduled to deliver</w:t>
      </w:r>
      <w:r w:rsidRPr="00D265F7">
        <w:rPr>
          <w:rFonts w:ascii="Arial" w:hAnsi="Arial" w:cs="Arial"/>
        </w:rPr>
        <w:t xml:space="preserve"> its</w:t>
      </w:r>
      <w:r w:rsidR="00663B8E" w:rsidRPr="00D265F7">
        <w:rPr>
          <w:rFonts w:ascii="Arial" w:hAnsi="Arial" w:cs="Arial"/>
        </w:rPr>
        <w:t xml:space="preserve"> probability-based assessment to evaluate compliance</w:t>
      </w:r>
      <w:r w:rsidR="0099151F">
        <w:rPr>
          <w:rFonts w:ascii="Arial" w:hAnsi="Arial" w:cs="Arial"/>
        </w:rPr>
        <w:t xml:space="preserve"> </w:t>
      </w:r>
      <w:r w:rsidR="00663B8E" w:rsidRPr="00D265F7">
        <w:rPr>
          <w:rFonts w:ascii="Arial" w:hAnsi="Arial" w:cs="Arial"/>
        </w:rPr>
        <w:t xml:space="preserve">with the PUCT’s </w:t>
      </w:r>
      <w:r w:rsidR="00FE7763" w:rsidRPr="00D265F7">
        <w:rPr>
          <w:rFonts w:ascii="Arial" w:hAnsi="Arial" w:cs="Arial"/>
        </w:rPr>
        <w:t>reliability</w:t>
      </w:r>
      <w:r w:rsidR="00663B8E" w:rsidRPr="00D265F7">
        <w:rPr>
          <w:rFonts w:ascii="Arial" w:hAnsi="Arial" w:cs="Arial"/>
        </w:rPr>
        <w:t xml:space="preserve"> standard </w:t>
      </w:r>
      <w:r w:rsidR="00FE7763" w:rsidRPr="00D265F7">
        <w:rPr>
          <w:rFonts w:ascii="Arial" w:hAnsi="Arial" w:cs="Arial"/>
        </w:rPr>
        <w:t xml:space="preserve">in December 2026 </w:t>
      </w:r>
      <w:r w:rsidR="00663B8E" w:rsidRPr="00D265F7">
        <w:rPr>
          <w:rFonts w:ascii="Arial" w:hAnsi="Arial" w:cs="Arial"/>
        </w:rPr>
        <w:t xml:space="preserve">and </w:t>
      </w:r>
      <w:r w:rsidR="00FE7763" w:rsidRPr="00D265F7">
        <w:rPr>
          <w:rFonts w:ascii="Arial" w:hAnsi="Arial" w:cs="Arial"/>
        </w:rPr>
        <w:t>the</w:t>
      </w:r>
      <w:r w:rsidR="00FE7763">
        <w:rPr>
          <w:rFonts w:ascii="Arial" w:hAnsi="Arial" w:cs="Arial"/>
        </w:rPr>
        <w:t xml:space="preserve"> PUCT will </w:t>
      </w:r>
      <w:r w:rsidR="00663B8E" w:rsidRPr="00663B8E">
        <w:rPr>
          <w:rFonts w:ascii="Arial" w:hAnsi="Arial" w:cs="Arial"/>
        </w:rPr>
        <w:t>use th</w:t>
      </w:r>
      <w:r w:rsidR="0099151F">
        <w:rPr>
          <w:rFonts w:ascii="Arial" w:hAnsi="Arial" w:cs="Arial"/>
        </w:rPr>
        <w:t>at</w:t>
      </w:r>
      <w:r w:rsidR="00663B8E" w:rsidRPr="00663B8E">
        <w:rPr>
          <w:rFonts w:ascii="Arial" w:hAnsi="Arial" w:cs="Arial"/>
        </w:rPr>
        <w:t xml:space="preserve"> data </w:t>
      </w:r>
      <w:r w:rsidR="00FE7763">
        <w:rPr>
          <w:rFonts w:ascii="Arial" w:hAnsi="Arial" w:cs="Arial"/>
        </w:rPr>
        <w:t xml:space="preserve">when considering </w:t>
      </w:r>
      <w:r w:rsidR="00D96537">
        <w:rPr>
          <w:rFonts w:ascii="Arial" w:hAnsi="Arial" w:cs="Arial"/>
        </w:rPr>
        <w:t>any</w:t>
      </w:r>
      <w:r w:rsidR="00663B8E">
        <w:rPr>
          <w:rFonts w:ascii="Arial" w:hAnsi="Arial" w:cs="Arial"/>
        </w:rPr>
        <w:t xml:space="preserve"> </w:t>
      </w:r>
      <w:r w:rsidR="00663B8E" w:rsidRPr="00663B8E">
        <w:rPr>
          <w:rFonts w:ascii="Arial" w:hAnsi="Arial" w:cs="Arial"/>
        </w:rPr>
        <w:t xml:space="preserve">market or operational changes </w:t>
      </w:r>
      <w:r w:rsidR="00663B8E">
        <w:rPr>
          <w:rFonts w:ascii="Arial" w:hAnsi="Arial" w:cs="Arial"/>
        </w:rPr>
        <w:t>that may be neede</w:t>
      </w:r>
      <w:r w:rsidR="00FE7763">
        <w:rPr>
          <w:rFonts w:ascii="Arial" w:hAnsi="Arial" w:cs="Arial"/>
        </w:rPr>
        <w:t>d</w:t>
      </w:r>
      <w:r w:rsidR="00D96537">
        <w:rPr>
          <w:rFonts w:ascii="Arial" w:hAnsi="Arial" w:cs="Arial"/>
        </w:rPr>
        <w:t>, if any,</w:t>
      </w:r>
      <w:r w:rsidR="00FE7763">
        <w:rPr>
          <w:rFonts w:ascii="Arial" w:hAnsi="Arial" w:cs="Arial"/>
        </w:rPr>
        <w:t xml:space="preserve"> </w:t>
      </w:r>
      <w:r w:rsidRPr="004A0C2E">
        <w:rPr>
          <w:rFonts w:ascii="Arial" w:hAnsi="Arial" w:cs="Arial"/>
        </w:rPr>
        <w:t>pursuant to</w:t>
      </w:r>
      <w:r w:rsidR="00D36FCB" w:rsidRPr="004A0C2E">
        <w:rPr>
          <w:rFonts w:ascii="Arial" w:hAnsi="Arial" w:cs="Arial"/>
        </w:rPr>
        <w:t xml:space="preserve"> PUCT rule 16 Texas Administrative Code (TAC)</w:t>
      </w:r>
      <w:r w:rsidRPr="004A0C2E">
        <w:rPr>
          <w:rFonts w:ascii="Arial" w:hAnsi="Arial" w:cs="Arial"/>
        </w:rPr>
        <w:t xml:space="preserve"> §</w:t>
      </w:r>
      <w:r w:rsidR="00D36FCB" w:rsidRPr="004A0C2E">
        <w:rPr>
          <w:rFonts w:ascii="Arial" w:hAnsi="Arial" w:cs="Arial"/>
        </w:rPr>
        <w:t xml:space="preserve"> </w:t>
      </w:r>
      <w:hyperlink r:id="rId9" w:history="1">
        <w:r w:rsidR="00D36FCB" w:rsidRPr="004A0C2E">
          <w:rPr>
            <w:rStyle w:val="Hyperlink"/>
            <w:rFonts w:ascii="Arial" w:hAnsi="Arial" w:cs="Arial"/>
          </w:rPr>
          <w:t>25.508</w:t>
        </w:r>
      </w:hyperlink>
      <w:r w:rsidR="00D36FCB" w:rsidRPr="004A0C2E">
        <w:rPr>
          <w:rFonts w:ascii="Arial" w:hAnsi="Arial" w:cs="Arial"/>
        </w:rPr>
        <w:t xml:space="preserve"> </w:t>
      </w:r>
      <w:r w:rsidRPr="004A0C2E">
        <w:rPr>
          <w:rFonts w:ascii="Arial" w:hAnsi="Arial" w:cs="Arial"/>
        </w:rPr>
        <w:t xml:space="preserve">in PUCT Project No. 58777, </w:t>
      </w:r>
      <w:r w:rsidRPr="004A0C2E">
        <w:rPr>
          <w:rFonts w:ascii="Arial" w:hAnsi="Arial" w:cs="Arial"/>
          <w:i/>
          <w:iCs/>
        </w:rPr>
        <w:t>Triennial Reliability Assessment for the ERCOT Region under §25.508</w:t>
      </w:r>
      <w:r w:rsidRPr="004A0C2E">
        <w:rPr>
          <w:rFonts w:ascii="Arial" w:hAnsi="Arial" w:cs="Arial"/>
        </w:rPr>
        <w:t>.</w:t>
      </w:r>
      <w:r w:rsidR="00D36FCB" w:rsidRPr="004A0C2E">
        <w:rPr>
          <w:rFonts w:ascii="Arial" w:hAnsi="Arial" w:cs="Arial"/>
        </w:rPr>
        <w:t xml:space="preserve">  Filings in P-58777 can be accessed at: </w:t>
      </w:r>
      <w:hyperlink r:id="rId10" w:history="1">
        <w:r w:rsidR="00D36FCB" w:rsidRPr="004A0C2E">
          <w:rPr>
            <w:rStyle w:val="Hyperlink"/>
            <w:rFonts w:ascii="Arial" w:hAnsi="Arial" w:cs="Arial"/>
          </w:rPr>
          <w:t>https://interchange.puc.texas.gov/Search/Filings?ControlNumber=58777</w:t>
        </w:r>
      </w:hyperlink>
      <w:r w:rsidR="004A0C2E">
        <w:rPr>
          <w:rFonts w:ascii="Arial" w:hAnsi="Arial" w:cs="Arial"/>
        </w:rPr>
        <w:t>.</w:t>
      </w:r>
    </w:p>
    <w:p w14:paraId="6B6265BC" w14:textId="77777777" w:rsidR="00763928" w:rsidRPr="004A0C2E" w:rsidRDefault="00763928">
      <w:pPr>
        <w:pStyle w:val="FootnoteText"/>
        <w:rPr>
          <w:rFonts w:ascii="Arial" w:hAnsi="Arial" w:cs="Arial"/>
        </w:rPr>
      </w:pPr>
    </w:p>
  </w:footnote>
  <w:footnote w:id="14">
    <w:p w14:paraId="52682677" w14:textId="765BC804" w:rsidR="004A0C2E" w:rsidRDefault="004A0C2E">
      <w:pPr>
        <w:pStyle w:val="FootnoteText"/>
      </w:pPr>
      <w:r w:rsidRPr="004A0C2E">
        <w:rPr>
          <w:rStyle w:val="FootnoteReference"/>
          <w:rFonts w:ascii="Arial" w:hAnsi="Arial" w:cs="Arial"/>
        </w:rPr>
        <w:footnoteRef/>
      </w:r>
      <w:r w:rsidRPr="004A0C2E">
        <w:rPr>
          <w:rFonts w:ascii="Arial" w:hAnsi="Arial" w:cs="Arial"/>
        </w:rPr>
        <w:t xml:space="preserve"> </w:t>
      </w:r>
      <w:r w:rsidRPr="004A0C2E">
        <w:rPr>
          <w:rFonts w:ascii="Arial" w:hAnsi="Arial" w:cs="Arial"/>
          <w:i/>
          <w:iCs/>
        </w:rPr>
        <w:t xml:space="preserve">See </w:t>
      </w:r>
      <w:r w:rsidRPr="004A0C2E">
        <w:rPr>
          <w:rFonts w:ascii="Arial" w:hAnsi="Arial" w:cs="Arial"/>
        </w:rPr>
        <w:t xml:space="preserve">e.g., IMM 2025 State of the Market Report for the ERCOT Electricity Markets at pp 106-107.  The Report can be accessed at </w:t>
      </w:r>
      <w:hyperlink r:id="rId11" w:history="1">
        <w:r w:rsidRPr="004A0C2E">
          <w:rPr>
            <w:rStyle w:val="Hyperlink"/>
            <w:rFonts w:ascii="Arial" w:hAnsi="Arial" w:cs="Arial"/>
          </w:rPr>
          <w:t>https://www.potomaceconomics.com/wp-content/uploads/2026/06/2025-State-of-the-Market-Report-for-ERCOT.pdf</w:t>
        </w:r>
      </w:hyperlink>
      <w:r>
        <w:t>.</w:t>
      </w:r>
    </w:p>
    <w:p w14:paraId="2A5571E1" w14:textId="77777777" w:rsidR="004A0C2E" w:rsidRDefault="004A0C2E">
      <w:pPr>
        <w:pStyle w:val="FootnoteText"/>
      </w:pPr>
    </w:p>
  </w:footnote>
  <w:footnote w:id="15">
    <w:p w14:paraId="3239F26B" w14:textId="6C328FC6" w:rsidR="00BA42F2" w:rsidRPr="00B35C43" w:rsidRDefault="00BA42F2" w:rsidP="00BA42F2">
      <w:pPr>
        <w:pStyle w:val="FootnoteText"/>
        <w:rPr>
          <w:rFonts w:ascii="Arial" w:hAnsi="Arial" w:cs="Arial"/>
        </w:rPr>
      </w:pPr>
      <w:r w:rsidRPr="00B35C43">
        <w:rPr>
          <w:rStyle w:val="FootnoteReference"/>
          <w:rFonts w:ascii="Arial" w:hAnsi="Arial" w:cs="Arial"/>
        </w:rPr>
        <w:footnoteRef/>
      </w:r>
      <w:r w:rsidRPr="00B35C43">
        <w:rPr>
          <w:rFonts w:ascii="Arial" w:hAnsi="Arial" w:cs="Arial"/>
        </w:rPr>
        <w:t xml:space="preserve"> </w:t>
      </w:r>
      <w:r w:rsidRPr="00B35C43">
        <w:rPr>
          <w:rFonts w:ascii="Arial" w:hAnsi="Arial" w:cs="Arial"/>
          <w:i/>
          <w:iCs/>
        </w:rPr>
        <w:t>See</w:t>
      </w:r>
      <w:r w:rsidRPr="00B35C43">
        <w:rPr>
          <w:rFonts w:ascii="Arial" w:hAnsi="Arial" w:cs="Arial"/>
        </w:rPr>
        <w:t xml:space="preserve">, ERCOT </w:t>
      </w:r>
      <w:hyperlink r:id="rId12" w:history="1">
        <w:r>
          <w:rPr>
            <w:rStyle w:val="Hyperlink"/>
            <w:rFonts w:ascii="Arial" w:hAnsi="Arial" w:cs="Arial"/>
          </w:rPr>
          <w:t>Comments</w:t>
        </w:r>
      </w:hyperlink>
      <w:r>
        <w:rPr>
          <w:rFonts w:ascii="Arial" w:hAnsi="Arial" w:cs="Arial"/>
        </w:rPr>
        <w:t xml:space="preserve"> at 1 </w:t>
      </w:r>
      <w:r w:rsidRPr="00B35C43">
        <w:rPr>
          <w:rFonts w:ascii="Arial" w:hAnsi="Arial" w:cs="Arial"/>
        </w:rPr>
        <w:t>(August 4, 2024) submitted in NPRR1340: “With the approval of NPRR1309, the creation of Dispatchable Reliability Reserve Service (DRRS) and the associated costs are already addressed, so NPRR1340’s revisions may now focus solely on the changes needed to include Energy Storage Resource (ESR) participation in the new Ancillary Service.”</w:t>
      </w:r>
      <w:r>
        <w:rPr>
          <w:rFonts w:ascii="Arial" w:hAnsi="Arial" w:cs="Arial"/>
        </w:rPr>
        <w:t xml:space="preserve"> </w:t>
      </w:r>
      <w:r w:rsidR="001F49F8">
        <w:rPr>
          <w:rFonts w:ascii="Arial" w:hAnsi="Arial" w:cs="Arial"/>
        </w:rPr>
        <w:t xml:space="preserve">  </w:t>
      </w:r>
    </w:p>
    <w:p w14:paraId="7415B0D5" w14:textId="77777777" w:rsidR="00BA42F2" w:rsidRDefault="00BA42F2" w:rsidP="00BA42F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5D72" w14:textId="6F93D0BF" w:rsidR="00EE6681" w:rsidRPr="00AA6910" w:rsidRDefault="00EE6681" w:rsidP="00AA6910">
    <w:pPr>
      <w:pStyle w:val="Header"/>
      <w:jc w:val="center"/>
      <w:rPr>
        <w:sz w:val="32"/>
      </w:rPr>
    </w:pPr>
    <w:r>
      <w:rPr>
        <w:sz w:val="32"/>
      </w:rPr>
      <w:t>NPRR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448383F"/>
    <w:multiLevelType w:val="hybridMultilevel"/>
    <w:tmpl w:val="0D560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A12F07"/>
    <w:multiLevelType w:val="hybridMultilevel"/>
    <w:tmpl w:val="9DFE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009794980">
    <w:abstractNumId w:val="0"/>
  </w:num>
  <w:num w:numId="2" w16cid:durableId="2102288381">
    <w:abstractNumId w:val="3"/>
  </w:num>
  <w:num w:numId="3" w16cid:durableId="714157879">
    <w:abstractNumId w:val="1"/>
  </w:num>
  <w:num w:numId="4" w16cid:durableId="2016805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041BB"/>
    <w:rsid w:val="000209BB"/>
    <w:rsid w:val="00030C06"/>
    <w:rsid w:val="00030CD4"/>
    <w:rsid w:val="00037668"/>
    <w:rsid w:val="000519C5"/>
    <w:rsid w:val="00073E10"/>
    <w:rsid w:val="00075A94"/>
    <w:rsid w:val="000975B2"/>
    <w:rsid w:val="000D7278"/>
    <w:rsid w:val="000F5A23"/>
    <w:rsid w:val="00104AB8"/>
    <w:rsid w:val="00132855"/>
    <w:rsid w:val="001343CE"/>
    <w:rsid w:val="00152993"/>
    <w:rsid w:val="00153818"/>
    <w:rsid w:val="00170297"/>
    <w:rsid w:val="00183573"/>
    <w:rsid w:val="00191806"/>
    <w:rsid w:val="001A227D"/>
    <w:rsid w:val="001B6446"/>
    <w:rsid w:val="001D0184"/>
    <w:rsid w:val="001E2032"/>
    <w:rsid w:val="001E518D"/>
    <w:rsid w:val="001F49F8"/>
    <w:rsid w:val="00211573"/>
    <w:rsid w:val="00231324"/>
    <w:rsid w:val="00234CF3"/>
    <w:rsid w:val="00236FE3"/>
    <w:rsid w:val="00241353"/>
    <w:rsid w:val="00241956"/>
    <w:rsid w:val="0026096C"/>
    <w:rsid w:val="00277240"/>
    <w:rsid w:val="00290728"/>
    <w:rsid w:val="002A52C3"/>
    <w:rsid w:val="002B0DB6"/>
    <w:rsid w:val="002E2863"/>
    <w:rsid w:val="003010C0"/>
    <w:rsid w:val="00303A80"/>
    <w:rsid w:val="00313CE1"/>
    <w:rsid w:val="00332A97"/>
    <w:rsid w:val="00350C00"/>
    <w:rsid w:val="00366113"/>
    <w:rsid w:val="00385C5D"/>
    <w:rsid w:val="003A2AEE"/>
    <w:rsid w:val="003A37E6"/>
    <w:rsid w:val="003C270C"/>
    <w:rsid w:val="003D0994"/>
    <w:rsid w:val="00423824"/>
    <w:rsid w:val="0043567D"/>
    <w:rsid w:val="0045417E"/>
    <w:rsid w:val="004A0C2E"/>
    <w:rsid w:val="004A2837"/>
    <w:rsid w:val="004B7B90"/>
    <w:rsid w:val="004C0312"/>
    <w:rsid w:val="004D5EF7"/>
    <w:rsid w:val="004E2C19"/>
    <w:rsid w:val="004F2E8C"/>
    <w:rsid w:val="004F4CEB"/>
    <w:rsid w:val="00500525"/>
    <w:rsid w:val="005064A5"/>
    <w:rsid w:val="00510730"/>
    <w:rsid w:val="005313CA"/>
    <w:rsid w:val="00544EFB"/>
    <w:rsid w:val="00552585"/>
    <w:rsid w:val="005548CB"/>
    <w:rsid w:val="005C2661"/>
    <w:rsid w:val="005C6D2C"/>
    <w:rsid w:val="005D284C"/>
    <w:rsid w:val="005F4670"/>
    <w:rsid w:val="00604512"/>
    <w:rsid w:val="00605563"/>
    <w:rsid w:val="00622580"/>
    <w:rsid w:val="00633E23"/>
    <w:rsid w:val="00643FD0"/>
    <w:rsid w:val="00650F96"/>
    <w:rsid w:val="00654290"/>
    <w:rsid w:val="00663B8E"/>
    <w:rsid w:val="00673B94"/>
    <w:rsid w:val="00680AC6"/>
    <w:rsid w:val="006835D8"/>
    <w:rsid w:val="006B2765"/>
    <w:rsid w:val="006C316E"/>
    <w:rsid w:val="006D0F7C"/>
    <w:rsid w:val="006E7878"/>
    <w:rsid w:val="006F7F21"/>
    <w:rsid w:val="0070441B"/>
    <w:rsid w:val="007269C4"/>
    <w:rsid w:val="00740D35"/>
    <w:rsid w:val="0074209E"/>
    <w:rsid w:val="00756EF5"/>
    <w:rsid w:val="00763928"/>
    <w:rsid w:val="007A0FD8"/>
    <w:rsid w:val="007D5038"/>
    <w:rsid w:val="007E3352"/>
    <w:rsid w:val="007E4874"/>
    <w:rsid w:val="007F2691"/>
    <w:rsid w:val="007F2CA8"/>
    <w:rsid w:val="007F517D"/>
    <w:rsid w:val="007F7161"/>
    <w:rsid w:val="00803143"/>
    <w:rsid w:val="00805AA1"/>
    <w:rsid w:val="00845224"/>
    <w:rsid w:val="00850183"/>
    <w:rsid w:val="0085559E"/>
    <w:rsid w:val="00887027"/>
    <w:rsid w:val="00896B1B"/>
    <w:rsid w:val="008A4C46"/>
    <w:rsid w:val="008E0192"/>
    <w:rsid w:val="008E559E"/>
    <w:rsid w:val="008E7ACA"/>
    <w:rsid w:val="00903132"/>
    <w:rsid w:val="00915A19"/>
    <w:rsid w:val="00916080"/>
    <w:rsid w:val="00921A68"/>
    <w:rsid w:val="00945A97"/>
    <w:rsid w:val="0099151F"/>
    <w:rsid w:val="009A680A"/>
    <w:rsid w:val="009D73D7"/>
    <w:rsid w:val="009E3860"/>
    <w:rsid w:val="009E3E76"/>
    <w:rsid w:val="009F3973"/>
    <w:rsid w:val="00A015C4"/>
    <w:rsid w:val="00A03263"/>
    <w:rsid w:val="00A15172"/>
    <w:rsid w:val="00A47B5F"/>
    <w:rsid w:val="00A559B7"/>
    <w:rsid w:val="00A6211D"/>
    <w:rsid w:val="00A83539"/>
    <w:rsid w:val="00A86D16"/>
    <w:rsid w:val="00AA6910"/>
    <w:rsid w:val="00AC6C39"/>
    <w:rsid w:val="00AE2440"/>
    <w:rsid w:val="00B236E8"/>
    <w:rsid w:val="00B35C43"/>
    <w:rsid w:val="00B36B39"/>
    <w:rsid w:val="00B5080A"/>
    <w:rsid w:val="00B53059"/>
    <w:rsid w:val="00B943AE"/>
    <w:rsid w:val="00BA42F2"/>
    <w:rsid w:val="00BB235A"/>
    <w:rsid w:val="00BB4777"/>
    <w:rsid w:val="00BD5730"/>
    <w:rsid w:val="00BD7258"/>
    <w:rsid w:val="00BD7FCD"/>
    <w:rsid w:val="00BF7CA1"/>
    <w:rsid w:val="00C0598D"/>
    <w:rsid w:val="00C11956"/>
    <w:rsid w:val="00C27765"/>
    <w:rsid w:val="00C317AF"/>
    <w:rsid w:val="00C41E81"/>
    <w:rsid w:val="00C4532B"/>
    <w:rsid w:val="00C45940"/>
    <w:rsid w:val="00C47CE2"/>
    <w:rsid w:val="00C602E5"/>
    <w:rsid w:val="00C61D3C"/>
    <w:rsid w:val="00C748FD"/>
    <w:rsid w:val="00C8703E"/>
    <w:rsid w:val="00CA2E98"/>
    <w:rsid w:val="00CC2425"/>
    <w:rsid w:val="00CC6D3D"/>
    <w:rsid w:val="00CD7BEB"/>
    <w:rsid w:val="00CF3F83"/>
    <w:rsid w:val="00D1587F"/>
    <w:rsid w:val="00D265F7"/>
    <w:rsid w:val="00D268BF"/>
    <w:rsid w:val="00D36FCB"/>
    <w:rsid w:val="00D4046E"/>
    <w:rsid w:val="00D4362F"/>
    <w:rsid w:val="00D61FA9"/>
    <w:rsid w:val="00D719CB"/>
    <w:rsid w:val="00D847D7"/>
    <w:rsid w:val="00D96537"/>
    <w:rsid w:val="00DA7BEA"/>
    <w:rsid w:val="00DB5B42"/>
    <w:rsid w:val="00DC19B1"/>
    <w:rsid w:val="00DD4739"/>
    <w:rsid w:val="00DE5F33"/>
    <w:rsid w:val="00DF7A20"/>
    <w:rsid w:val="00E07B54"/>
    <w:rsid w:val="00E11F78"/>
    <w:rsid w:val="00E15727"/>
    <w:rsid w:val="00E25985"/>
    <w:rsid w:val="00E4126A"/>
    <w:rsid w:val="00E56609"/>
    <w:rsid w:val="00E621E1"/>
    <w:rsid w:val="00E6470E"/>
    <w:rsid w:val="00E75E55"/>
    <w:rsid w:val="00E760FA"/>
    <w:rsid w:val="00EB1086"/>
    <w:rsid w:val="00EB2579"/>
    <w:rsid w:val="00EC32C4"/>
    <w:rsid w:val="00EC55B3"/>
    <w:rsid w:val="00EE6681"/>
    <w:rsid w:val="00F30C98"/>
    <w:rsid w:val="00F96FB2"/>
    <w:rsid w:val="00FB11E0"/>
    <w:rsid w:val="00FB51D8"/>
    <w:rsid w:val="00FB5DF2"/>
    <w:rsid w:val="00FC5A23"/>
    <w:rsid w:val="00FD08E8"/>
    <w:rsid w:val="00FE7763"/>
    <w:rsid w:val="00FF5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5E714A"/>
  <w15:chartTrackingRefBased/>
  <w15:docId w15:val="{54D3D814-A62C-4719-BFE9-A3594433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character" w:styleId="UnresolvedMention">
    <w:name w:val="Unresolved Mention"/>
    <w:uiPriority w:val="99"/>
    <w:semiHidden/>
    <w:unhideWhenUsed/>
    <w:rsid w:val="00552585"/>
    <w:rPr>
      <w:color w:val="605E5C"/>
      <w:shd w:val="clear" w:color="auto" w:fill="E1DFDD"/>
    </w:rPr>
  </w:style>
  <w:style w:type="paragraph" w:styleId="FootnoteText">
    <w:name w:val="footnote text"/>
    <w:basedOn w:val="Normal"/>
    <w:link w:val="FootnoteTextChar"/>
    <w:rsid w:val="005C6D2C"/>
    <w:rPr>
      <w:sz w:val="20"/>
      <w:szCs w:val="20"/>
    </w:rPr>
  </w:style>
  <w:style w:type="character" w:customStyle="1" w:styleId="FootnoteTextChar">
    <w:name w:val="Footnote Text Char"/>
    <w:basedOn w:val="DefaultParagraphFont"/>
    <w:link w:val="FootnoteText"/>
    <w:rsid w:val="005C6D2C"/>
  </w:style>
  <w:style w:type="character" w:styleId="FootnoteReference">
    <w:name w:val="footnote reference"/>
    <w:rsid w:val="005C6D2C"/>
    <w:rPr>
      <w:vertAlign w:val="superscript"/>
    </w:rPr>
  </w:style>
  <w:style w:type="character" w:styleId="FollowedHyperlink">
    <w:name w:val="FollowedHyperlink"/>
    <w:basedOn w:val="DefaultParagraphFont"/>
    <w:rsid w:val="000975B2"/>
    <w:rPr>
      <w:color w:val="96607D" w:themeColor="followedHyperlink"/>
      <w:u w:val="single"/>
    </w:rPr>
  </w:style>
  <w:style w:type="paragraph" w:styleId="NormalWeb">
    <w:name w:val="Normal (Web)"/>
    <w:basedOn w:val="Normal"/>
    <w:rsid w:val="005548CB"/>
  </w:style>
  <w:style w:type="paragraph" w:styleId="Revision">
    <w:name w:val="Revision"/>
    <w:hidden/>
    <w:uiPriority w:val="99"/>
    <w:semiHidden/>
    <w:rsid w:val="00385C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4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rcot.com/services/comm/mkt_notices/M-C072726-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mktrules/issues/NPRR130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rcot.com/files/docs/2026/01/29/1309NPRR-07-TSSA-Comments-012926.docx" TargetMode="External"/><Relationship Id="rId4" Type="http://schemas.openxmlformats.org/officeDocument/2006/relationships/settings" Target="settings.xml"/><Relationship Id="rId9" Type="http://schemas.openxmlformats.org/officeDocument/2006/relationships/hyperlink" Target="mailto:marks@txsolarstorage.org"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interchange.puc.texas.gov/Documents/55797_11_1606070.PDF" TargetMode="External"/><Relationship Id="rId3" Type="http://schemas.openxmlformats.org/officeDocument/2006/relationships/hyperlink" Target="https://www.ercot.com/files/docs/2026/02/02/4-Understanding-Battery-Energy-Storage-Systems-Current-and-Future.pdf" TargetMode="External"/><Relationship Id="rId7" Type="http://schemas.openxmlformats.org/officeDocument/2006/relationships/hyperlink" Target="https://interchange.puc.texas.gov/search/documents/?controlNumber=54445&amp;itemNumber=160" TargetMode="External"/><Relationship Id="rId12" Type="http://schemas.openxmlformats.org/officeDocument/2006/relationships/hyperlink" Target="https://www.ercot.com/files/docs/2026/08/04/1340NPRR-10-ERCOT-Comments-080426.docx" TargetMode="External"/><Relationship Id="rId2" Type="http://schemas.openxmlformats.org/officeDocument/2006/relationships/hyperlink" Target="https://interchange.puc.texas.gov/Documents/54445_162_1664183.PDF" TargetMode="External"/><Relationship Id="rId1" Type="http://schemas.openxmlformats.org/officeDocument/2006/relationships/hyperlink" Target="https://www.ercot.com/mktrules/issues/NPRR1309" TargetMode="External"/><Relationship Id="rId6" Type="http://schemas.openxmlformats.org/officeDocument/2006/relationships/hyperlink" Target="https://www.ercot.com/files/docs/2026/07/21/1340NPRR-08-TCPA-Comments-072126.docx" TargetMode="External"/><Relationship Id="rId11" Type="http://schemas.openxmlformats.org/officeDocument/2006/relationships/hyperlink" Target="https://www.potomaceconomics.com/wp-content/uploads/2026/06/2025-State-of-the-Market-Report-for-ERCOT.pdf" TargetMode="External"/><Relationship Id="rId5" Type="http://schemas.openxmlformats.org/officeDocument/2006/relationships/hyperlink" Target="https://www.ercot.com/files/docs/2026/01/29/1309NPRR-07-TSSA-Comments-012926.docx" TargetMode="External"/><Relationship Id="rId10" Type="http://schemas.openxmlformats.org/officeDocument/2006/relationships/hyperlink" Target="https://interchange.puc.texas.gov/Search/Filings?ControlNumber=58777" TargetMode="External"/><Relationship Id="rId4" Type="http://schemas.openxmlformats.org/officeDocument/2006/relationships/hyperlink" Target="https://www.ercot.com/mktrules/issues/NPRR1309" TargetMode="External"/><Relationship Id="rId9" Type="http://schemas.openxmlformats.org/officeDocument/2006/relationships/hyperlink" Target="https://ftp.puc.texas.gov/public/puct-info/agency/rulesnlaws/subrules/electric/25.508/25.5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1C24A-5CE4-413B-AA58-B8383C710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1298</Words>
  <Characters>7287</Characters>
  <Application>Microsoft Office Word</Application>
  <DocSecurity>0</DocSecurity>
  <Lines>165</Lines>
  <Paragraphs>45</Paragraphs>
  <ScaleCrop>false</ScaleCrop>
  <Company/>
  <LinksUpToDate>false</LinksUpToDate>
  <CharactersWithSpaces>8540</CharactersWithSpaces>
  <SharedDoc>false</SharedDoc>
  <HLinks>
    <vt:vector size="12" baseType="variant">
      <vt:variant>
        <vt:i4>7078006</vt:i4>
      </vt:variant>
      <vt:variant>
        <vt:i4>0</vt:i4>
      </vt:variant>
      <vt:variant>
        <vt:i4>0</vt:i4>
      </vt:variant>
      <vt:variant>
        <vt:i4>5</vt:i4>
      </vt:variant>
      <vt:variant>
        <vt:lpwstr>https://www.ercot.com/mktrules/issues/NPRR1340</vt:lpwstr>
      </vt:variant>
      <vt:variant>
        <vt:lpwstr/>
      </vt:variant>
      <vt:variant>
        <vt:i4>6619250</vt:i4>
      </vt:variant>
      <vt:variant>
        <vt:i4>0</vt:i4>
      </vt:variant>
      <vt:variant>
        <vt:i4>0</vt:i4>
      </vt:variant>
      <vt:variant>
        <vt:i4>5</vt:i4>
      </vt:variant>
      <vt:variant>
        <vt:lpwstr>https://www.ercot.com/mktrules/issues/NPRR1309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ERCOT 081426</dc:creator>
  <cp:keywords/>
  <dc:description/>
  <cp:lastModifiedBy>ERCOT 081426</cp:lastModifiedBy>
  <cp:revision>3</cp:revision>
  <dcterms:created xsi:type="dcterms:W3CDTF">2026-08-18T19:56:00Z</dcterms:created>
  <dcterms:modified xsi:type="dcterms:W3CDTF">2026-08-18T19:59:00Z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2026-08-18T19:56:47Z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ae5021b3-af66-4507-899d-3c644e84b750</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