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440"/>
        <w:gridCol w:w="6120"/>
      </w:tblGrid>
      <w:tr w:rsidR="00EC2CD3" w14:paraId="389841D4" w14:textId="77777777">
        <w:tblPrEx>
          <w:tblCellMar>
            <w:top w:w="0" w:type="dxa"/>
            <w:bottom w:w="0" w:type="dxa"/>
          </w:tblCellMar>
        </w:tblPrEx>
        <w:tc>
          <w:tcPr>
            <w:tcW w:w="1620" w:type="dxa"/>
            <w:tcBorders>
              <w:bottom w:val="single" w:sz="4" w:space="0" w:color="auto"/>
            </w:tcBorders>
            <w:shd w:val="clear" w:color="auto" w:fill="FFFFFF"/>
            <w:vAlign w:val="center"/>
          </w:tcPr>
          <w:p w14:paraId="5772FBC8" w14:textId="77777777" w:rsidR="00EC2CD3" w:rsidRDefault="00EC2CD3" w:rsidP="00EC2CD3">
            <w:pPr>
              <w:pStyle w:val="Header"/>
              <w:rPr>
                <w:rFonts w:ascii="Verdana" w:hAnsi="Verdana"/>
                <w:sz w:val="22"/>
              </w:rPr>
            </w:pPr>
            <w:r>
              <w:t>NOGRR Number</w:t>
            </w:r>
          </w:p>
        </w:tc>
        <w:tc>
          <w:tcPr>
            <w:tcW w:w="1260" w:type="dxa"/>
            <w:tcBorders>
              <w:bottom w:val="single" w:sz="4" w:space="0" w:color="auto"/>
            </w:tcBorders>
            <w:vAlign w:val="center"/>
          </w:tcPr>
          <w:p w14:paraId="7131FE1F" w14:textId="01F0A122" w:rsidR="00EC2CD3" w:rsidRDefault="00EC2CD3" w:rsidP="00EC2CD3">
            <w:pPr>
              <w:pStyle w:val="Header"/>
            </w:pPr>
            <w:hyperlink r:id="rId7">
              <w:r>
                <w:rPr>
                  <w:rFonts w:eastAsia="Arial" w:cs="Arial"/>
                  <w:color w:val="0000FF"/>
                  <w:u w:val="single"/>
                </w:rPr>
                <w:t>289</w:t>
              </w:r>
            </w:hyperlink>
          </w:p>
        </w:tc>
        <w:tc>
          <w:tcPr>
            <w:tcW w:w="1440" w:type="dxa"/>
            <w:tcBorders>
              <w:bottom w:val="single" w:sz="4" w:space="0" w:color="auto"/>
            </w:tcBorders>
            <w:shd w:val="clear" w:color="auto" w:fill="FFFFFF"/>
            <w:vAlign w:val="center"/>
          </w:tcPr>
          <w:p w14:paraId="25EEDCA1" w14:textId="5D8001FF" w:rsidR="00EC2CD3" w:rsidRDefault="00EC2CD3" w:rsidP="00EC2CD3">
            <w:pPr>
              <w:pStyle w:val="Header"/>
            </w:pPr>
            <w:r>
              <w:rPr>
                <w:rFonts w:eastAsia="Arial" w:cs="Arial"/>
                <w:color w:val="000000"/>
              </w:rPr>
              <w:t>NOGRR Title</w:t>
            </w:r>
          </w:p>
        </w:tc>
        <w:tc>
          <w:tcPr>
            <w:tcW w:w="6120" w:type="dxa"/>
            <w:tcBorders>
              <w:bottom w:val="single" w:sz="4" w:space="0" w:color="auto"/>
            </w:tcBorders>
            <w:vAlign w:val="center"/>
          </w:tcPr>
          <w:p w14:paraId="5792DF95" w14:textId="12D96A2C" w:rsidR="00EC2CD3" w:rsidRDefault="00EC2CD3" w:rsidP="00EC2CD3">
            <w:pPr>
              <w:pStyle w:val="Header"/>
            </w:pPr>
            <w:r>
              <w:rPr>
                <w:rFonts w:eastAsia="Arial" w:cs="Arial"/>
                <w:color w:val="000000"/>
              </w:rPr>
              <w:t>Extension for LCL Cooling Load Ride-Through Compliance</w:t>
            </w:r>
          </w:p>
        </w:tc>
      </w:tr>
    </w:tbl>
    <w:p w14:paraId="44222EAB" w14:textId="77777777" w:rsidR="002771E6" w:rsidRDefault="002771E6"/>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52993" w14:paraId="68AB186B" w14:textId="77777777">
        <w:tblPrEx>
          <w:tblCellMar>
            <w:top w:w="0" w:type="dxa"/>
            <w:bottom w:w="0" w:type="dxa"/>
          </w:tblCellMar>
        </w:tblPrEx>
        <w:trPr>
          <w:trHeight w:val="440"/>
        </w:trPr>
        <w:tc>
          <w:tcPr>
            <w:tcW w:w="2880" w:type="dxa"/>
            <w:tcBorders>
              <w:top w:val="single" w:sz="4" w:space="0" w:color="auto"/>
              <w:left w:val="single" w:sz="4" w:space="0" w:color="auto"/>
              <w:bottom w:val="single" w:sz="4" w:space="0" w:color="auto"/>
              <w:right w:val="single" w:sz="4" w:space="0" w:color="auto"/>
            </w:tcBorders>
            <w:vAlign w:val="center"/>
          </w:tcPr>
          <w:p w14:paraId="39E26E11" w14:textId="77777777" w:rsidR="00152993" w:rsidRDefault="00152993">
            <w:pPr>
              <w:pStyle w:val="Header"/>
            </w:pPr>
            <w:r>
              <w:t>Date</w:t>
            </w:r>
          </w:p>
        </w:tc>
        <w:tc>
          <w:tcPr>
            <w:tcW w:w="7560" w:type="dxa"/>
            <w:tcBorders>
              <w:top w:val="single" w:sz="4" w:space="0" w:color="auto"/>
              <w:left w:val="single" w:sz="4" w:space="0" w:color="auto"/>
              <w:bottom w:val="single" w:sz="4" w:space="0" w:color="auto"/>
              <w:right w:val="single" w:sz="4" w:space="0" w:color="auto"/>
            </w:tcBorders>
            <w:vAlign w:val="center"/>
          </w:tcPr>
          <w:p w14:paraId="3EA55B44" w14:textId="0AB14E8B" w:rsidR="00152993" w:rsidRDefault="00EC2CD3">
            <w:pPr>
              <w:pStyle w:val="NormalArial"/>
            </w:pPr>
            <w:r>
              <w:t>August 7, 2026</w:t>
            </w:r>
          </w:p>
        </w:tc>
      </w:tr>
    </w:tbl>
    <w:p w14:paraId="06D49D1D" w14:textId="77777777" w:rsidR="002771E6" w:rsidRDefault="002771E6"/>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52993" w14:paraId="06BE77A6" w14:textId="77777777">
        <w:tblPrEx>
          <w:tblCellMar>
            <w:top w:w="0" w:type="dxa"/>
            <w:bottom w:w="0" w:type="dxa"/>
          </w:tblCellMar>
        </w:tblPrEx>
        <w:trPr>
          <w:trHeight w:val="440"/>
        </w:trPr>
        <w:tc>
          <w:tcPr>
            <w:tcW w:w="10440" w:type="dxa"/>
            <w:gridSpan w:val="2"/>
            <w:tcBorders>
              <w:top w:val="single" w:sz="4" w:space="0" w:color="auto"/>
            </w:tcBorders>
            <w:shd w:val="clear" w:color="auto" w:fill="FFFFFF"/>
            <w:vAlign w:val="center"/>
          </w:tcPr>
          <w:p w14:paraId="6D91A045" w14:textId="77777777" w:rsidR="00152993" w:rsidRDefault="00152993">
            <w:pPr>
              <w:pStyle w:val="Header"/>
              <w:jc w:val="center"/>
            </w:pPr>
            <w:r>
              <w:t>Submitter’s Information</w:t>
            </w:r>
          </w:p>
        </w:tc>
      </w:tr>
      <w:tr w:rsidR="00EC2CD3" w14:paraId="5F7008F6" w14:textId="77777777">
        <w:tblPrEx>
          <w:tblCellMar>
            <w:top w:w="0" w:type="dxa"/>
            <w:bottom w:w="0" w:type="dxa"/>
          </w:tblCellMar>
        </w:tblPrEx>
        <w:trPr>
          <w:trHeight w:val="350"/>
        </w:trPr>
        <w:tc>
          <w:tcPr>
            <w:tcW w:w="2880" w:type="dxa"/>
            <w:shd w:val="clear" w:color="auto" w:fill="FFFFFF"/>
            <w:vAlign w:val="center"/>
          </w:tcPr>
          <w:p w14:paraId="5400C317" w14:textId="77777777" w:rsidR="00EC2CD3" w:rsidRPr="00EC55B3" w:rsidRDefault="00EC2CD3" w:rsidP="00EC2CD3">
            <w:pPr>
              <w:pStyle w:val="Header"/>
            </w:pPr>
            <w:r w:rsidRPr="00EC55B3">
              <w:t>Name</w:t>
            </w:r>
          </w:p>
        </w:tc>
        <w:tc>
          <w:tcPr>
            <w:tcW w:w="7560" w:type="dxa"/>
            <w:vAlign w:val="center"/>
          </w:tcPr>
          <w:p w14:paraId="3C493481" w14:textId="0B49E8ED" w:rsidR="00EC2CD3" w:rsidRDefault="00EC2CD3" w:rsidP="00EC2CD3">
            <w:pPr>
              <w:pStyle w:val="NormalArial"/>
            </w:pPr>
            <w:r>
              <w:rPr>
                <w:rFonts w:eastAsia="Arial" w:cs="Arial"/>
                <w:color w:val="000000"/>
              </w:rPr>
              <w:t>Cameron Poursoltan</w:t>
            </w:r>
          </w:p>
        </w:tc>
      </w:tr>
      <w:tr w:rsidR="00EC2CD3" w14:paraId="6F957EC1" w14:textId="77777777">
        <w:tblPrEx>
          <w:tblCellMar>
            <w:top w:w="0" w:type="dxa"/>
            <w:bottom w:w="0" w:type="dxa"/>
          </w:tblCellMar>
        </w:tblPrEx>
        <w:trPr>
          <w:trHeight w:val="350"/>
        </w:trPr>
        <w:tc>
          <w:tcPr>
            <w:tcW w:w="2880" w:type="dxa"/>
            <w:shd w:val="clear" w:color="auto" w:fill="FFFFFF"/>
            <w:vAlign w:val="center"/>
          </w:tcPr>
          <w:p w14:paraId="6814A5DF" w14:textId="77777777" w:rsidR="00EC2CD3" w:rsidRPr="00EC55B3" w:rsidRDefault="00EC2CD3" w:rsidP="00EC2CD3">
            <w:pPr>
              <w:pStyle w:val="Header"/>
            </w:pPr>
            <w:r w:rsidRPr="00EC55B3">
              <w:t>E-mail Address</w:t>
            </w:r>
          </w:p>
        </w:tc>
        <w:tc>
          <w:tcPr>
            <w:tcW w:w="7560" w:type="dxa"/>
            <w:vAlign w:val="center"/>
          </w:tcPr>
          <w:p w14:paraId="7B2C5A6A" w14:textId="2D798AE4" w:rsidR="00EC2CD3" w:rsidRDefault="00EC2CD3" w:rsidP="00EC2CD3">
            <w:pPr>
              <w:pStyle w:val="NormalArial"/>
            </w:pPr>
            <w:hyperlink r:id="rId8" w:history="1">
              <w:r w:rsidRPr="00346615">
                <w:rPr>
                  <w:rStyle w:val="Hyperlink"/>
                  <w:rFonts w:eastAsia="Arial" w:cs="Arial"/>
                </w:rPr>
                <w:t>cameron@datacentercoalition.org</w:t>
              </w:r>
            </w:hyperlink>
          </w:p>
        </w:tc>
      </w:tr>
      <w:tr w:rsidR="00EC2CD3" w14:paraId="10813B66" w14:textId="77777777">
        <w:tblPrEx>
          <w:tblCellMar>
            <w:top w:w="0" w:type="dxa"/>
            <w:bottom w:w="0" w:type="dxa"/>
          </w:tblCellMar>
        </w:tblPrEx>
        <w:trPr>
          <w:trHeight w:val="350"/>
        </w:trPr>
        <w:tc>
          <w:tcPr>
            <w:tcW w:w="2880" w:type="dxa"/>
            <w:shd w:val="clear" w:color="auto" w:fill="FFFFFF"/>
            <w:vAlign w:val="center"/>
          </w:tcPr>
          <w:p w14:paraId="552CA1D5" w14:textId="77777777" w:rsidR="00EC2CD3" w:rsidRPr="00EC55B3" w:rsidRDefault="00EC2CD3" w:rsidP="00EC2CD3">
            <w:pPr>
              <w:pStyle w:val="Header"/>
            </w:pPr>
            <w:r w:rsidRPr="00EC55B3">
              <w:t>Company</w:t>
            </w:r>
          </w:p>
        </w:tc>
        <w:tc>
          <w:tcPr>
            <w:tcW w:w="7560" w:type="dxa"/>
            <w:vAlign w:val="center"/>
          </w:tcPr>
          <w:p w14:paraId="2C493BA0" w14:textId="2AD2088C" w:rsidR="00EC2CD3" w:rsidRDefault="00EC2CD3" w:rsidP="00EC2CD3">
            <w:pPr>
              <w:pStyle w:val="NormalArial"/>
            </w:pPr>
            <w:r>
              <w:rPr>
                <w:rFonts w:eastAsia="Arial" w:cs="Arial"/>
                <w:color w:val="000000"/>
              </w:rPr>
              <w:t>Data Center Coalition (DCC)</w:t>
            </w:r>
          </w:p>
        </w:tc>
      </w:tr>
      <w:tr w:rsidR="00EC2CD3" w14:paraId="1D7DDDF3" w14:textId="77777777">
        <w:tblPrEx>
          <w:tblCellMar>
            <w:top w:w="0" w:type="dxa"/>
            <w:bottom w:w="0" w:type="dxa"/>
          </w:tblCellMar>
        </w:tblPrEx>
        <w:trPr>
          <w:trHeight w:val="350"/>
        </w:trPr>
        <w:tc>
          <w:tcPr>
            <w:tcW w:w="2880" w:type="dxa"/>
            <w:tcBorders>
              <w:bottom w:val="single" w:sz="4" w:space="0" w:color="auto"/>
            </w:tcBorders>
            <w:shd w:val="clear" w:color="auto" w:fill="FFFFFF"/>
            <w:vAlign w:val="center"/>
          </w:tcPr>
          <w:p w14:paraId="48D07C77" w14:textId="77777777" w:rsidR="00EC2CD3" w:rsidRPr="00EC55B3" w:rsidRDefault="00EC2CD3" w:rsidP="00EC2CD3">
            <w:pPr>
              <w:pStyle w:val="Header"/>
            </w:pPr>
            <w:r w:rsidRPr="00EC55B3">
              <w:t>Phone Number</w:t>
            </w:r>
          </w:p>
        </w:tc>
        <w:tc>
          <w:tcPr>
            <w:tcW w:w="7560" w:type="dxa"/>
            <w:tcBorders>
              <w:bottom w:val="single" w:sz="4" w:space="0" w:color="auto"/>
            </w:tcBorders>
            <w:vAlign w:val="center"/>
          </w:tcPr>
          <w:p w14:paraId="0143B4DB" w14:textId="569EB3C8" w:rsidR="00EC2CD3" w:rsidRDefault="00EC2CD3" w:rsidP="00EC2CD3">
            <w:pPr>
              <w:pStyle w:val="NormalArial"/>
            </w:pPr>
            <w:r>
              <w:rPr>
                <w:rFonts w:eastAsia="Arial" w:cs="Arial"/>
              </w:rPr>
              <w:t>713-894-9933</w:t>
            </w:r>
          </w:p>
        </w:tc>
      </w:tr>
      <w:tr w:rsidR="00EC2CD3" w14:paraId="5FB7AEEA" w14:textId="77777777">
        <w:tblPrEx>
          <w:tblCellMar>
            <w:top w:w="0" w:type="dxa"/>
            <w:bottom w:w="0" w:type="dxa"/>
          </w:tblCellMar>
        </w:tblPrEx>
        <w:trPr>
          <w:trHeight w:val="350"/>
        </w:trPr>
        <w:tc>
          <w:tcPr>
            <w:tcW w:w="2880" w:type="dxa"/>
            <w:shd w:val="clear" w:color="auto" w:fill="FFFFFF"/>
            <w:vAlign w:val="center"/>
          </w:tcPr>
          <w:p w14:paraId="00B86316" w14:textId="77777777" w:rsidR="00EC2CD3" w:rsidRPr="00EC55B3" w:rsidRDefault="00EC2CD3" w:rsidP="00EC2CD3">
            <w:pPr>
              <w:pStyle w:val="Header"/>
            </w:pPr>
            <w:r>
              <w:t>Cell</w:t>
            </w:r>
            <w:r w:rsidRPr="00EC55B3">
              <w:t xml:space="preserve"> Number</w:t>
            </w:r>
          </w:p>
        </w:tc>
        <w:tc>
          <w:tcPr>
            <w:tcW w:w="7560" w:type="dxa"/>
            <w:vAlign w:val="center"/>
          </w:tcPr>
          <w:p w14:paraId="3CBDFDA0" w14:textId="77777777" w:rsidR="00EC2CD3" w:rsidRDefault="00EC2CD3" w:rsidP="00EC2CD3">
            <w:pPr>
              <w:pStyle w:val="NormalArial"/>
            </w:pPr>
          </w:p>
        </w:tc>
      </w:tr>
      <w:tr w:rsidR="00EC2CD3" w14:paraId="08CDA4A0" w14:textId="77777777">
        <w:tblPrEx>
          <w:tblCellMar>
            <w:top w:w="0" w:type="dxa"/>
            <w:bottom w:w="0" w:type="dxa"/>
          </w:tblCellMar>
        </w:tblPrEx>
        <w:trPr>
          <w:trHeight w:val="350"/>
        </w:trPr>
        <w:tc>
          <w:tcPr>
            <w:tcW w:w="2880" w:type="dxa"/>
            <w:tcBorders>
              <w:bottom w:val="single" w:sz="4" w:space="0" w:color="auto"/>
            </w:tcBorders>
            <w:shd w:val="clear" w:color="auto" w:fill="FFFFFF"/>
            <w:vAlign w:val="center"/>
          </w:tcPr>
          <w:p w14:paraId="24BE3528" w14:textId="77777777" w:rsidR="00EC2CD3" w:rsidRPr="00EC55B3" w:rsidDel="00075A94" w:rsidRDefault="00EC2CD3" w:rsidP="00EC2CD3">
            <w:pPr>
              <w:pStyle w:val="Header"/>
            </w:pPr>
            <w:r>
              <w:t>Market Segment</w:t>
            </w:r>
          </w:p>
        </w:tc>
        <w:tc>
          <w:tcPr>
            <w:tcW w:w="7560" w:type="dxa"/>
            <w:tcBorders>
              <w:bottom w:val="single" w:sz="4" w:space="0" w:color="auto"/>
            </w:tcBorders>
            <w:vAlign w:val="center"/>
          </w:tcPr>
          <w:p w14:paraId="3009F375" w14:textId="2163E017" w:rsidR="00EC2CD3" w:rsidRDefault="00EC2CD3" w:rsidP="00EC2CD3">
            <w:pPr>
              <w:pStyle w:val="NormalArial"/>
            </w:pPr>
            <w:r>
              <w:rPr>
                <w:rFonts w:eastAsia="Arial" w:cs="Arial"/>
              </w:rPr>
              <w:t>Industrial Consumer</w:t>
            </w:r>
          </w:p>
        </w:tc>
      </w:tr>
    </w:tbl>
    <w:p w14:paraId="3A4535EF" w14:textId="77777777" w:rsidR="00EE7E85" w:rsidRDefault="00EE7E85">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EE7E85" w14:paraId="1DC77F41" w14:textId="77777777" w:rsidTr="00BC2503">
        <w:tblPrEx>
          <w:tblCellMar>
            <w:top w:w="0" w:type="dxa"/>
            <w:bottom w:w="0" w:type="dxa"/>
          </w:tblCellMar>
        </w:tblPrEx>
        <w:trPr>
          <w:trHeight w:val="350"/>
        </w:trPr>
        <w:tc>
          <w:tcPr>
            <w:tcW w:w="10440" w:type="dxa"/>
            <w:tcBorders>
              <w:bottom w:val="single" w:sz="4" w:space="0" w:color="auto"/>
            </w:tcBorders>
            <w:shd w:val="clear" w:color="auto" w:fill="FFFFFF"/>
            <w:vAlign w:val="center"/>
          </w:tcPr>
          <w:p w14:paraId="55183C20" w14:textId="62375B41" w:rsidR="00EE7E85" w:rsidRDefault="00EE7E85" w:rsidP="00BC2503">
            <w:pPr>
              <w:pStyle w:val="Header"/>
              <w:jc w:val="center"/>
            </w:pPr>
            <w:r>
              <w:t>Comments</w:t>
            </w:r>
          </w:p>
        </w:tc>
      </w:tr>
    </w:tbl>
    <w:p w14:paraId="59F0A5B3" w14:textId="77777777" w:rsidR="00EC2CD3" w:rsidRDefault="00EC2CD3" w:rsidP="00EC2CD3">
      <w:pPr>
        <w:pStyle w:val="NormalArial"/>
        <w:spacing w:before="120" w:after="120"/>
      </w:pPr>
      <w:r>
        <w:t xml:space="preserve">The Data Center Coalition (DCC) is the national membership association for the data center industry, representing leading data center owners and operators who maintain data center infrastructure across the country and globe, as well as companies that lease large amounts of data center capacity. DCC empowers and champions the data center community through public policy advocacy, thought leadership, stakeholder outreach, and community engagement. A vast majority of DCC member companies have teams, operations, and infrastructure in the Lone Star State, and thirteen companies are proudly headquartered within </w:t>
      </w:r>
      <w:proofErr w:type="gramStart"/>
      <w:r>
        <w:t>its</w:t>
      </w:r>
      <w:proofErr w:type="gramEnd"/>
      <w:r>
        <w:t xml:space="preserve"> borders.</w:t>
      </w:r>
    </w:p>
    <w:p w14:paraId="00119B2C" w14:textId="3305C356" w:rsidR="00EC2CD3" w:rsidRDefault="00EC2CD3" w:rsidP="00EC2CD3">
      <w:pPr>
        <w:pStyle w:val="NormalArial"/>
        <w:spacing w:before="120" w:after="120"/>
      </w:pPr>
      <w:r>
        <w:t xml:space="preserve">As noted in DCC's prior comments on </w:t>
      </w:r>
      <w:r>
        <w:t>Nodal Operating Guide Revision Request (</w:t>
      </w:r>
      <w:r>
        <w:t>NOGRR</w:t>
      </w:r>
      <w:r>
        <w:t>)</w:t>
      </w:r>
      <w:r>
        <w:t xml:space="preserve"> 282, </w:t>
      </w:r>
      <w:r w:rsidRPr="00EC2CD3">
        <w:t>Board Priority - Large Computational Load Ride-Through Requirements</w:t>
      </w:r>
      <w:r>
        <w:t xml:space="preserve">, </w:t>
      </w:r>
      <w:r>
        <w:t>DCC members have facilities that are already designed and will need to be redesigned to meet the requirements set out in that proceeding. For this reason, DCC supports the NOGRR289.</w:t>
      </w:r>
    </w:p>
    <w:p w14:paraId="3E7AA3FA" w14:textId="77777777" w:rsidR="00EC2CD3" w:rsidRDefault="00EC2CD3" w:rsidP="00EC2CD3">
      <w:pPr>
        <w:pStyle w:val="NormalArial"/>
        <w:spacing w:before="120" w:after="120"/>
      </w:pPr>
      <w:r>
        <w:t xml:space="preserve">Like all customers, the data center industry depends on reliable electricity service to fulfill its role as a vital backbone of the modern economy. In turn, data centers offer numerous reliability benefits to the grid, including significant investments in new energy resources and next-generation technologies. </w:t>
      </w:r>
    </w:p>
    <w:p w14:paraId="01F1821F" w14:textId="3B4FDA74" w:rsidR="00EC2CD3" w:rsidRDefault="00EC2CD3" w:rsidP="00EC2CD3">
      <w:pPr>
        <w:pStyle w:val="NormalArial"/>
        <w:spacing w:before="120" w:after="120"/>
      </w:pPr>
      <w:r>
        <w:t xml:space="preserve">As detailed by SB Energy, </w:t>
      </w:r>
      <w:r>
        <w:t>L</w:t>
      </w:r>
      <w:r>
        <w:t xml:space="preserve">arge </w:t>
      </w:r>
      <w:r>
        <w:t>L</w:t>
      </w:r>
      <w:r>
        <w:t xml:space="preserve">oad customers face operational challenges in complying with voltage ride-through (VRT) requirements given the availability and demonstrated capability of cooling-load equipment. NOGRR 282's effective date of November 14, 2025, requires several facilities to come into immediate compliance, yet equipment currently on the market was not designed to meet these requirements. The industry needs additional time to work with equipment manufacturers and facility developers to develop compliant solutions. If NOGRR289 is adopted, DCC recommends that ERCOT clarify how the 365-day period applies to phased facilities. For a campus in which separate buildings, substations, or load blocks achieve Initial </w:t>
      </w:r>
      <w:r>
        <w:lastRenderedPageBreak/>
        <w:t>Energization at different times, the compliance period should apply separately to each independently energized phase or load block.</w:t>
      </w:r>
    </w:p>
    <w:p w14:paraId="29198746" w14:textId="017C7374" w:rsidR="00EC2CD3" w:rsidRDefault="00EC2CD3" w:rsidP="00EC2CD3">
      <w:pPr>
        <w:pStyle w:val="NormalArial"/>
        <w:spacing w:before="120" w:after="120"/>
      </w:pPr>
      <w:r>
        <w:t xml:space="preserve">The affected cooling systems extend beyond chillers and Variable Frequency Drive equipment (“VFDs”) and may include pumps, fans, cooling towers, controls, protection systems, and other associated mechanical and electrical equipment. Achieving compliant performance therefore requires coordinated engineering, equipment validation, protection review, and integrated commissioning. Requiring customers to deploy untested control logic or protection settings on an accelerated basis could create equipment-safety concerns, unstable load recovery, or a greater simultaneous loss of load, the opposite of NOGRR282’s reliability objective. DCC supports requiring an affected customer to maintain a documented path to compliance, </w:t>
      </w:r>
      <w:proofErr w:type="gramStart"/>
      <w:r>
        <w:t>provided that</w:t>
      </w:r>
      <w:proofErr w:type="gramEnd"/>
      <w:r>
        <w:t xml:space="preserve"> submission or ERCOT approval of such a plan does not become a separate prerequisite to Initial Energization. </w:t>
      </w:r>
    </w:p>
    <w:p w14:paraId="5367621F" w14:textId="1E65DE6B" w:rsidR="00EC2CD3" w:rsidRDefault="00EC2CD3" w:rsidP="00EC2CD3">
      <w:pPr>
        <w:pStyle w:val="NormalArial"/>
        <w:spacing w:before="120" w:after="120"/>
      </w:pPr>
      <w:r>
        <w:t xml:space="preserve">We also note that as NOGRR282 is currently written, it only provides exclusions for mechanical system ride-through below 0.35Vpu. Existing VFD </w:t>
      </w:r>
      <w:proofErr w:type="gramStart"/>
      <w:r>
        <w:t>design makes</w:t>
      </w:r>
      <w:proofErr w:type="gramEnd"/>
      <w:r>
        <w:t xml:space="preserve"> this technically challenging as VFDs do not have internal energy sources to augment incoming power during low-voltage events. Existing VFDs are often only designed for 150% current overload (corresponding to a Vpu dip to 0.67Vpu). Additionally, VFDs possess internal protection for voltage sags which may or may not be configurable and will shut down the VFD below a certain voltage threshold to protect the electronics (often below 0.7Vpu, but dependent on the manufacturer). Further, since VFDs do not limit incoming current for undervoltage protection, their ride-through capability is dependent on the design of the incoming protection systems, which may trip on overcurrent even if no undervoltage threshold exists.</w:t>
      </w:r>
    </w:p>
    <w:p w14:paraId="402C1A00" w14:textId="77777777" w:rsidR="00EC2CD3" w:rsidRDefault="00EC2CD3" w:rsidP="00EC2CD3">
      <w:pPr>
        <w:pStyle w:val="NormalArial"/>
        <w:spacing w:before="120" w:after="120"/>
      </w:pPr>
      <w:r>
        <w:t xml:space="preserve">The final language should also allow ERCOT to approve a reasonable additional period where a customer demonstrates that compliance cannot be achieved within 365 days because of documented manufacturing lead times, certification delays, field-testing limitations, or other circumstances beyond the customer’s reasonable control. ERCOT should establish a clear and practicable process for demonstrating compliance, including </w:t>
      </w:r>
      <w:proofErr w:type="gramStart"/>
      <w:r>
        <w:t>the manufacturer</w:t>
      </w:r>
      <w:proofErr w:type="gramEnd"/>
      <w:r>
        <w:t xml:space="preserve"> documentation, engineering analyses, commissioning records, or test results that will be accepted. Applying new ride-through standards prospectively, rather than retrofitting projects already underway, would allow large customers to plan facilities around the new requirements from the outset.</w:t>
      </w:r>
    </w:p>
    <w:p w14:paraId="51FB9CF8" w14:textId="11A0BBBE" w:rsidR="0055032D" w:rsidRDefault="00EC2CD3" w:rsidP="00EC2CD3">
      <w:pPr>
        <w:pStyle w:val="NormalArial"/>
        <w:spacing w:before="120" w:after="120"/>
      </w:pPr>
      <w:r>
        <w:t xml:space="preserve">Absent the additional time provided under NOGRR289, several projects may face delays in study approvals or Initial Energization, or may require substantial equipment replacement, controls modifications, protection-system changes, re-commissioning, and integrated facility testing, adding material time and cost. This burden falls heavily on facilities already in the interconnection queue, many of which are partially or fully constructed and were designed before these requirements existed. Complying with any ride-through requirement is an engineering challenge that can take months or years to solve, and an extension would give large customers time to meet NOGRR282's objective rather than rushing to meet the appearance of compliance. DCC is committed to being a collaborative partner in meeting Texas's energy demand and reliability goals </w:t>
      </w:r>
      <w:r>
        <w:lastRenderedPageBreak/>
        <w:t>and looks forward to continued engagement with the Commission, utilities, customers, and other stakeholders in Texas.</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5032D" w14:paraId="701F379F" w14:textId="77777777" w:rsidTr="004D37D7">
        <w:tblPrEx>
          <w:tblCellMar>
            <w:top w:w="0" w:type="dxa"/>
            <w:bottom w:w="0" w:type="dxa"/>
          </w:tblCellMar>
        </w:tblPrEx>
        <w:trPr>
          <w:trHeight w:val="350"/>
        </w:trPr>
        <w:tc>
          <w:tcPr>
            <w:tcW w:w="10440" w:type="dxa"/>
            <w:tcBorders>
              <w:bottom w:val="single" w:sz="4" w:space="0" w:color="auto"/>
            </w:tcBorders>
            <w:shd w:val="clear" w:color="auto" w:fill="FFFFFF"/>
            <w:vAlign w:val="center"/>
          </w:tcPr>
          <w:p w14:paraId="3CC1C13E" w14:textId="77777777" w:rsidR="0055032D" w:rsidRDefault="0055032D" w:rsidP="004D37D7">
            <w:pPr>
              <w:pStyle w:val="Header"/>
              <w:jc w:val="center"/>
            </w:pPr>
            <w:r>
              <w:t>Revised Cover Page Language</w:t>
            </w:r>
          </w:p>
        </w:tc>
      </w:tr>
    </w:tbl>
    <w:p w14:paraId="52DA3428" w14:textId="0D07B81B" w:rsidR="00152993" w:rsidRDefault="00EC2CD3" w:rsidP="00EC2CD3">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2F94D05B" w14:textId="77777777">
        <w:tblPrEx>
          <w:tblCellMar>
            <w:top w:w="0" w:type="dxa"/>
            <w:bottom w:w="0" w:type="dxa"/>
          </w:tblCellMar>
        </w:tblPrEx>
        <w:trPr>
          <w:trHeight w:val="350"/>
        </w:trPr>
        <w:tc>
          <w:tcPr>
            <w:tcW w:w="10440" w:type="dxa"/>
            <w:tcBorders>
              <w:bottom w:val="single" w:sz="4" w:space="0" w:color="auto"/>
            </w:tcBorders>
            <w:shd w:val="clear" w:color="auto" w:fill="FFFFFF"/>
            <w:vAlign w:val="center"/>
          </w:tcPr>
          <w:p w14:paraId="180FC211" w14:textId="77777777" w:rsidR="00152993" w:rsidRDefault="00152993">
            <w:pPr>
              <w:pStyle w:val="Header"/>
              <w:jc w:val="center"/>
            </w:pPr>
            <w:r>
              <w:t xml:space="preserve">Revised Proposed </w:t>
            </w:r>
            <w:r w:rsidR="00C158EE">
              <w:t xml:space="preserve">Guide </w:t>
            </w:r>
            <w:r>
              <w:t>Language</w:t>
            </w:r>
          </w:p>
        </w:tc>
      </w:tr>
    </w:tbl>
    <w:p w14:paraId="4A9AF0DE" w14:textId="12504C90" w:rsidR="00152993" w:rsidRDefault="00EC2CD3" w:rsidP="00EC2CD3">
      <w:pPr>
        <w:pStyle w:val="NormalArial"/>
        <w:spacing w:before="120" w:after="120"/>
      </w:pPr>
      <w:r>
        <w:t>None</w:t>
      </w:r>
    </w:p>
    <w:sectPr w:rsidR="00152993" w:rsidSect="0074209E">
      <w:headerReference w:type="default"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29A0D" w14:textId="77777777" w:rsidR="00CD2325" w:rsidRDefault="00CD2325">
      <w:r>
        <w:separator/>
      </w:r>
    </w:p>
  </w:endnote>
  <w:endnote w:type="continuationSeparator" w:id="0">
    <w:p w14:paraId="279F8925" w14:textId="77777777" w:rsidR="00CD2325" w:rsidRDefault="00CD2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D9D0" w14:textId="3EBCBDD2" w:rsidR="003D0994" w:rsidRDefault="007F4D61" w:rsidP="0074209E">
    <w:pPr>
      <w:pStyle w:val="Footer"/>
      <w:tabs>
        <w:tab w:val="clear" w:pos="4320"/>
        <w:tab w:val="clear" w:pos="8640"/>
        <w:tab w:val="right" w:pos="9360"/>
      </w:tabs>
      <w:rPr>
        <w:rFonts w:ascii="Arial" w:hAnsi="Arial"/>
        <w:sz w:val="18"/>
      </w:rPr>
    </w:pPr>
    <w:r>
      <w:rPr>
        <w:rFonts w:ascii="Arial" w:hAnsi="Arial"/>
        <w:sz w:val="18"/>
      </w:rPr>
      <w:fldChar w:fldCharType="begin"/>
    </w:r>
    <w:r>
      <w:rPr>
        <w:rFonts w:ascii="Arial" w:hAnsi="Arial"/>
        <w:sz w:val="18"/>
      </w:rPr>
      <w:instrText xml:space="preserve"> FILENAME   \* MERGEFORMAT </w:instrText>
    </w:r>
    <w:r>
      <w:rPr>
        <w:rFonts w:ascii="Arial" w:hAnsi="Arial"/>
        <w:sz w:val="18"/>
      </w:rPr>
      <w:fldChar w:fldCharType="separate"/>
    </w:r>
    <w:r w:rsidR="00EE7E85">
      <w:rPr>
        <w:rFonts w:ascii="Arial" w:hAnsi="Arial"/>
        <w:noProof/>
        <w:sz w:val="18"/>
      </w:rPr>
      <w:t>289NOGRR-04 Data Center Coalition Comments 080726</w:t>
    </w:r>
    <w:r>
      <w:rPr>
        <w:rFonts w:ascii="Arial" w:hAnsi="Arial"/>
        <w:sz w:val="18"/>
      </w:rPr>
      <w:fldChar w:fldCharType="end"/>
    </w:r>
    <w:r w:rsidR="003D0994">
      <w:rPr>
        <w:rFonts w:ascii="Arial" w:hAnsi="Arial"/>
        <w:sz w:val="18"/>
      </w:rPr>
      <w:tab/>
      <w:t xml:space="preserve">Page </w:t>
    </w:r>
    <w:r w:rsidR="003D0994">
      <w:rPr>
        <w:rFonts w:ascii="Arial" w:hAnsi="Arial"/>
        <w:sz w:val="18"/>
      </w:rPr>
      <w:fldChar w:fldCharType="begin"/>
    </w:r>
    <w:r w:rsidR="003D0994">
      <w:rPr>
        <w:rFonts w:ascii="Arial" w:hAnsi="Arial"/>
        <w:sz w:val="18"/>
      </w:rPr>
      <w:instrText xml:space="preserve"> PAGE </w:instrText>
    </w:r>
    <w:r w:rsidR="003D0994">
      <w:rPr>
        <w:rFonts w:ascii="Arial" w:hAnsi="Arial"/>
        <w:sz w:val="18"/>
      </w:rPr>
      <w:fldChar w:fldCharType="separate"/>
    </w:r>
    <w:r>
      <w:rPr>
        <w:rFonts w:ascii="Arial" w:hAnsi="Arial"/>
        <w:noProof/>
        <w:sz w:val="18"/>
      </w:rPr>
      <w:t>1</w:t>
    </w:r>
    <w:r w:rsidR="003D0994">
      <w:rPr>
        <w:rFonts w:ascii="Arial" w:hAnsi="Arial"/>
        <w:sz w:val="18"/>
      </w:rPr>
      <w:fldChar w:fldCharType="end"/>
    </w:r>
    <w:r w:rsidR="003D0994">
      <w:rPr>
        <w:rFonts w:ascii="Arial" w:hAnsi="Arial"/>
        <w:sz w:val="18"/>
      </w:rPr>
      <w:t xml:space="preserve"> of </w:t>
    </w:r>
    <w:r w:rsidR="003D0994">
      <w:rPr>
        <w:rFonts w:ascii="Arial" w:hAnsi="Arial"/>
        <w:sz w:val="18"/>
      </w:rPr>
      <w:fldChar w:fldCharType="begin"/>
    </w:r>
    <w:r w:rsidR="003D0994">
      <w:rPr>
        <w:rFonts w:ascii="Arial" w:hAnsi="Arial"/>
        <w:sz w:val="18"/>
      </w:rPr>
      <w:instrText xml:space="preserve"> NUMPAGES </w:instrText>
    </w:r>
    <w:r w:rsidR="003D0994">
      <w:rPr>
        <w:rFonts w:ascii="Arial" w:hAnsi="Arial"/>
        <w:sz w:val="18"/>
      </w:rPr>
      <w:fldChar w:fldCharType="separate"/>
    </w:r>
    <w:r>
      <w:rPr>
        <w:rFonts w:ascii="Arial" w:hAnsi="Arial"/>
        <w:noProof/>
        <w:sz w:val="18"/>
      </w:rPr>
      <w:t>1</w:t>
    </w:r>
    <w:r w:rsidR="003D0994">
      <w:rPr>
        <w:rFonts w:ascii="Arial" w:hAnsi="Arial"/>
        <w:sz w:val="18"/>
      </w:rPr>
      <w:fldChar w:fldCharType="end"/>
    </w:r>
  </w:p>
  <w:p w14:paraId="7722E5CA" w14:textId="77777777" w:rsidR="00FD08E8" w:rsidRDefault="00FD08E8" w:rsidP="003C405A">
    <w:pPr>
      <w:pStyle w:val="Footer"/>
      <w:tabs>
        <w:tab w:val="clear" w:pos="4320"/>
        <w:tab w:val="clear" w:pos="8640"/>
        <w:tab w:val="right" w:pos="9360"/>
      </w:tabs>
      <w:jc w:val="center"/>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0E98C" w14:textId="77777777" w:rsidR="00CD2325" w:rsidRDefault="00CD2325">
      <w:r>
        <w:separator/>
      </w:r>
    </w:p>
  </w:footnote>
  <w:footnote w:type="continuationSeparator" w:id="0">
    <w:p w14:paraId="44D18F8F" w14:textId="77777777" w:rsidR="00CD2325" w:rsidRDefault="00CD2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B5EE" w14:textId="77777777" w:rsidR="003D0994" w:rsidRDefault="00D825C5">
    <w:pPr>
      <w:pStyle w:val="Header"/>
      <w:jc w:val="center"/>
      <w:rPr>
        <w:sz w:val="32"/>
      </w:rPr>
    </w:pPr>
    <w:r>
      <w:rPr>
        <w:sz w:val="32"/>
      </w:rPr>
      <w:t>NOG</w:t>
    </w:r>
    <w:r w:rsidR="00C158EE">
      <w:rPr>
        <w:sz w:val="32"/>
      </w:rPr>
      <w:t xml:space="preserve">RR </w:t>
    </w:r>
    <w:r w:rsidR="003D0994">
      <w:rPr>
        <w:sz w:val="32"/>
      </w:rPr>
      <w:t>Comments</w:t>
    </w:r>
  </w:p>
  <w:p w14:paraId="47EA423A" w14:textId="77777777" w:rsidR="003D0994" w:rsidRDefault="003D0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32599773">
    <w:abstractNumId w:val="0"/>
  </w:num>
  <w:num w:numId="2" w16cid:durableId="476264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12122"/>
    <w:rsid w:val="00037668"/>
    <w:rsid w:val="00075A94"/>
    <w:rsid w:val="00132855"/>
    <w:rsid w:val="00152993"/>
    <w:rsid w:val="00170297"/>
    <w:rsid w:val="001A227D"/>
    <w:rsid w:val="001E2032"/>
    <w:rsid w:val="00237F13"/>
    <w:rsid w:val="002771E6"/>
    <w:rsid w:val="003010C0"/>
    <w:rsid w:val="00332A97"/>
    <w:rsid w:val="00350C00"/>
    <w:rsid w:val="00366113"/>
    <w:rsid w:val="003C270C"/>
    <w:rsid w:val="003C405A"/>
    <w:rsid w:val="003D0994"/>
    <w:rsid w:val="003E7D74"/>
    <w:rsid w:val="00423824"/>
    <w:rsid w:val="0043567D"/>
    <w:rsid w:val="004B7B90"/>
    <w:rsid w:val="004D37D7"/>
    <w:rsid w:val="004E2C19"/>
    <w:rsid w:val="0055032D"/>
    <w:rsid w:val="005D284C"/>
    <w:rsid w:val="00633E23"/>
    <w:rsid w:val="00673B94"/>
    <w:rsid w:val="00680AC6"/>
    <w:rsid w:val="006835D8"/>
    <w:rsid w:val="006C316E"/>
    <w:rsid w:val="006D0F7C"/>
    <w:rsid w:val="007269C4"/>
    <w:rsid w:val="00734EAF"/>
    <w:rsid w:val="0074209E"/>
    <w:rsid w:val="007B045B"/>
    <w:rsid w:val="007F2CA8"/>
    <w:rsid w:val="007F4D61"/>
    <w:rsid w:val="007F7161"/>
    <w:rsid w:val="0085559E"/>
    <w:rsid w:val="00896B1B"/>
    <w:rsid w:val="008E559E"/>
    <w:rsid w:val="00916080"/>
    <w:rsid w:val="00921A68"/>
    <w:rsid w:val="00960706"/>
    <w:rsid w:val="00A015C4"/>
    <w:rsid w:val="00A15172"/>
    <w:rsid w:val="00C0598D"/>
    <w:rsid w:val="00C11956"/>
    <w:rsid w:val="00C158EE"/>
    <w:rsid w:val="00C602E5"/>
    <w:rsid w:val="00C748FD"/>
    <w:rsid w:val="00CD2325"/>
    <w:rsid w:val="00D24DCF"/>
    <w:rsid w:val="00D4046E"/>
    <w:rsid w:val="00D825C5"/>
    <w:rsid w:val="00DD4739"/>
    <w:rsid w:val="00DE5F33"/>
    <w:rsid w:val="00E07B54"/>
    <w:rsid w:val="00E11F78"/>
    <w:rsid w:val="00E621E1"/>
    <w:rsid w:val="00EC2CD3"/>
    <w:rsid w:val="00EC55B3"/>
    <w:rsid w:val="00EE7E85"/>
    <w:rsid w:val="00F96FB2"/>
    <w:rsid w:val="00FB51D8"/>
    <w:rsid w:val="00FD08E8"/>
    <w:rsid w:val="00FE5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A46C9"/>
  <w15:chartTrackingRefBased/>
  <w15:docId w15:val="{FB4E9E43-34D3-4F18-9839-862B5A49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pPr>
      <w:tabs>
        <w:tab w:val="center" w:pos="4536"/>
      </w:tabs>
    </w:pP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basedOn w:val="DefaultParagraphFont"/>
    <w:uiPriority w:val="99"/>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ameron@datacentercoalition.org" TargetMode="External"/><Relationship Id="rId3" Type="http://schemas.openxmlformats.org/officeDocument/2006/relationships/settings" Target="settings.xml"/><Relationship Id="rId7" Type="http://schemas.openxmlformats.org/officeDocument/2006/relationships/hyperlink" Target="https://www.ercot.com/mktrules/issues/NOGRR28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904</Words>
  <Characters>5177</Characters>
  <Application>Microsoft Office Word</Application>
  <DocSecurity>0</DocSecurity>
  <Lines>304</Lines>
  <Paragraphs>164</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C Phillips</cp:lastModifiedBy>
  <cp:revision>3</cp:revision>
  <cp:lastPrinted>2001-06-20T16:28:00Z</cp:lastPrinted>
  <dcterms:created xsi:type="dcterms:W3CDTF">2026-08-07T20:17:00Z</dcterms:created>
  <dcterms:modified xsi:type="dcterms:W3CDTF">2026-08-07T20:18:00Z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2026-08-07T20:18:49Z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46003b51-a84e-4ea2-8a08-60cce80bef1e</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