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440"/>
        <w:gridCol w:w="6120"/>
      </w:tblGrid>
      <w:tr w:rsidR="00FC590C" w14:paraId="551661EF" w14:textId="77777777" w:rsidTr="001F35EC">
        <w:tc>
          <w:tcPr>
            <w:tcW w:w="1620" w:type="dxa"/>
            <w:tcBorders>
              <w:bottom w:val="single" w:sz="4" w:space="0" w:color="auto"/>
            </w:tcBorders>
            <w:shd w:val="clear" w:color="auto" w:fill="FFFFFF"/>
            <w:vAlign w:val="center"/>
          </w:tcPr>
          <w:p w14:paraId="7BDFA6DD" w14:textId="77777777" w:rsidR="00FC590C" w:rsidRDefault="00FC590C" w:rsidP="001F35EC">
            <w:pPr>
              <w:pStyle w:val="Header"/>
              <w:rPr>
                <w:rFonts w:ascii="Verdana" w:hAnsi="Verdana"/>
                <w:sz w:val="22"/>
              </w:rPr>
            </w:pPr>
            <w:r>
              <w:t>PGRR Number</w:t>
            </w:r>
          </w:p>
        </w:tc>
        <w:tc>
          <w:tcPr>
            <w:tcW w:w="1260" w:type="dxa"/>
            <w:tcBorders>
              <w:bottom w:val="single" w:sz="4" w:space="0" w:color="auto"/>
            </w:tcBorders>
            <w:vAlign w:val="center"/>
          </w:tcPr>
          <w:p w14:paraId="4E115F3A" w14:textId="77777777" w:rsidR="00FC590C" w:rsidRDefault="00FC590C" w:rsidP="008C62DD">
            <w:pPr>
              <w:pStyle w:val="Header"/>
              <w:jc w:val="center"/>
            </w:pPr>
            <w:hyperlink r:id="rId11" w:history="1">
              <w:r w:rsidRPr="00460A71">
                <w:rPr>
                  <w:rStyle w:val="Hyperlink"/>
                </w:rPr>
                <w:t>146</w:t>
              </w:r>
            </w:hyperlink>
          </w:p>
        </w:tc>
        <w:tc>
          <w:tcPr>
            <w:tcW w:w="1440" w:type="dxa"/>
            <w:tcBorders>
              <w:bottom w:val="single" w:sz="4" w:space="0" w:color="auto"/>
            </w:tcBorders>
            <w:shd w:val="clear" w:color="auto" w:fill="FFFFFF"/>
            <w:vAlign w:val="center"/>
          </w:tcPr>
          <w:p w14:paraId="0B7F0020" w14:textId="77777777" w:rsidR="00FC590C" w:rsidRDefault="00FC590C" w:rsidP="001F35EC">
            <w:pPr>
              <w:pStyle w:val="Header"/>
            </w:pPr>
            <w:r>
              <w:t>PGRR Title</w:t>
            </w:r>
          </w:p>
        </w:tc>
        <w:tc>
          <w:tcPr>
            <w:tcW w:w="6120" w:type="dxa"/>
            <w:tcBorders>
              <w:bottom w:val="single" w:sz="4" w:space="0" w:color="auto"/>
            </w:tcBorders>
            <w:vAlign w:val="center"/>
          </w:tcPr>
          <w:p w14:paraId="22348D1D" w14:textId="77777777" w:rsidR="00FC590C" w:rsidRDefault="00FC590C" w:rsidP="001F35EC">
            <w:pPr>
              <w:pStyle w:val="Header"/>
            </w:pPr>
            <w:r>
              <w:t>Rename Quarterly Stability Assessment and Modify the Assessment Schedule</w:t>
            </w:r>
          </w:p>
        </w:tc>
      </w:tr>
    </w:tbl>
    <w:p w14:paraId="67AC9D06" w14:textId="77777777" w:rsidR="00FC590C" w:rsidRDefault="00FC590C" w:rsidP="00FC590C"/>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FC590C" w14:paraId="52E2EEAB" w14:textId="77777777" w:rsidTr="001F35EC">
        <w:trPr>
          <w:trHeight w:val="440"/>
        </w:trPr>
        <w:tc>
          <w:tcPr>
            <w:tcW w:w="2880" w:type="dxa"/>
            <w:tcBorders>
              <w:top w:val="single" w:sz="4" w:space="0" w:color="auto"/>
              <w:left w:val="single" w:sz="4" w:space="0" w:color="auto"/>
              <w:bottom w:val="single" w:sz="4" w:space="0" w:color="auto"/>
              <w:right w:val="single" w:sz="4" w:space="0" w:color="auto"/>
            </w:tcBorders>
            <w:vAlign w:val="center"/>
          </w:tcPr>
          <w:p w14:paraId="6410DAED" w14:textId="77777777" w:rsidR="00FC590C" w:rsidRDefault="00FC590C" w:rsidP="001F35EC">
            <w:pPr>
              <w:pStyle w:val="Header"/>
            </w:pPr>
            <w:r>
              <w:t>Date</w:t>
            </w:r>
          </w:p>
        </w:tc>
        <w:tc>
          <w:tcPr>
            <w:tcW w:w="7560" w:type="dxa"/>
            <w:tcBorders>
              <w:top w:val="single" w:sz="4" w:space="0" w:color="auto"/>
              <w:left w:val="single" w:sz="4" w:space="0" w:color="auto"/>
              <w:bottom w:val="single" w:sz="4" w:space="0" w:color="auto"/>
              <w:right w:val="single" w:sz="4" w:space="0" w:color="auto"/>
            </w:tcBorders>
            <w:vAlign w:val="center"/>
          </w:tcPr>
          <w:p w14:paraId="75AB9794" w14:textId="1D1D025C" w:rsidR="00FC590C" w:rsidRDefault="00622C3E" w:rsidP="001F35EC">
            <w:pPr>
              <w:pStyle w:val="NormalArial"/>
            </w:pPr>
            <w:r>
              <w:t>August 5,</w:t>
            </w:r>
            <w:r w:rsidR="00FC590C">
              <w:t xml:space="preserve"> 2026</w:t>
            </w:r>
          </w:p>
        </w:tc>
      </w:tr>
    </w:tbl>
    <w:p w14:paraId="5E327FF8" w14:textId="77777777" w:rsidR="00FC590C" w:rsidRDefault="00FC590C" w:rsidP="00FC590C"/>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FC590C" w14:paraId="68C31EA6" w14:textId="77777777" w:rsidTr="001F35EC">
        <w:trPr>
          <w:trHeight w:val="440"/>
        </w:trPr>
        <w:tc>
          <w:tcPr>
            <w:tcW w:w="10440" w:type="dxa"/>
            <w:gridSpan w:val="2"/>
            <w:tcBorders>
              <w:top w:val="single" w:sz="4" w:space="0" w:color="auto"/>
            </w:tcBorders>
            <w:shd w:val="clear" w:color="auto" w:fill="FFFFFF"/>
            <w:vAlign w:val="center"/>
          </w:tcPr>
          <w:p w14:paraId="52643146" w14:textId="77777777" w:rsidR="00FC590C" w:rsidRDefault="00FC590C" w:rsidP="001F35EC">
            <w:pPr>
              <w:pStyle w:val="Header"/>
              <w:jc w:val="center"/>
            </w:pPr>
            <w:r>
              <w:t>Submitter’s Information</w:t>
            </w:r>
          </w:p>
        </w:tc>
      </w:tr>
      <w:tr w:rsidR="0006459A" w14:paraId="7FD659BD" w14:textId="77777777" w:rsidTr="001F35EC">
        <w:trPr>
          <w:trHeight w:val="350"/>
        </w:trPr>
        <w:tc>
          <w:tcPr>
            <w:tcW w:w="2880" w:type="dxa"/>
            <w:shd w:val="clear" w:color="auto" w:fill="FFFFFF"/>
            <w:vAlign w:val="center"/>
          </w:tcPr>
          <w:p w14:paraId="207BA671" w14:textId="77777777" w:rsidR="0006459A" w:rsidRPr="00EC55B3" w:rsidRDefault="0006459A" w:rsidP="0006459A">
            <w:pPr>
              <w:pStyle w:val="Header"/>
            </w:pPr>
            <w:r w:rsidRPr="00EC55B3">
              <w:t>Name</w:t>
            </w:r>
          </w:p>
        </w:tc>
        <w:tc>
          <w:tcPr>
            <w:tcW w:w="7560" w:type="dxa"/>
            <w:vAlign w:val="center"/>
          </w:tcPr>
          <w:p w14:paraId="42ACF240" w14:textId="26DD257E" w:rsidR="0006459A" w:rsidRDefault="0006459A" w:rsidP="0006459A">
            <w:pPr>
              <w:pStyle w:val="NormalArial"/>
            </w:pPr>
            <w:r w:rsidRPr="00D21547">
              <w:t>Judd Messer, Texas Vice President / Charlie Hemmeline, Senior Director</w:t>
            </w:r>
          </w:p>
        </w:tc>
      </w:tr>
      <w:tr w:rsidR="0006459A" w14:paraId="391E5766" w14:textId="77777777" w:rsidTr="001F35EC">
        <w:trPr>
          <w:trHeight w:val="350"/>
        </w:trPr>
        <w:tc>
          <w:tcPr>
            <w:tcW w:w="2880" w:type="dxa"/>
            <w:shd w:val="clear" w:color="auto" w:fill="FFFFFF"/>
            <w:vAlign w:val="center"/>
          </w:tcPr>
          <w:p w14:paraId="5D3D955B" w14:textId="77777777" w:rsidR="0006459A" w:rsidRPr="00EC55B3" w:rsidRDefault="0006459A" w:rsidP="0006459A">
            <w:pPr>
              <w:pStyle w:val="Header"/>
            </w:pPr>
            <w:r w:rsidRPr="00EC55B3">
              <w:t>E-mail Address</w:t>
            </w:r>
          </w:p>
        </w:tc>
        <w:tc>
          <w:tcPr>
            <w:tcW w:w="7560" w:type="dxa"/>
            <w:vAlign w:val="center"/>
          </w:tcPr>
          <w:p w14:paraId="1E979AE7" w14:textId="0D5AC07B" w:rsidR="0006459A" w:rsidRDefault="0006459A" w:rsidP="0006459A">
            <w:pPr>
              <w:pStyle w:val="NormalArial"/>
            </w:pPr>
            <w:hyperlink r:id="rId12" w:history="1">
              <w:r w:rsidRPr="00EB5C41">
                <w:rPr>
                  <w:rStyle w:val="Hyperlink"/>
                </w:rPr>
                <w:t>Judd.Messer@poweralliance.org</w:t>
              </w:r>
            </w:hyperlink>
            <w:r>
              <w:t xml:space="preserve"> </w:t>
            </w:r>
            <w:r w:rsidRPr="00D21547">
              <w:t xml:space="preserve">/ </w:t>
            </w:r>
            <w:hyperlink r:id="rId13" w:history="1">
              <w:r w:rsidRPr="00EB5C41">
                <w:rPr>
                  <w:rStyle w:val="Hyperlink"/>
                </w:rPr>
                <w:t>chemmeline@cleanpower.org</w:t>
              </w:r>
            </w:hyperlink>
            <w:r w:rsidRPr="00D21547">
              <w:t xml:space="preserve"> </w:t>
            </w:r>
          </w:p>
        </w:tc>
      </w:tr>
      <w:tr w:rsidR="0006459A" w14:paraId="51421AB6" w14:textId="77777777" w:rsidTr="001F35EC">
        <w:trPr>
          <w:trHeight w:val="350"/>
        </w:trPr>
        <w:tc>
          <w:tcPr>
            <w:tcW w:w="2880" w:type="dxa"/>
            <w:shd w:val="clear" w:color="auto" w:fill="FFFFFF"/>
            <w:vAlign w:val="center"/>
          </w:tcPr>
          <w:p w14:paraId="5C0BC8D5" w14:textId="77777777" w:rsidR="0006459A" w:rsidRPr="00EC55B3" w:rsidRDefault="0006459A" w:rsidP="0006459A">
            <w:pPr>
              <w:pStyle w:val="Header"/>
            </w:pPr>
            <w:r w:rsidRPr="00EC55B3">
              <w:t>Company</w:t>
            </w:r>
          </w:p>
        </w:tc>
        <w:tc>
          <w:tcPr>
            <w:tcW w:w="7560" w:type="dxa"/>
            <w:vAlign w:val="center"/>
          </w:tcPr>
          <w:p w14:paraId="4B2478FB" w14:textId="4F134037" w:rsidR="0006459A" w:rsidRDefault="0006459A" w:rsidP="0006459A">
            <w:pPr>
              <w:pStyle w:val="NormalArial"/>
            </w:pPr>
            <w:r w:rsidRPr="00D21547">
              <w:t>Advanced Power Alliance / American Clean Power Association</w:t>
            </w:r>
          </w:p>
        </w:tc>
      </w:tr>
      <w:tr w:rsidR="0006459A" w14:paraId="34A7166D" w14:textId="77777777" w:rsidTr="001F35EC">
        <w:trPr>
          <w:trHeight w:val="350"/>
        </w:trPr>
        <w:tc>
          <w:tcPr>
            <w:tcW w:w="2880" w:type="dxa"/>
            <w:tcBorders>
              <w:bottom w:val="single" w:sz="4" w:space="0" w:color="auto"/>
            </w:tcBorders>
            <w:shd w:val="clear" w:color="auto" w:fill="FFFFFF"/>
            <w:vAlign w:val="center"/>
          </w:tcPr>
          <w:p w14:paraId="700796AD" w14:textId="77777777" w:rsidR="0006459A" w:rsidRPr="00EC55B3" w:rsidRDefault="0006459A" w:rsidP="0006459A">
            <w:pPr>
              <w:pStyle w:val="Header"/>
            </w:pPr>
            <w:r w:rsidRPr="00EC55B3">
              <w:t>Phone Number</w:t>
            </w:r>
          </w:p>
        </w:tc>
        <w:tc>
          <w:tcPr>
            <w:tcW w:w="7560" w:type="dxa"/>
            <w:tcBorders>
              <w:bottom w:val="single" w:sz="4" w:space="0" w:color="auto"/>
            </w:tcBorders>
            <w:vAlign w:val="center"/>
          </w:tcPr>
          <w:p w14:paraId="6E2C4D87" w14:textId="1F8BA5BD" w:rsidR="0006459A" w:rsidRDefault="0006459A" w:rsidP="0006459A">
            <w:pPr>
              <w:pStyle w:val="NormalArial"/>
            </w:pPr>
            <w:r w:rsidRPr="00496728">
              <w:t>254-230-0620 / 202-383-2500</w:t>
            </w:r>
          </w:p>
        </w:tc>
      </w:tr>
      <w:tr w:rsidR="0006459A" w14:paraId="4FD13205" w14:textId="77777777" w:rsidTr="001F35EC">
        <w:trPr>
          <w:trHeight w:val="350"/>
        </w:trPr>
        <w:tc>
          <w:tcPr>
            <w:tcW w:w="2880" w:type="dxa"/>
            <w:shd w:val="clear" w:color="auto" w:fill="FFFFFF"/>
            <w:vAlign w:val="center"/>
          </w:tcPr>
          <w:p w14:paraId="09141A1C" w14:textId="77777777" w:rsidR="0006459A" w:rsidRPr="00EC55B3" w:rsidRDefault="0006459A" w:rsidP="0006459A">
            <w:pPr>
              <w:pStyle w:val="Header"/>
            </w:pPr>
            <w:r>
              <w:t>Cell</w:t>
            </w:r>
            <w:r w:rsidRPr="00EC55B3">
              <w:t xml:space="preserve"> Number</w:t>
            </w:r>
          </w:p>
        </w:tc>
        <w:tc>
          <w:tcPr>
            <w:tcW w:w="7560" w:type="dxa"/>
            <w:vAlign w:val="center"/>
          </w:tcPr>
          <w:p w14:paraId="633A54B9" w14:textId="4B620F6A" w:rsidR="0006459A" w:rsidRDefault="0006459A" w:rsidP="0006459A">
            <w:pPr>
              <w:pStyle w:val="NormalArial"/>
            </w:pPr>
          </w:p>
        </w:tc>
      </w:tr>
      <w:tr w:rsidR="0006459A" w14:paraId="7178D7D4" w14:textId="77777777" w:rsidTr="001F35EC">
        <w:trPr>
          <w:trHeight w:val="350"/>
        </w:trPr>
        <w:tc>
          <w:tcPr>
            <w:tcW w:w="2880" w:type="dxa"/>
            <w:tcBorders>
              <w:bottom w:val="single" w:sz="4" w:space="0" w:color="auto"/>
            </w:tcBorders>
            <w:shd w:val="clear" w:color="auto" w:fill="FFFFFF"/>
            <w:vAlign w:val="center"/>
          </w:tcPr>
          <w:p w14:paraId="2778CA7A" w14:textId="77777777" w:rsidR="0006459A" w:rsidRPr="00EC55B3" w:rsidDel="00075A94" w:rsidRDefault="0006459A" w:rsidP="0006459A">
            <w:pPr>
              <w:pStyle w:val="Header"/>
            </w:pPr>
            <w:r>
              <w:t>Market Segment</w:t>
            </w:r>
          </w:p>
        </w:tc>
        <w:tc>
          <w:tcPr>
            <w:tcW w:w="7560" w:type="dxa"/>
            <w:tcBorders>
              <w:bottom w:val="single" w:sz="4" w:space="0" w:color="auto"/>
            </w:tcBorders>
            <w:vAlign w:val="center"/>
          </w:tcPr>
          <w:p w14:paraId="5FFC69EF" w14:textId="7C6F72ED" w:rsidR="0006459A" w:rsidRDefault="0006459A" w:rsidP="0006459A">
            <w:pPr>
              <w:pStyle w:val="NormalArial"/>
            </w:pPr>
            <w:r>
              <w:t>Independent Generator</w:t>
            </w:r>
          </w:p>
        </w:tc>
      </w:tr>
    </w:tbl>
    <w:p w14:paraId="54D13182" w14:textId="77777777" w:rsidR="00FC590C" w:rsidRDefault="00FC590C" w:rsidP="00FC590C">
      <w:pPr>
        <w:pStyle w:val="NormalArial"/>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FC590C" w:rsidRPr="00F038EC" w14:paraId="5A855B99" w14:textId="77777777" w:rsidTr="001F35EC">
        <w:trPr>
          <w:trHeight w:val="422"/>
          <w:jc w:val="center"/>
        </w:trPr>
        <w:tc>
          <w:tcPr>
            <w:tcW w:w="10440" w:type="dxa"/>
            <w:vAlign w:val="center"/>
          </w:tcPr>
          <w:p w14:paraId="78651FE4" w14:textId="77777777" w:rsidR="00FC590C" w:rsidRPr="00075A94" w:rsidRDefault="00FC590C" w:rsidP="001F35EC">
            <w:pPr>
              <w:pStyle w:val="Header"/>
              <w:jc w:val="center"/>
            </w:pPr>
            <w:r w:rsidRPr="00075A94">
              <w:t>Comments</w:t>
            </w:r>
          </w:p>
        </w:tc>
      </w:tr>
    </w:tbl>
    <w:p w14:paraId="0C1865B1" w14:textId="657D24FE" w:rsidR="00622C3E" w:rsidRPr="00622C3E" w:rsidRDefault="00622C3E" w:rsidP="00622C3E">
      <w:pPr>
        <w:spacing w:before="120" w:after="120"/>
        <w:rPr>
          <w:rFonts w:ascii="Arial" w:hAnsi="Arial" w:cs="Arial"/>
        </w:rPr>
      </w:pPr>
      <w:r w:rsidRPr="00622C3E">
        <w:rPr>
          <w:rFonts w:ascii="Arial" w:hAnsi="Arial" w:cs="Arial"/>
        </w:rPr>
        <w:t>The Advanced Power Alliance (APA) and American Clean Power Association (ACP) submit these comments in response to the 8/03/26 ERCOT comments on Planning Guide Revision Request (PGRR)146</w:t>
      </w:r>
      <w:r>
        <w:rPr>
          <w:rFonts w:ascii="Arial" w:hAnsi="Arial" w:cs="Arial"/>
        </w:rPr>
        <w:t>,</w:t>
      </w:r>
      <w:r w:rsidRPr="00622C3E">
        <w:rPr>
          <w:rFonts w:ascii="Arial" w:hAnsi="Arial" w:cs="Arial"/>
        </w:rPr>
        <w:t xml:space="preserve"> Rename Quarterly Stability Study (QSA) and Modify the Assessment Schedule.</w:t>
      </w:r>
    </w:p>
    <w:p w14:paraId="1F01E575" w14:textId="77777777" w:rsidR="00622C3E" w:rsidRPr="00622C3E" w:rsidRDefault="00622C3E" w:rsidP="00622C3E">
      <w:pPr>
        <w:spacing w:before="120" w:after="120"/>
        <w:rPr>
          <w:rFonts w:ascii="Arial" w:hAnsi="Arial" w:cs="Arial"/>
        </w:rPr>
      </w:pPr>
    </w:p>
    <w:p w14:paraId="26CC8F26" w14:textId="77777777" w:rsidR="00622C3E" w:rsidRPr="00622C3E" w:rsidRDefault="00622C3E" w:rsidP="00622C3E">
      <w:pPr>
        <w:pStyle w:val="ListParagraph"/>
        <w:numPr>
          <w:ilvl w:val="0"/>
          <w:numId w:val="23"/>
        </w:numPr>
        <w:spacing w:before="120" w:after="120" w:line="240" w:lineRule="auto"/>
        <w:ind w:left="720"/>
        <w:rPr>
          <w:rFonts w:ascii="Arial" w:hAnsi="Arial" w:cs="Arial"/>
          <w:b/>
          <w:bCs/>
          <w:sz w:val="24"/>
          <w:szCs w:val="24"/>
          <w:u w:val="single"/>
        </w:rPr>
      </w:pPr>
      <w:r w:rsidRPr="00622C3E">
        <w:rPr>
          <w:rFonts w:ascii="Arial" w:hAnsi="Arial" w:cs="Arial"/>
          <w:b/>
          <w:bCs/>
          <w:sz w:val="24"/>
          <w:szCs w:val="24"/>
          <w:u w:val="single"/>
        </w:rPr>
        <w:t>Introduction</w:t>
      </w:r>
    </w:p>
    <w:p w14:paraId="5C7D0B17" w14:textId="7E6B7ECD" w:rsidR="00622C3E" w:rsidRPr="00622C3E" w:rsidRDefault="00622C3E" w:rsidP="00622C3E">
      <w:pPr>
        <w:spacing w:before="120" w:after="120"/>
        <w:rPr>
          <w:rFonts w:ascii="Arial" w:hAnsi="Arial" w:cs="Arial"/>
        </w:rPr>
      </w:pPr>
      <w:r w:rsidRPr="00622C3E">
        <w:rPr>
          <w:rFonts w:ascii="Arial" w:hAnsi="Arial" w:cs="Arial"/>
        </w:rPr>
        <w:t xml:space="preserve">APA and ACP submitted comments on PGRR146 on July 30, 2026, seven days in advance of the ERCOT Reliability and Operations (ROS) Subcommittee meeting to ensure they were available to stakeholders consistent with the long-standing practice of timely publication of stakeholder materials. </w:t>
      </w:r>
      <w:r>
        <w:rPr>
          <w:rFonts w:ascii="Arial" w:hAnsi="Arial" w:cs="Arial"/>
        </w:rPr>
        <w:t xml:space="preserve"> </w:t>
      </w:r>
      <w:r w:rsidRPr="00622C3E">
        <w:rPr>
          <w:rFonts w:ascii="Arial" w:hAnsi="Arial" w:cs="Arial"/>
        </w:rPr>
        <w:t xml:space="preserve">ERCOT published our comments on July 31, 2026 and filed its response on August 3, 2026. </w:t>
      </w:r>
      <w:r>
        <w:rPr>
          <w:rFonts w:ascii="Arial" w:hAnsi="Arial" w:cs="Arial"/>
        </w:rPr>
        <w:t xml:space="preserve"> </w:t>
      </w:r>
      <w:r w:rsidRPr="00622C3E">
        <w:rPr>
          <w:rFonts w:ascii="Arial" w:hAnsi="Arial" w:cs="Arial"/>
        </w:rPr>
        <w:t>We appreciate ERCOT’s quick response to our comments.</w:t>
      </w:r>
    </w:p>
    <w:p w14:paraId="0071E4E2" w14:textId="7CEC7CE0" w:rsidR="00622C3E" w:rsidRPr="00622C3E" w:rsidRDefault="00622C3E" w:rsidP="00622C3E">
      <w:pPr>
        <w:spacing w:before="120" w:after="120"/>
        <w:rPr>
          <w:rFonts w:ascii="Arial" w:hAnsi="Arial" w:cs="Arial"/>
        </w:rPr>
      </w:pPr>
      <w:r w:rsidRPr="00622C3E">
        <w:rPr>
          <w:rFonts w:ascii="Arial" w:hAnsi="Arial" w:cs="Arial"/>
        </w:rPr>
        <w:t xml:space="preserve">ERCOT states in its comments that APA and ACP “proposed language that fundamentally changes the purpose of the existing 45-day prerequisite by converting a submission deadline into an iterative review-and-cure process.” </w:t>
      </w:r>
      <w:r>
        <w:rPr>
          <w:rFonts w:ascii="Arial" w:hAnsi="Arial" w:cs="Arial"/>
        </w:rPr>
        <w:t xml:space="preserve"> </w:t>
      </w:r>
      <w:r w:rsidRPr="00622C3E">
        <w:rPr>
          <w:rFonts w:ascii="Arial" w:hAnsi="Arial" w:cs="Arial"/>
        </w:rPr>
        <w:t>However, we respectfully disagree with ERCOT’s characterization of our proposal.</w:t>
      </w:r>
    </w:p>
    <w:p w14:paraId="2C665AB7" w14:textId="4D08D611" w:rsidR="00622C3E" w:rsidRPr="00622C3E" w:rsidRDefault="00622C3E" w:rsidP="00622C3E">
      <w:pPr>
        <w:spacing w:before="120" w:after="120"/>
        <w:rPr>
          <w:rFonts w:ascii="Arial" w:hAnsi="Arial" w:cs="Arial"/>
        </w:rPr>
      </w:pPr>
      <w:r w:rsidRPr="00622C3E">
        <w:rPr>
          <w:rFonts w:ascii="Arial" w:hAnsi="Arial" w:cs="Arial"/>
        </w:rPr>
        <w:t xml:space="preserve">To clarify for both ERCOT and Stakeholders, we are </w:t>
      </w:r>
      <w:r w:rsidRPr="00622C3E">
        <w:rPr>
          <w:rFonts w:ascii="Arial" w:hAnsi="Arial" w:cs="Arial"/>
          <w:b/>
          <w:bCs/>
        </w:rPr>
        <w:t>not</w:t>
      </w:r>
      <w:r w:rsidRPr="00622C3E">
        <w:rPr>
          <w:rFonts w:ascii="Arial" w:hAnsi="Arial" w:cs="Arial"/>
        </w:rPr>
        <w:t xml:space="preserve"> </w:t>
      </w:r>
      <w:r w:rsidRPr="00622C3E">
        <w:rPr>
          <w:rFonts w:ascii="Arial" w:hAnsi="Arial" w:cs="Arial"/>
          <w:b/>
          <w:bCs/>
        </w:rPr>
        <w:t>proposing an open-ended, iterative review-and-cure process</w:t>
      </w:r>
      <w:r w:rsidRPr="00622C3E">
        <w:rPr>
          <w:rFonts w:ascii="Arial" w:hAnsi="Arial" w:cs="Arial"/>
        </w:rPr>
        <w:t xml:space="preserve"> used for model development in other organized wholesale electricity markets. </w:t>
      </w:r>
      <w:r>
        <w:rPr>
          <w:rFonts w:ascii="Arial" w:hAnsi="Arial" w:cs="Arial"/>
        </w:rPr>
        <w:t xml:space="preserve"> </w:t>
      </w:r>
      <w:r w:rsidRPr="00622C3E">
        <w:rPr>
          <w:rFonts w:ascii="Arial" w:hAnsi="Arial" w:cs="Arial"/>
        </w:rPr>
        <w:t xml:space="preserve">Our proposal is simply intended to </w:t>
      </w:r>
      <w:r w:rsidRPr="00622C3E">
        <w:rPr>
          <w:rFonts w:ascii="Arial" w:hAnsi="Arial" w:cs="Arial"/>
          <w:b/>
          <w:bCs/>
        </w:rPr>
        <w:t>make the</w:t>
      </w:r>
      <w:r w:rsidRPr="00622C3E">
        <w:rPr>
          <w:rFonts w:ascii="Arial" w:hAnsi="Arial" w:cs="Arial"/>
        </w:rPr>
        <w:t xml:space="preserve"> </w:t>
      </w:r>
      <w:r w:rsidRPr="00622C3E">
        <w:rPr>
          <w:rFonts w:ascii="Arial" w:hAnsi="Arial" w:cs="Arial"/>
          <w:b/>
          <w:bCs/>
        </w:rPr>
        <w:t>existing</w:t>
      </w:r>
      <w:r w:rsidRPr="00622C3E">
        <w:rPr>
          <w:rFonts w:ascii="Arial" w:hAnsi="Arial" w:cs="Arial"/>
        </w:rPr>
        <w:t xml:space="preserve"> </w:t>
      </w:r>
      <w:r w:rsidRPr="00622C3E">
        <w:rPr>
          <w:rFonts w:ascii="Arial" w:hAnsi="Arial" w:cs="Arial"/>
          <w:b/>
          <w:bCs/>
        </w:rPr>
        <w:t>prerequisite functional, transparent and predictable</w:t>
      </w:r>
      <w:r w:rsidRPr="00622C3E">
        <w:rPr>
          <w:rFonts w:ascii="Arial" w:hAnsi="Arial" w:cs="Arial"/>
        </w:rPr>
        <w:t xml:space="preserve">. </w:t>
      </w:r>
      <w:r>
        <w:rPr>
          <w:rFonts w:ascii="Arial" w:hAnsi="Arial" w:cs="Arial"/>
        </w:rPr>
        <w:t xml:space="preserve"> </w:t>
      </w:r>
      <w:r w:rsidRPr="00622C3E">
        <w:rPr>
          <w:rFonts w:ascii="Arial" w:hAnsi="Arial" w:cs="Arial"/>
        </w:rPr>
        <w:t xml:space="preserve">We are simply asking that ERCOT review materials submitted for the Qualifying Stability Assessment (QSA) within a reasonable, defined timeframe and provide earlier notice of any deficiencies. </w:t>
      </w:r>
      <w:r>
        <w:rPr>
          <w:rFonts w:ascii="Arial" w:hAnsi="Arial" w:cs="Arial"/>
        </w:rPr>
        <w:t xml:space="preserve"> </w:t>
      </w:r>
      <w:r w:rsidRPr="00622C3E">
        <w:rPr>
          <w:rFonts w:ascii="Arial" w:hAnsi="Arial" w:cs="Arial"/>
        </w:rPr>
        <w:t xml:space="preserve">This ensures that a generation developer has a meaningful opportunity to cure minor administrative or data compilation issues identified by ERCOT, while fully preserving </w:t>
      </w:r>
      <w:r w:rsidRPr="00622C3E">
        <w:rPr>
          <w:rFonts w:ascii="Arial" w:hAnsi="Arial" w:cs="Arial"/>
        </w:rPr>
        <w:lastRenderedPageBreak/>
        <w:t>ERCOT’s authority to enforce strict reliability standards and reject fundamentally non-compliant submissions, as described more fully in these comments.</w:t>
      </w:r>
    </w:p>
    <w:p w14:paraId="6DB2E330" w14:textId="77777777" w:rsidR="00622C3E" w:rsidRPr="00622C3E" w:rsidRDefault="00622C3E" w:rsidP="00622C3E">
      <w:pPr>
        <w:spacing w:before="120" w:after="120"/>
        <w:rPr>
          <w:rFonts w:ascii="Arial" w:hAnsi="Arial" w:cs="Arial"/>
        </w:rPr>
      </w:pPr>
    </w:p>
    <w:p w14:paraId="02C2A370" w14:textId="77777777" w:rsidR="00622C3E" w:rsidRPr="00622C3E" w:rsidRDefault="00622C3E" w:rsidP="00622C3E">
      <w:pPr>
        <w:pStyle w:val="ListParagraph"/>
        <w:numPr>
          <w:ilvl w:val="0"/>
          <w:numId w:val="23"/>
        </w:numPr>
        <w:spacing w:before="120" w:after="120" w:line="240" w:lineRule="auto"/>
        <w:ind w:left="720"/>
        <w:rPr>
          <w:rFonts w:ascii="Arial" w:hAnsi="Arial" w:cs="Arial"/>
          <w:b/>
          <w:bCs/>
          <w:sz w:val="24"/>
          <w:szCs w:val="24"/>
          <w:u w:val="single"/>
        </w:rPr>
      </w:pPr>
      <w:r w:rsidRPr="00622C3E">
        <w:rPr>
          <w:rFonts w:ascii="Arial" w:hAnsi="Arial" w:cs="Arial"/>
          <w:b/>
          <w:bCs/>
          <w:sz w:val="24"/>
          <w:szCs w:val="24"/>
          <w:u w:val="single"/>
        </w:rPr>
        <w:t>The Current 45-Day Prerequisite Does Not Function as Intended</w:t>
      </w:r>
    </w:p>
    <w:p w14:paraId="4D6BBA2D" w14:textId="06C722A8" w:rsidR="00622C3E" w:rsidRPr="00622C3E" w:rsidRDefault="00622C3E" w:rsidP="00622C3E">
      <w:pPr>
        <w:spacing w:before="120" w:after="120"/>
        <w:rPr>
          <w:rFonts w:ascii="Arial" w:hAnsi="Arial" w:cs="Arial"/>
        </w:rPr>
      </w:pPr>
      <w:r w:rsidRPr="00622C3E">
        <w:rPr>
          <w:rFonts w:ascii="Arial" w:hAnsi="Arial" w:cs="Arial"/>
        </w:rPr>
        <w:t>ERCOT states in its comments that the 45-day period is intended to allow ERCOT to verify that submitted dynamic models are complete, technically acceptable, and consistent with interconnection stability study assumptions before preparing the QSA. However, in practice, Interconnecting Entities (IEs) routinely receive deficiency notices at the absolute tail end of the 45-day QSA window, often within days or hours of the QSA inclusion deadline.</w:t>
      </w:r>
    </w:p>
    <w:p w14:paraId="7207E9B1" w14:textId="25892C39" w:rsidR="00622C3E" w:rsidRPr="00622C3E" w:rsidRDefault="00622C3E" w:rsidP="00622C3E">
      <w:pPr>
        <w:spacing w:before="120" w:after="120"/>
        <w:rPr>
          <w:rFonts w:ascii="Arial" w:hAnsi="Arial" w:cs="Arial"/>
        </w:rPr>
      </w:pPr>
      <w:r w:rsidRPr="00622C3E">
        <w:rPr>
          <w:rFonts w:ascii="Arial" w:hAnsi="Arial" w:cs="Arial"/>
        </w:rPr>
        <w:t xml:space="preserve">This timing leaves developers with no meaningful opportunity to cure issues, even when deficiencies are purely administrative, formatting errors, or minor software compilation bugs that do not change the underlying engineering assumptions of the resource. </w:t>
      </w:r>
      <w:r>
        <w:rPr>
          <w:rFonts w:ascii="Arial" w:hAnsi="Arial" w:cs="Arial"/>
        </w:rPr>
        <w:t xml:space="preserve"> </w:t>
      </w:r>
      <w:r w:rsidRPr="00622C3E">
        <w:rPr>
          <w:rFonts w:ascii="Arial" w:hAnsi="Arial" w:cs="Arial"/>
        </w:rPr>
        <w:t>As a result, viable projects are routinely excluded from a QSA cycle not because they failed to meet a clear, technical standard, but because ERCOT’s review occurred too late to allow a simple correction.</w:t>
      </w:r>
    </w:p>
    <w:p w14:paraId="0B3375DB" w14:textId="17F7002B" w:rsidR="00622C3E" w:rsidRPr="00622C3E" w:rsidRDefault="00622C3E" w:rsidP="00622C3E">
      <w:pPr>
        <w:spacing w:before="120" w:after="120"/>
        <w:rPr>
          <w:rFonts w:ascii="Arial" w:hAnsi="Arial" w:cs="Arial"/>
        </w:rPr>
      </w:pPr>
      <w:r w:rsidRPr="00622C3E">
        <w:rPr>
          <w:rFonts w:ascii="Arial" w:hAnsi="Arial" w:cs="Arial"/>
        </w:rPr>
        <w:t xml:space="preserve">This outcome is especially concerning given the significant, unprecedented forecasted load growth in the ERCOT region. </w:t>
      </w:r>
      <w:r>
        <w:rPr>
          <w:rFonts w:ascii="Arial" w:hAnsi="Arial" w:cs="Arial"/>
        </w:rPr>
        <w:t xml:space="preserve"> </w:t>
      </w:r>
      <w:r w:rsidRPr="00622C3E">
        <w:rPr>
          <w:rFonts w:ascii="Arial" w:hAnsi="Arial" w:cs="Arial"/>
        </w:rPr>
        <w:t>Ensuring that mature generation projects can successfully navigate the QSA stage and achieve their targeted Commercial Operation Date (COD) is essential to maintaining system reliability and serving rapidly growing load.</w:t>
      </w:r>
    </w:p>
    <w:p w14:paraId="4ED8878E" w14:textId="36F9EA2B" w:rsidR="00622C3E" w:rsidRPr="00622C3E" w:rsidRDefault="00622C3E" w:rsidP="00622C3E">
      <w:pPr>
        <w:spacing w:before="120" w:after="120"/>
        <w:rPr>
          <w:rFonts w:ascii="Arial" w:hAnsi="Arial" w:cs="Arial"/>
        </w:rPr>
      </w:pPr>
      <w:r w:rsidRPr="00622C3E">
        <w:rPr>
          <w:rFonts w:ascii="Arial" w:hAnsi="Arial" w:cs="Arial"/>
        </w:rPr>
        <w:t>When a project misses a QSA cycle due to a minor deficiency identified late in the process, the resulting delay can push the COD by several months, reduce available generation during periods of high system demand, increase project financing costs, and trigger severe financial penalties under Power Purchase Agreements (PPAs).Ultimately, all costs associated with delayed generation including financing extensions, contractual penalties, and construction delays flow to consumers in the form of higher wholesale power costs and reduced supply margins.</w:t>
      </w:r>
    </w:p>
    <w:p w14:paraId="63D5314B" w14:textId="77777777" w:rsidR="00622C3E" w:rsidRPr="00622C3E" w:rsidRDefault="00622C3E" w:rsidP="00622C3E">
      <w:pPr>
        <w:spacing w:before="120" w:after="120"/>
        <w:rPr>
          <w:rFonts w:ascii="Arial" w:hAnsi="Arial" w:cs="Arial"/>
        </w:rPr>
      </w:pPr>
      <w:r w:rsidRPr="00622C3E">
        <w:rPr>
          <w:rFonts w:ascii="Arial" w:hAnsi="Arial" w:cs="Arial"/>
        </w:rPr>
        <w:t>Our proposal does not change the purpose of the prerequisite. It simply ensures that ERCOT performs its initial screenings within a predictable timeframe and that IEs have a defined, reasonable period to address correctable errors, thereby supporting timely CODs and improving grid reliability for the ERCOT system.</w:t>
      </w:r>
    </w:p>
    <w:p w14:paraId="04D0FADE" w14:textId="77777777" w:rsidR="00622C3E" w:rsidRPr="00622C3E" w:rsidRDefault="00622C3E" w:rsidP="00622C3E">
      <w:pPr>
        <w:spacing w:before="120" w:after="120"/>
        <w:rPr>
          <w:rFonts w:ascii="Arial" w:hAnsi="Arial" w:cs="Arial"/>
        </w:rPr>
      </w:pPr>
    </w:p>
    <w:p w14:paraId="6034CA59" w14:textId="77777777" w:rsidR="00622C3E" w:rsidRPr="00622C3E" w:rsidRDefault="00622C3E" w:rsidP="00622C3E">
      <w:pPr>
        <w:pStyle w:val="ListParagraph"/>
        <w:numPr>
          <w:ilvl w:val="0"/>
          <w:numId w:val="23"/>
        </w:numPr>
        <w:spacing w:before="120" w:after="120" w:line="240" w:lineRule="auto"/>
        <w:ind w:left="720"/>
        <w:rPr>
          <w:rFonts w:ascii="Arial" w:hAnsi="Arial" w:cs="Arial"/>
          <w:b/>
          <w:bCs/>
          <w:sz w:val="24"/>
          <w:szCs w:val="24"/>
          <w:u w:val="single"/>
        </w:rPr>
      </w:pPr>
      <w:r w:rsidRPr="00622C3E">
        <w:rPr>
          <w:rFonts w:ascii="Arial" w:hAnsi="Arial" w:cs="Arial"/>
          <w:b/>
          <w:bCs/>
          <w:sz w:val="24"/>
          <w:szCs w:val="24"/>
          <w:u w:val="single"/>
        </w:rPr>
        <w:t>Predictability is the Foundation of Uniform Treatment</w:t>
      </w:r>
    </w:p>
    <w:p w14:paraId="64439EE8" w14:textId="22AA2DFD" w:rsidR="00622C3E" w:rsidRPr="00622C3E" w:rsidRDefault="00622C3E" w:rsidP="00622C3E">
      <w:pPr>
        <w:spacing w:before="120" w:after="120"/>
        <w:rPr>
          <w:rFonts w:ascii="Arial" w:hAnsi="Arial" w:cs="Arial"/>
        </w:rPr>
      </w:pPr>
      <w:r w:rsidRPr="00622C3E">
        <w:rPr>
          <w:rFonts w:ascii="Arial" w:hAnsi="Arial" w:cs="Arial"/>
        </w:rPr>
        <w:t xml:space="preserve">ERCOT argues that maintaining the existing prerequisite ensures uniform treatment of all IEs. </w:t>
      </w:r>
      <w:r w:rsidR="00D95DEF">
        <w:rPr>
          <w:rFonts w:ascii="Arial" w:hAnsi="Arial" w:cs="Arial"/>
        </w:rPr>
        <w:t xml:space="preserve"> </w:t>
      </w:r>
      <w:r w:rsidRPr="00622C3E">
        <w:rPr>
          <w:rFonts w:ascii="Arial" w:hAnsi="Arial" w:cs="Arial"/>
        </w:rPr>
        <w:t xml:space="preserve">However, true uniformity is not achieved by preserving a rigid deadline that relies on late-stage rejections. </w:t>
      </w:r>
      <w:r w:rsidR="00D95DEF">
        <w:rPr>
          <w:rFonts w:ascii="Arial" w:hAnsi="Arial" w:cs="Arial"/>
        </w:rPr>
        <w:t xml:space="preserve"> </w:t>
      </w:r>
      <w:r w:rsidRPr="00622C3E">
        <w:rPr>
          <w:rFonts w:ascii="Arial" w:hAnsi="Arial" w:cs="Arial"/>
        </w:rPr>
        <w:t>Uniformity and equity across the market are achieved by ensuring:</w:t>
      </w:r>
    </w:p>
    <w:p w14:paraId="11341DAD" w14:textId="77777777" w:rsidR="00622C3E" w:rsidRPr="00622C3E" w:rsidRDefault="00622C3E" w:rsidP="00622C3E">
      <w:pPr>
        <w:pStyle w:val="ListParagraph"/>
        <w:numPr>
          <w:ilvl w:val="0"/>
          <w:numId w:val="24"/>
        </w:numPr>
        <w:spacing w:before="120" w:after="120" w:line="240" w:lineRule="auto"/>
        <w:rPr>
          <w:rFonts w:ascii="Arial" w:hAnsi="Arial" w:cs="Arial"/>
          <w:sz w:val="24"/>
          <w:szCs w:val="24"/>
        </w:rPr>
      </w:pPr>
      <w:r w:rsidRPr="00622C3E">
        <w:rPr>
          <w:rFonts w:ascii="Arial" w:hAnsi="Arial" w:cs="Arial"/>
          <w:sz w:val="24"/>
          <w:szCs w:val="24"/>
        </w:rPr>
        <w:t>Predictable and standardized review timing by ERCOT,</w:t>
      </w:r>
    </w:p>
    <w:p w14:paraId="17631ED6" w14:textId="77777777" w:rsidR="00622C3E" w:rsidRPr="00622C3E" w:rsidRDefault="00622C3E" w:rsidP="00622C3E">
      <w:pPr>
        <w:pStyle w:val="ListParagraph"/>
        <w:numPr>
          <w:ilvl w:val="0"/>
          <w:numId w:val="24"/>
        </w:numPr>
        <w:spacing w:before="120" w:after="120" w:line="240" w:lineRule="auto"/>
        <w:rPr>
          <w:rFonts w:ascii="Arial" w:hAnsi="Arial" w:cs="Arial"/>
          <w:sz w:val="24"/>
          <w:szCs w:val="24"/>
        </w:rPr>
      </w:pPr>
      <w:r w:rsidRPr="00622C3E">
        <w:rPr>
          <w:rFonts w:ascii="Arial" w:hAnsi="Arial" w:cs="Arial"/>
          <w:sz w:val="24"/>
          <w:szCs w:val="24"/>
        </w:rPr>
        <w:t xml:space="preserve">Transparent and actionable deficiency identification, and </w:t>
      </w:r>
    </w:p>
    <w:p w14:paraId="50A2B8EE" w14:textId="77777777" w:rsidR="00622C3E" w:rsidRPr="00622C3E" w:rsidRDefault="00622C3E" w:rsidP="00622C3E">
      <w:pPr>
        <w:pStyle w:val="ListParagraph"/>
        <w:numPr>
          <w:ilvl w:val="0"/>
          <w:numId w:val="24"/>
        </w:numPr>
        <w:spacing w:before="120" w:after="120" w:line="240" w:lineRule="auto"/>
        <w:rPr>
          <w:rFonts w:ascii="Arial" w:hAnsi="Arial" w:cs="Arial"/>
          <w:sz w:val="24"/>
          <w:szCs w:val="24"/>
        </w:rPr>
      </w:pPr>
      <w:r w:rsidRPr="00622C3E">
        <w:rPr>
          <w:rFonts w:ascii="Arial" w:hAnsi="Arial" w:cs="Arial"/>
          <w:sz w:val="24"/>
          <w:szCs w:val="24"/>
        </w:rPr>
        <w:t>A clear, structured process for addressing issues that applies equally to all market participants.</w:t>
      </w:r>
    </w:p>
    <w:p w14:paraId="0D9D5D5A" w14:textId="77777777" w:rsidR="00622C3E" w:rsidRPr="00622C3E" w:rsidRDefault="00622C3E" w:rsidP="00622C3E">
      <w:pPr>
        <w:spacing w:before="120" w:after="120"/>
        <w:rPr>
          <w:rFonts w:ascii="Arial" w:hAnsi="Arial" w:cs="Arial"/>
        </w:rPr>
      </w:pPr>
    </w:p>
    <w:p w14:paraId="691305D5" w14:textId="77777777" w:rsidR="00622C3E" w:rsidRPr="00622C3E" w:rsidRDefault="00622C3E" w:rsidP="00622C3E">
      <w:pPr>
        <w:pStyle w:val="ListParagraph"/>
        <w:numPr>
          <w:ilvl w:val="0"/>
          <w:numId w:val="23"/>
        </w:numPr>
        <w:spacing w:before="120" w:after="120" w:line="240" w:lineRule="auto"/>
        <w:ind w:left="720"/>
        <w:rPr>
          <w:rFonts w:ascii="Arial" w:hAnsi="Arial" w:cs="Arial"/>
          <w:b/>
          <w:bCs/>
          <w:sz w:val="24"/>
          <w:szCs w:val="24"/>
          <w:u w:val="single"/>
        </w:rPr>
      </w:pPr>
      <w:r w:rsidRPr="00622C3E">
        <w:rPr>
          <w:rFonts w:ascii="Arial" w:hAnsi="Arial" w:cs="Arial"/>
          <w:b/>
          <w:bCs/>
          <w:sz w:val="24"/>
          <w:szCs w:val="24"/>
          <w:u w:val="single"/>
        </w:rPr>
        <w:t>ERCOT’s Approach is Out of Step with National Best Practices</w:t>
      </w:r>
    </w:p>
    <w:p w14:paraId="19D3A8CE" w14:textId="37A58A8C" w:rsidR="00622C3E" w:rsidRPr="00622C3E" w:rsidRDefault="00622C3E" w:rsidP="00622C3E">
      <w:pPr>
        <w:spacing w:before="120" w:after="120"/>
        <w:rPr>
          <w:rFonts w:ascii="Arial" w:hAnsi="Arial" w:cs="Arial"/>
        </w:rPr>
      </w:pPr>
      <w:r w:rsidRPr="00622C3E">
        <w:rPr>
          <w:rFonts w:ascii="Arial" w:hAnsi="Arial" w:cs="Arial"/>
        </w:rPr>
        <w:t xml:space="preserve">Every other organized wholesale electricity market including PJM, MISO, ISO-NE, CAISO, and NYISO provides stakeholders structured cure periods and clear timelines for model review as standard practice consistent with the principles established nationally under FERC Order 2023. </w:t>
      </w:r>
      <w:r w:rsidR="00D95DEF">
        <w:rPr>
          <w:rFonts w:ascii="Arial" w:hAnsi="Arial" w:cs="Arial"/>
        </w:rPr>
        <w:t xml:space="preserve"> </w:t>
      </w:r>
      <w:r w:rsidRPr="00622C3E">
        <w:rPr>
          <w:rFonts w:ascii="Arial" w:hAnsi="Arial" w:cs="Arial"/>
        </w:rPr>
        <w:t>In these markets:</w:t>
      </w:r>
    </w:p>
    <w:p w14:paraId="67FF93F1" w14:textId="77777777" w:rsidR="00622C3E" w:rsidRPr="00622C3E" w:rsidRDefault="00622C3E" w:rsidP="00622C3E">
      <w:pPr>
        <w:pStyle w:val="ListParagraph"/>
        <w:numPr>
          <w:ilvl w:val="0"/>
          <w:numId w:val="24"/>
        </w:numPr>
        <w:spacing w:before="120" w:after="120" w:line="240" w:lineRule="auto"/>
        <w:rPr>
          <w:rFonts w:ascii="Arial" w:hAnsi="Arial" w:cs="Arial"/>
          <w:sz w:val="24"/>
          <w:szCs w:val="24"/>
        </w:rPr>
      </w:pPr>
      <w:r w:rsidRPr="00622C3E">
        <w:rPr>
          <w:rFonts w:ascii="Arial" w:hAnsi="Arial" w:cs="Arial"/>
          <w:sz w:val="24"/>
          <w:szCs w:val="24"/>
        </w:rPr>
        <w:t>Model completeness is assessed through formal, early deficiency notices;</w:t>
      </w:r>
    </w:p>
    <w:p w14:paraId="52DB6BBA" w14:textId="77777777" w:rsidR="00622C3E" w:rsidRPr="00622C3E" w:rsidRDefault="00622C3E" w:rsidP="00622C3E">
      <w:pPr>
        <w:pStyle w:val="ListParagraph"/>
        <w:numPr>
          <w:ilvl w:val="0"/>
          <w:numId w:val="24"/>
        </w:numPr>
        <w:spacing w:before="120" w:after="120" w:line="240" w:lineRule="auto"/>
        <w:rPr>
          <w:rFonts w:ascii="Arial" w:hAnsi="Arial" w:cs="Arial"/>
          <w:sz w:val="24"/>
          <w:szCs w:val="24"/>
        </w:rPr>
      </w:pPr>
      <w:r w:rsidRPr="00622C3E">
        <w:rPr>
          <w:rFonts w:ascii="Arial" w:hAnsi="Arial" w:cs="Arial"/>
          <w:sz w:val="24"/>
          <w:szCs w:val="24"/>
        </w:rPr>
        <w:t>Developers are given defined, predictable cure windows to address identified errors; and</w:t>
      </w:r>
    </w:p>
    <w:p w14:paraId="66531DED" w14:textId="2C37B6F6" w:rsidR="00622C3E" w:rsidRPr="00622C3E" w:rsidRDefault="00622C3E" w:rsidP="00622C3E">
      <w:pPr>
        <w:pStyle w:val="ListParagraph"/>
        <w:numPr>
          <w:ilvl w:val="0"/>
          <w:numId w:val="24"/>
        </w:numPr>
        <w:spacing w:before="120" w:after="120" w:line="240" w:lineRule="auto"/>
        <w:rPr>
          <w:rFonts w:ascii="Arial" w:hAnsi="Arial" w:cs="Arial"/>
          <w:sz w:val="24"/>
          <w:szCs w:val="24"/>
        </w:rPr>
      </w:pPr>
      <w:r w:rsidRPr="00622C3E">
        <w:rPr>
          <w:rFonts w:ascii="Arial" w:hAnsi="Arial" w:cs="Arial"/>
          <w:sz w:val="24"/>
          <w:szCs w:val="24"/>
        </w:rPr>
        <w:t>Projects are not summarily excluded from study cycles for readily correctable data issues.</w:t>
      </w:r>
    </w:p>
    <w:p w14:paraId="02BC5A06" w14:textId="1C9CAE11" w:rsidR="00622C3E" w:rsidRPr="00622C3E" w:rsidRDefault="00622C3E" w:rsidP="00622C3E">
      <w:pPr>
        <w:spacing w:before="120" w:after="120"/>
        <w:rPr>
          <w:rFonts w:ascii="Arial" w:hAnsi="Arial" w:cs="Arial"/>
        </w:rPr>
      </w:pPr>
      <w:r w:rsidRPr="00622C3E">
        <w:rPr>
          <w:rFonts w:ascii="Arial" w:hAnsi="Arial" w:cs="Arial"/>
        </w:rPr>
        <w:t xml:space="preserve">ERCOT remains the only organized market that does not allow a defined cure period, choosing instead to drop projects from a QSA cycle when errors are discovered late in the window. </w:t>
      </w:r>
      <w:r w:rsidR="00D95DEF">
        <w:rPr>
          <w:rFonts w:ascii="Arial" w:hAnsi="Arial" w:cs="Arial"/>
        </w:rPr>
        <w:t xml:space="preserve"> </w:t>
      </w:r>
      <w:r w:rsidRPr="00622C3E">
        <w:rPr>
          <w:rFonts w:ascii="Arial" w:hAnsi="Arial" w:cs="Arial"/>
        </w:rPr>
        <w:t>This rigid approach is not aligned with national best practices and places ERCOT-connected projects at a severe procedural and financial disadvantage relative to generation projects in other RTOs/ISOs.</w:t>
      </w:r>
    </w:p>
    <w:p w14:paraId="0ED64CEF" w14:textId="77777777" w:rsidR="00622C3E" w:rsidRPr="00622C3E" w:rsidRDefault="00622C3E" w:rsidP="00622C3E">
      <w:pPr>
        <w:spacing w:before="120" w:after="120"/>
        <w:rPr>
          <w:rFonts w:ascii="Arial" w:hAnsi="Arial" w:cs="Arial"/>
        </w:rPr>
      </w:pPr>
      <w:r w:rsidRPr="00622C3E">
        <w:rPr>
          <w:rFonts w:ascii="Arial" w:hAnsi="Arial" w:cs="Arial"/>
        </w:rPr>
        <w:t>As stated previously, our proposal is not to implement a full, open-ended iterative study process; it is simply to provide an opportunity to cure any deficiency ERCOT identifies, while preserving ERCOT’s absolute right to reject incomplete or technically unacceptable model packages at the end of that window.</w:t>
      </w:r>
    </w:p>
    <w:p w14:paraId="4E521B82" w14:textId="77777777" w:rsidR="00622C3E" w:rsidRPr="00622C3E" w:rsidRDefault="00622C3E" w:rsidP="00622C3E">
      <w:pPr>
        <w:spacing w:before="120" w:after="120"/>
        <w:rPr>
          <w:rFonts w:ascii="Arial" w:hAnsi="Arial" w:cs="Arial"/>
        </w:rPr>
      </w:pPr>
    </w:p>
    <w:p w14:paraId="3EF61AED" w14:textId="77777777" w:rsidR="00622C3E" w:rsidRPr="00622C3E" w:rsidRDefault="00622C3E" w:rsidP="00622C3E">
      <w:pPr>
        <w:pStyle w:val="ListParagraph"/>
        <w:numPr>
          <w:ilvl w:val="0"/>
          <w:numId w:val="23"/>
        </w:numPr>
        <w:spacing w:before="120" w:after="120" w:line="240" w:lineRule="auto"/>
        <w:ind w:left="720"/>
        <w:rPr>
          <w:rFonts w:ascii="Arial" w:hAnsi="Arial" w:cs="Arial"/>
          <w:b/>
          <w:bCs/>
          <w:sz w:val="24"/>
          <w:szCs w:val="24"/>
          <w:u w:val="single"/>
        </w:rPr>
      </w:pPr>
      <w:r w:rsidRPr="00622C3E">
        <w:rPr>
          <w:rFonts w:ascii="Arial" w:hAnsi="Arial" w:cs="Arial"/>
          <w:b/>
          <w:bCs/>
          <w:sz w:val="24"/>
          <w:szCs w:val="24"/>
          <w:u w:val="single"/>
        </w:rPr>
        <w:t>Delays in QSA Preparation Stem From Late ERCOT Review, Not Cure Periods</w:t>
      </w:r>
    </w:p>
    <w:p w14:paraId="2DD7F490" w14:textId="43F42C14" w:rsidR="00622C3E" w:rsidRPr="00622C3E" w:rsidRDefault="00622C3E" w:rsidP="00622C3E">
      <w:pPr>
        <w:spacing w:before="120" w:after="120"/>
        <w:rPr>
          <w:rFonts w:ascii="Arial" w:hAnsi="Arial" w:cs="Arial"/>
        </w:rPr>
      </w:pPr>
      <w:r w:rsidRPr="00622C3E">
        <w:rPr>
          <w:rFonts w:ascii="Arial" w:hAnsi="Arial" w:cs="Arial"/>
        </w:rPr>
        <w:t xml:space="preserve">ERCOT asserts that unresolved model issues may delay system-wide QSA preparation and affect case development, Generic Transmission Constraint (GTC) development, and assessment schedules. </w:t>
      </w:r>
      <w:r w:rsidR="00D95DEF">
        <w:rPr>
          <w:rFonts w:ascii="Arial" w:hAnsi="Arial" w:cs="Arial"/>
        </w:rPr>
        <w:t xml:space="preserve"> </w:t>
      </w:r>
      <w:r w:rsidRPr="00622C3E">
        <w:rPr>
          <w:rFonts w:ascii="Arial" w:hAnsi="Arial" w:cs="Arial"/>
        </w:rPr>
        <w:t>We agree that timely resolution of deficiencies is essential to maintain the integrity of the coordinated system-wide study.</w:t>
      </w:r>
    </w:p>
    <w:p w14:paraId="50CDFF32" w14:textId="7FC23B37" w:rsidR="00622C3E" w:rsidRPr="00622C3E" w:rsidRDefault="00622C3E" w:rsidP="00622C3E">
      <w:pPr>
        <w:spacing w:before="120" w:after="120"/>
        <w:rPr>
          <w:rFonts w:ascii="Arial" w:hAnsi="Arial" w:cs="Arial"/>
        </w:rPr>
      </w:pPr>
      <w:r w:rsidRPr="00622C3E">
        <w:rPr>
          <w:rFonts w:ascii="Arial" w:hAnsi="Arial" w:cs="Arial"/>
        </w:rPr>
        <w:t xml:space="preserve">However, delays in QSA preparation are primarily caused by the compressed, late-stage engineering timeline resulting from ERCOT’s back-heavy review process, not by the existence of a developer cure period. </w:t>
      </w:r>
      <w:r w:rsidR="00D95DEF">
        <w:rPr>
          <w:rFonts w:ascii="Arial" w:hAnsi="Arial" w:cs="Arial"/>
        </w:rPr>
        <w:t xml:space="preserve"> </w:t>
      </w:r>
      <w:r w:rsidRPr="00622C3E">
        <w:rPr>
          <w:rFonts w:ascii="Arial" w:hAnsi="Arial" w:cs="Arial"/>
        </w:rPr>
        <w:t>When ERCOT identifies deficiencies near the final QSA deadline, projects have no realistic path to cure, and ERCOT’s own internal schedule is compressed by default. Establishing a defined review window and cure period window would:</w:t>
      </w:r>
    </w:p>
    <w:p w14:paraId="09C40B91" w14:textId="77777777" w:rsidR="00622C3E" w:rsidRPr="00622C3E" w:rsidRDefault="00622C3E" w:rsidP="00622C3E">
      <w:pPr>
        <w:pStyle w:val="ListParagraph"/>
        <w:numPr>
          <w:ilvl w:val="0"/>
          <w:numId w:val="24"/>
        </w:numPr>
        <w:spacing w:before="120" w:after="120" w:line="240" w:lineRule="auto"/>
        <w:rPr>
          <w:rFonts w:ascii="Arial" w:hAnsi="Arial" w:cs="Arial"/>
          <w:sz w:val="24"/>
          <w:szCs w:val="24"/>
        </w:rPr>
      </w:pPr>
      <w:r w:rsidRPr="00622C3E">
        <w:rPr>
          <w:rFonts w:ascii="Arial" w:hAnsi="Arial" w:cs="Arial"/>
          <w:sz w:val="24"/>
          <w:szCs w:val="24"/>
        </w:rPr>
        <w:t>Reduce the likelihood of late-identified deficiencies that derail the batch study,</w:t>
      </w:r>
    </w:p>
    <w:p w14:paraId="40FC6A74" w14:textId="77777777" w:rsidR="00622C3E" w:rsidRPr="00622C3E" w:rsidRDefault="00622C3E" w:rsidP="00622C3E">
      <w:pPr>
        <w:pStyle w:val="ListParagraph"/>
        <w:numPr>
          <w:ilvl w:val="0"/>
          <w:numId w:val="24"/>
        </w:numPr>
        <w:spacing w:before="120" w:after="120" w:line="240" w:lineRule="auto"/>
        <w:rPr>
          <w:rFonts w:ascii="Arial" w:hAnsi="Arial" w:cs="Arial"/>
          <w:sz w:val="24"/>
          <w:szCs w:val="24"/>
        </w:rPr>
      </w:pPr>
      <w:r w:rsidRPr="00622C3E">
        <w:rPr>
          <w:rFonts w:ascii="Arial" w:hAnsi="Arial" w:cs="Arial"/>
          <w:sz w:val="24"/>
          <w:szCs w:val="24"/>
        </w:rPr>
        <w:t>Improve ERCOT’s ability to prepare coordinated system-wide assessments by stabilizing the project participant list earlier in the cycle, and</w:t>
      </w:r>
    </w:p>
    <w:p w14:paraId="69CE276E" w14:textId="54D3F204" w:rsidR="00622C3E" w:rsidRPr="00622C3E" w:rsidRDefault="00622C3E" w:rsidP="00622C3E">
      <w:pPr>
        <w:pStyle w:val="ListParagraph"/>
        <w:numPr>
          <w:ilvl w:val="0"/>
          <w:numId w:val="24"/>
        </w:numPr>
        <w:spacing w:before="120" w:after="120" w:line="240" w:lineRule="auto"/>
        <w:rPr>
          <w:rFonts w:ascii="Arial" w:hAnsi="Arial" w:cs="Arial"/>
          <w:sz w:val="24"/>
          <w:szCs w:val="24"/>
        </w:rPr>
      </w:pPr>
      <w:r w:rsidRPr="00622C3E">
        <w:rPr>
          <w:rFonts w:ascii="Arial" w:hAnsi="Arial" w:cs="Arial"/>
          <w:sz w:val="24"/>
          <w:szCs w:val="24"/>
        </w:rPr>
        <w:t>Provide clearer, manageable operational expectations for all IEs and Transmission Service Providers (TSPs).</w:t>
      </w:r>
    </w:p>
    <w:p w14:paraId="24CB8E10" w14:textId="41F2C007" w:rsidR="00622C3E" w:rsidRPr="00622C3E" w:rsidRDefault="00622C3E" w:rsidP="00622C3E">
      <w:pPr>
        <w:spacing w:before="120" w:after="120"/>
        <w:rPr>
          <w:rFonts w:ascii="Arial" w:hAnsi="Arial" w:cs="Arial"/>
        </w:rPr>
      </w:pPr>
      <w:r w:rsidRPr="00622C3E">
        <w:rPr>
          <w:rFonts w:ascii="Arial" w:hAnsi="Arial" w:cs="Arial"/>
        </w:rPr>
        <w:t xml:space="preserve">ERCOT already manages model updates and corrective data exchanges in other study workflows including PSCAD, GIC, short-circuit, and regional planning studies, and performs additional analyses when warranted. </w:t>
      </w:r>
      <w:r w:rsidR="00D95DEF">
        <w:rPr>
          <w:rFonts w:ascii="Arial" w:hAnsi="Arial" w:cs="Arial"/>
        </w:rPr>
        <w:t xml:space="preserve"> </w:t>
      </w:r>
      <w:r w:rsidRPr="00622C3E">
        <w:rPr>
          <w:rFonts w:ascii="Arial" w:hAnsi="Arial" w:cs="Arial"/>
        </w:rPr>
        <w:t>The QSA process is not uniquely sensitive to minor, non-material technical adjustments.</w:t>
      </w:r>
    </w:p>
    <w:p w14:paraId="3015D341" w14:textId="77777777" w:rsidR="00622C3E" w:rsidRPr="00622C3E" w:rsidRDefault="00622C3E" w:rsidP="00622C3E">
      <w:pPr>
        <w:spacing w:before="120" w:after="120"/>
        <w:rPr>
          <w:rFonts w:ascii="Arial" w:hAnsi="Arial" w:cs="Arial"/>
          <w:b/>
          <w:bCs/>
          <w:u w:val="single"/>
        </w:rPr>
      </w:pPr>
    </w:p>
    <w:p w14:paraId="50563D7A" w14:textId="77777777" w:rsidR="00622C3E" w:rsidRPr="00622C3E" w:rsidRDefault="00622C3E" w:rsidP="00622C3E">
      <w:pPr>
        <w:pStyle w:val="ListParagraph"/>
        <w:numPr>
          <w:ilvl w:val="0"/>
          <w:numId w:val="23"/>
        </w:numPr>
        <w:spacing w:before="120" w:after="120" w:line="240" w:lineRule="auto"/>
        <w:ind w:left="720"/>
        <w:rPr>
          <w:rFonts w:ascii="Arial" w:hAnsi="Arial" w:cs="Arial"/>
          <w:b/>
          <w:bCs/>
          <w:sz w:val="24"/>
          <w:szCs w:val="24"/>
          <w:u w:val="single"/>
        </w:rPr>
      </w:pPr>
      <w:r w:rsidRPr="00622C3E">
        <w:rPr>
          <w:rFonts w:ascii="Arial" w:hAnsi="Arial" w:cs="Arial"/>
          <w:b/>
          <w:bCs/>
          <w:sz w:val="24"/>
          <w:szCs w:val="24"/>
          <w:u w:val="single"/>
        </w:rPr>
        <w:t>Conclusion</w:t>
      </w:r>
    </w:p>
    <w:p w14:paraId="17815B7F" w14:textId="77777777" w:rsidR="00622C3E" w:rsidRPr="00622C3E" w:rsidRDefault="00622C3E" w:rsidP="00622C3E">
      <w:pPr>
        <w:spacing w:before="120" w:after="120"/>
        <w:rPr>
          <w:rFonts w:ascii="Arial" w:hAnsi="Arial" w:cs="Arial"/>
        </w:rPr>
      </w:pPr>
      <w:r w:rsidRPr="00622C3E">
        <w:rPr>
          <w:rFonts w:ascii="Arial" w:hAnsi="Arial" w:cs="Arial"/>
        </w:rPr>
        <w:t>APA and ACP’s proposal:</w:t>
      </w:r>
    </w:p>
    <w:p w14:paraId="589FD95F" w14:textId="77777777" w:rsidR="00622C3E" w:rsidRPr="00622C3E" w:rsidRDefault="00622C3E" w:rsidP="00622C3E">
      <w:pPr>
        <w:pStyle w:val="ListParagraph"/>
        <w:numPr>
          <w:ilvl w:val="0"/>
          <w:numId w:val="24"/>
        </w:numPr>
        <w:spacing w:before="120" w:after="120" w:line="240" w:lineRule="auto"/>
        <w:rPr>
          <w:rFonts w:ascii="Arial" w:hAnsi="Arial" w:cs="Arial"/>
          <w:sz w:val="24"/>
          <w:szCs w:val="24"/>
        </w:rPr>
      </w:pPr>
      <w:r w:rsidRPr="00622C3E">
        <w:rPr>
          <w:rFonts w:ascii="Arial" w:hAnsi="Arial" w:cs="Arial"/>
          <w:sz w:val="24"/>
          <w:szCs w:val="24"/>
        </w:rPr>
        <w:t>Preserves the original purpose of the 45-day prerequisite by maintaining it as a hard data lock for finalized dynamic models;</w:t>
      </w:r>
    </w:p>
    <w:p w14:paraId="0763013C" w14:textId="77777777" w:rsidR="00622C3E" w:rsidRPr="00622C3E" w:rsidRDefault="00622C3E" w:rsidP="00622C3E">
      <w:pPr>
        <w:pStyle w:val="ListParagraph"/>
        <w:numPr>
          <w:ilvl w:val="0"/>
          <w:numId w:val="24"/>
        </w:numPr>
        <w:spacing w:before="120" w:after="120" w:line="240" w:lineRule="auto"/>
        <w:rPr>
          <w:rFonts w:ascii="Arial" w:hAnsi="Arial" w:cs="Arial"/>
          <w:sz w:val="24"/>
          <w:szCs w:val="24"/>
        </w:rPr>
      </w:pPr>
      <w:r w:rsidRPr="00622C3E">
        <w:rPr>
          <w:rFonts w:ascii="Arial" w:hAnsi="Arial" w:cs="Arial"/>
          <w:sz w:val="24"/>
          <w:szCs w:val="24"/>
        </w:rPr>
        <w:t>Ensures ERCOT uses the prerequisite window as intended through predictable and efficient review timing;</w:t>
      </w:r>
    </w:p>
    <w:p w14:paraId="7C33079A" w14:textId="77777777" w:rsidR="00622C3E" w:rsidRPr="00622C3E" w:rsidRDefault="00622C3E" w:rsidP="00622C3E">
      <w:pPr>
        <w:pStyle w:val="ListParagraph"/>
        <w:numPr>
          <w:ilvl w:val="0"/>
          <w:numId w:val="24"/>
        </w:numPr>
        <w:spacing w:before="120" w:after="120" w:line="240" w:lineRule="auto"/>
        <w:rPr>
          <w:rFonts w:ascii="Arial" w:hAnsi="Arial" w:cs="Arial"/>
          <w:sz w:val="24"/>
          <w:szCs w:val="24"/>
        </w:rPr>
      </w:pPr>
      <w:r w:rsidRPr="00622C3E">
        <w:rPr>
          <w:rFonts w:ascii="Arial" w:hAnsi="Arial" w:cs="Arial"/>
          <w:sz w:val="24"/>
          <w:szCs w:val="24"/>
        </w:rPr>
        <w:t>Introduces a reasonable, standardized cure period consistent with national operational best practices;</w:t>
      </w:r>
    </w:p>
    <w:p w14:paraId="4CB7909C" w14:textId="77777777" w:rsidR="00622C3E" w:rsidRPr="00622C3E" w:rsidRDefault="00622C3E" w:rsidP="00622C3E">
      <w:pPr>
        <w:pStyle w:val="ListParagraph"/>
        <w:numPr>
          <w:ilvl w:val="0"/>
          <w:numId w:val="24"/>
        </w:numPr>
        <w:spacing w:before="120" w:after="120" w:line="240" w:lineRule="auto"/>
        <w:rPr>
          <w:rFonts w:ascii="Arial" w:hAnsi="Arial" w:cs="Arial"/>
          <w:sz w:val="24"/>
          <w:szCs w:val="24"/>
        </w:rPr>
      </w:pPr>
      <w:r w:rsidRPr="00622C3E">
        <w:rPr>
          <w:rFonts w:ascii="Arial" w:hAnsi="Arial" w:cs="Arial"/>
          <w:sz w:val="24"/>
          <w:szCs w:val="24"/>
        </w:rPr>
        <w:t>Improves market fairness, transparency, and grid reliability without diminishing ERCOT’s technical authority or engineering standards; and</w:t>
      </w:r>
    </w:p>
    <w:p w14:paraId="0C8030CC" w14:textId="576F7F37" w:rsidR="00622C3E" w:rsidRPr="00622C3E" w:rsidRDefault="00622C3E" w:rsidP="00622C3E">
      <w:pPr>
        <w:pStyle w:val="ListParagraph"/>
        <w:numPr>
          <w:ilvl w:val="0"/>
          <w:numId w:val="24"/>
        </w:numPr>
        <w:spacing w:before="120" w:after="120" w:line="240" w:lineRule="auto"/>
        <w:rPr>
          <w:rFonts w:ascii="Arial" w:hAnsi="Arial" w:cs="Arial"/>
          <w:sz w:val="24"/>
          <w:szCs w:val="24"/>
        </w:rPr>
      </w:pPr>
      <w:r w:rsidRPr="00622C3E">
        <w:rPr>
          <w:rFonts w:ascii="Arial" w:hAnsi="Arial" w:cs="Arial"/>
          <w:sz w:val="24"/>
          <w:szCs w:val="24"/>
        </w:rPr>
        <w:t>Supports timely commercial operations for new generation capacity urgently needed to serve ERCOT’s significant forecasted load growth.</w:t>
      </w:r>
    </w:p>
    <w:p w14:paraId="286EA157" w14:textId="3B942FB2" w:rsidR="00622C3E" w:rsidRPr="00622C3E" w:rsidRDefault="00622C3E" w:rsidP="00622C3E">
      <w:pPr>
        <w:spacing w:before="120" w:after="120"/>
        <w:rPr>
          <w:rFonts w:ascii="Arial" w:hAnsi="Arial" w:cs="Arial"/>
        </w:rPr>
      </w:pPr>
      <w:r w:rsidRPr="00622C3E">
        <w:rPr>
          <w:rFonts w:ascii="Arial" w:hAnsi="Arial" w:cs="Arial"/>
        </w:rPr>
        <w:t xml:space="preserve">Given the substantial load growth expected across the ERCOT region, ensuring that otherwise-ready generation projects can reach the QSA stage is essential to maintaining reliability and meeting future demand. </w:t>
      </w:r>
      <w:r w:rsidR="00D95DEF">
        <w:rPr>
          <w:rFonts w:ascii="Arial" w:hAnsi="Arial" w:cs="Arial"/>
        </w:rPr>
        <w:t xml:space="preserve"> </w:t>
      </w:r>
      <w:r w:rsidRPr="00622C3E">
        <w:rPr>
          <w:rFonts w:ascii="Arial" w:hAnsi="Arial" w:cs="Arial"/>
        </w:rPr>
        <w:t>When a project misses a QSA due to a minor deficiency identified late in the process, the resulting COD delay can postpone the addition of needed generation capacity, trigger financial penalties under PPAs, and increase project costs that ultimately flow to consumers.</w:t>
      </w:r>
    </w:p>
    <w:p w14:paraId="547B17E6" w14:textId="4C8770B6" w:rsidR="00622C3E" w:rsidRPr="00622C3E" w:rsidRDefault="00622C3E" w:rsidP="00622C3E">
      <w:pPr>
        <w:spacing w:before="120" w:after="120"/>
        <w:rPr>
          <w:rFonts w:ascii="Arial" w:hAnsi="Arial" w:cs="Arial"/>
        </w:rPr>
      </w:pPr>
      <w:r w:rsidRPr="00622C3E">
        <w:rPr>
          <w:rFonts w:ascii="Arial" w:hAnsi="Arial" w:cs="Arial"/>
        </w:rPr>
        <w:t>A predictable review window and reasonable cure period reduce artificial regulatory risks, eliminate unnecessary project costs that ultimately flow to consumers, and ensure that generation resources can be developed efficiently and brought online when the Texas ERCOT Market needs them most.</w:t>
      </w:r>
    </w:p>
    <w:p w14:paraId="13E59377" w14:textId="1BF3AA99" w:rsidR="00FC590C" w:rsidRPr="00622C3E" w:rsidRDefault="00622C3E" w:rsidP="00622C3E">
      <w:pPr>
        <w:spacing w:before="120" w:after="120"/>
        <w:rPr>
          <w:rFonts w:ascii="Arial" w:hAnsi="Arial" w:cs="Arial"/>
        </w:rPr>
      </w:pPr>
      <w:r w:rsidRPr="00622C3E">
        <w:rPr>
          <w:rFonts w:ascii="Arial" w:hAnsi="Arial" w:cs="Arial"/>
        </w:rPr>
        <w:t xml:space="preserve">ERCOT’s objections reflect current administrative implementation challenges, not structural flaws in our proposal. </w:t>
      </w:r>
      <w:r w:rsidR="00D95DEF">
        <w:rPr>
          <w:rFonts w:ascii="Arial" w:hAnsi="Arial" w:cs="Arial"/>
        </w:rPr>
        <w:t xml:space="preserve"> </w:t>
      </w:r>
      <w:r w:rsidRPr="00622C3E">
        <w:rPr>
          <w:rFonts w:ascii="Arial" w:hAnsi="Arial" w:cs="Arial"/>
        </w:rPr>
        <w:t>Aligning the QSA prerequisite with national best practices will improve reliability outcomes, reduce unnecessary delays, and support the timely addition of new generation needed to serve ERCOT’s rapidly growing load.</w:t>
      </w:r>
      <w:r w:rsidR="00FC590C" w:rsidRPr="00622C3E">
        <w:rPr>
          <w:rFonts w:ascii="Arial" w:hAnsi="Arial" w:cs="Arial"/>
        </w:rPr>
        <w:t xml:space="preserve"> </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FC590C" w14:paraId="4819DA35" w14:textId="77777777" w:rsidTr="001F35EC">
        <w:trPr>
          <w:trHeight w:val="350"/>
        </w:trPr>
        <w:tc>
          <w:tcPr>
            <w:tcW w:w="10440" w:type="dxa"/>
            <w:tcBorders>
              <w:bottom w:val="single" w:sz="4" w:space="0" w:color="auto"/>
            </w:tcBorders>
            <w:shd w:val="clear" w:color="auto" w:fill="FFFFFF"/>
            <w:vAlign w:val="center"/>
          </w:tcPr>
          <w:p w14:paraId="6956F5A0" w14:textId="77777777" w:rsidR="00FC590C" w:rsidRDefault="00FC590C" w:rsidP="001F35EC">
            <w:pPr>
              <w:pStyle w:val="Header"/>
              <w:jc w:val="center"/>
            </w:pPr>
            <w:r>
              <w:t>Revised Cover Page Language</w:t>
            </w:r>
          </w:p>
        </w:tc>
      </w:tr>
    </w:tbl>
    <w:p w14:paraId="695BED28" w14:textId="3EAAD9A2" w:rsidR="00FC590C" w:rsidRDefault="00FC590C" w:rsidP="00FC590C">
      <w:pPr>
        <w:pStyle w:val="NormalArial"/>
        <w:spacing w:before="120" w:after="120"/>
      </w:pPr>
      <w: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FC590C" w14:paraId="7475712D" w14:textId="77777777" w:rsidTr="001F35EC">
        <w:trPr>
          <w:trHeight w:val="350"/>
        </w:trPr>
        <w:tc>
          <w:tcPr>
            <w:tcW w:w="10440" w:type="dxa"/>
            <w:tcBorders>
              <w:bottom w:val="single" w:sz="4" w:space="0" w:color="auto"/>
            </w:tcBorders>
            <w:shd w:val="clear" w:color="auto" w:fill="FFFFFF"/>
            <w:vAlign w:val="center"/>
          </w:tcPr>
          <w:p w14:paraId="6F824A9E" w14:textId="77777777" w:rsidR="00FC590C" w:rsidRDefault="00FC590C" w:rsidP="001F35EC">
            <w:pPr>
              <w:pStyle w:val="Header"/>
              <w:jc w:val="center"/>
            </w:pPr>
            <w:r>
              <w:t>Revised Proposed Guide Language</w:t>
            </w:r>
          </w:p>
        </w:tc>
      </w:tr>
    </w:tbl>
    <w:p w14:paraId="0A4227B9" w14:textId="31FC6272" w:rsidR="000729F0" w:rsidRDefault="00622C3E" w:rsidP="00622C3E">
      <w:pPr>
        <w:pStyle w:val="NormalArial"/>
        <w:spacing w:before="120" w:after="120"/>
      </w:pPr>
      <w:r>
        <w:t>None</w:t>
      </w:r>
    </w:p>
    <w:sectPr w:rsidR="000729F0">
      <w:headerReference w:type="default" r:id="rId14"/>
      <w:footerReference w:type="even" r:id="rId15"/>
      <w:footerReference w:type="default" r:id="rId16"/>
      <w:footerReference w:type="firs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245D6" w14:textId="77777777" w:rsidR="002D4236" w:rsidRDefault="002D4236">
      <w:r>
        <w:separator/>
      </w:r>
    </w:p>
  </w:endnote>
  <w:endnote w:type="continuationSeparator" w:id="0">
    <w:p w14:paraId="057659D3" w14:textId="77777777" w:rsidR="002D4236" w:rsidRDefault="002D4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683B0"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F3A6" w14:textId="10820198" w:rsidR="00D176CF" w:rsidRPr="00A04783" w:rsidRDefault="00FC590C">
    <w:pPr>
      <w:pStyle w:val="Footer"/>
      <w:tabs>
        <w:tab w:val="clear" w:pos="4320"/>
        <w:tab w:val="clear" w:pos="8640"/>
        <w:tab w:val="right" w:pos="9360"/>
      </w:tabs>
      <w:rPr>
        <w:rFonts w:ascii="Arial" w:hAnsi="Arial" w:cs="Arial"/>
        <w:sz w:val="18"/>
        <w:szCs w:val="18"/>
      </w:rPr>
    </w:pPr>
    <w:r>
      <w:rPr>
        <w:rFonts w:ascii="Arial" w:hAnsi="Arial" w:cs="Arial"/>
        <w:sz w:val="18"/>
        <w:szCs w:val="18"/>
      </w:rPr>
      <w:t>146PGRR-</w:t>
    </w:r>
    <w:r w:rsidR="00FF092A">
      <w:rPr>
        <w:rFonts w:ascii="Arial" w:hAnsi="Arial" w:cs="Arial"/>
        <w:sz w:val="18"/>
        <w:szCs w:val="18"/>
      </w:rPr>
      <w:t>0</w:t>
    </w:r>
    <w:r w:rsidR="00622C3E">
      <w:rPr>
        <w:rFonts w:ascii="Arial" w:hAnsi="Arial" w:cs="Arial"/>
        <w:sz w:val="18"/>
        <w:szCs w:val="18"/>
      </w:rPr>
      <w:t>9</w:t>
    </w:r>
    <w:r w:rsidR="00FF092A">
      <w:rPr>
        <w:rFonts w:ascii="Arial" w:hAnsi="Arial" w:cs="Arial"/>
        <w:sz w:val="18"/>
        <w:szCs w:val="18"/>
      </w:rPr>
      <w:t xml:space="preserve"> APA ACP</w:t>
    </w:r>
    <w:r>
      <w:rPr>
        <w:rFonts w:ascii="Arial" w:hAnsi="Arial" w:cs="Arial"/>
        <w:sz w:val="18"/>
        <w:szCs w:val="18"/>
      </w:rPr>
      <w:t xml:space="preserve"> Comments </w:t>
    </w:r>
    <w:r w:rsidR="00622C3E">
      <w:rPr>
        <w:rFonts w:ascii="Arial" w:hAnsi="Arial" w:cs="Arial"/>
        <w:sz w:val="18"/>
        <w:szCs w:val="18"/>
      </w:rPr>
      <w:t>0805</w:t>
    </w:r>
    <w:r w:rsidR="00FF092A">
      <w:rPr>
        <w:rFonts w:ascii="Arial" w:hAnsi="Arial" w:cs="Arial"/>
        <w:sz w:val="18"/>
        <w:szCs w:val="18"/>
      </w:rPr>
      <w:t>26</w:t>
    </w:r>
    <w:r w:rsidR="00D176CF" w:rsidRPr="00A04783">
      <w:rPr>
        <w:rFonts w:ascii="Arial" w:hAnsi="Arial" w:cs="Arial"/>
        <w:sz w:val="18"/>
        <w:szCs w:val="18"/>
      </w:rPr>
      <w:tab/>
      <w:t xml:space="preserve">Page </w:t>
    </w:r>
    <w:r w:rsidR="00D176CF" w:rsidRPr="00A04783">
      <w:rPr>
        <w:rFonts w:ascii="Arial" w:hAnsi="Arial" w:cs="Arial"/>
        <w:sz w:val="18"/>
        <w:szCs w:val="18"/>
      </w:rPr>
      <w:fldChar w:fldCharType="begin"/>
    </w:r>
    <w:r w:rsidR="00D176CF" w:rsidRPr="00A04783">
      <w:rPr>
        <w:rFonts w:ascii="Arial" w:hAnsi="Arial" w:cs="Arial"/>
        <w:sz w:val="18"/>
        <w:szCs w:val="18"/>
      </w:rPr>
      <w:instrText xml:space="preserve"> PAGE </w:instrText>
    </w:r>
    <w:r w:rsidR="00D176CF" w:rsidRPr="00A04783">
      <w:rPr>
        <w:rFonts w:ascii="Arial" w:hAnsi="Arial" w:cs="Arial"/>
        <w:sz w:val="18"/>
        <w:szCs w:val="18"/>
      </w:rPr>
      <w:fldChar w:fldCharType="separate"/>
    </w:r>
    <w:r w:rsidR="007717F2" w:rsidRPr="00A04783">
      <w:rPr>
        <w:rFonts w:ascii="Arial" w:hAnsi="Arial" w:cs="Arial"/>
        <w:noProof/>
        <w:sz w:val="18"/>
        <w:szCs w:val="18"/>
      </w:rPr>
      <w:t>1</w:t>
    </w:r>
    <w:r w:rsidR="00D176CF" w:rsidRPr="00A04783">
      <w:rPr>
        <w:rFonts w:ascii="Arial" w:hAnsi="Arial" w:cs="Arial"/>
        <w:sz w:val="18"/>
        <w:szCs w:val="18"/>
      </w:rPr>
      <w:fldChar w:fldCharType="end"/>
    </w:r>
    <w:r w:rsidR="00D176CF" w:rsidRPr="00A04783">
      <w:rPr>
        <w:rFonts w:ascii="Arial" w:hAnsi="Arial" w:cs="Arial"/>
        <w:sz w:val="18"/>
        <w:szCs w:val="18"/>
      </w:rPr>
      <w:t xml:space="preserve"> of </w:t>
    </w:r>
    <w:r w:rsidR="00D176CF" w:rsidRPr="00A04783">
      <w:rPr>
        <w:rFonts w:ascii="Arial" w:hAnsi="Arial" w:cs="Arial"/>
        <w:sz w:val="18"/>
        <w:szCs w:val="18"/>
      </w:rPr>
      <w:fldChar w:fldCharType="begin"/>
    </w:r>
    <w:r w:rsidR="00D176CF" w:rsidRPr="00A04783">
      <w:rPr>
        <w:rFonts w:ascii="Arial" w:hAnsi="Arial" w:cs="Arial"/>
        <w:sz w:val="18"/>
        <w:szCs w:val="18"/>
      </w:rPr>
      <w:instrText xml:space="preserve"> NUMPAGES </w:instrText>
    </w:r>
    <w:r w:rsidR="00D176CF" w:rsidRPr="00A04783">
      <w:rPr>
        <w:rFonts w:ascii="Arial" w:hAnsi="Arial" w:cs="Arial"/>
        <w:sz w:val="18"/>
        <w:szCs w:val="18"/>
      </w:rPr>
      <w:fldChar w:fldCharType="separate"/>
    </w:r>
    <w:r w:rsidR="007717F2" w:rsidRPr="00A04783">
      <w:rPr>
        <w:rFonts w:ascii="Arial" w:hAnsi="Arial" w:cs="Arial"/>
        <w:noProof/>
        <w:sz w:val="18"/>
        <w:szCs w:val="18"/>
      </w:rPr>
      <w:t>2</w:t>
    </w:r>
    <w:r w:rsidR="00D176CF" w:rsidRPr="00A04783">
      <w:rPr>
        <w:rFonts w:ascii="Arial" w:hAnsi="Arial" w:cs="Arial"/>
        <w:sz w:val="18"/>
        <w:szCs w:val="18"/>
      </w:rPr>
      <w:fldChar w:fldCharType="end"/>
    </w:r>
  </w:p>
  <w:p w14:paraId="26F70CE9" w14:textId="77777777" w:rsidR="00D176CF" w:rsidRPr="00A04783" w:rsidRDefault="00D176CF">
    <w:pPr>
      <w:pStyle w:val="Footer"/>
      <w:tabs>
        <w:tab w:val="clear" w:pos="4320"/>
        <w:tab w:val="clear" w:pos="8640"/>
        <w:tab w:val="right" w:pos="9360"/>
      </w:tabs>
      <w:rPr>
        <w:rFonts w:ascii="Arial" w:hAnsi="Arial" w:cs="Arial"/>
        <w:sz w:val="18"/>
        <w:szCs w:val="18"/>
      </w:rPr>
    </w:pPr>
    <w:r w:rsidRPr="00A04783">
      <w:rPr>
        <w:rFonts w:ascii="Arial" w:hAnsi="Arial" w:cs="Arial"/>
        <w:sz w:val="18"/>
        <w:szCs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80FA"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34808" w14:textId="77777777" w:rsidR="002D4236" w:rsidRDefault="002D4236">
      <w:r>
        <w:separator/>
      </w:r>
    </w:p>
  </w:footnote>
  <w:footnote w:type="continuationSeparator" w:id="0">
    <w:p w14:paraId="6906A2C4" w14:textId="77777777" w:rsidR="002D4236" w:rsidRDefault="002D4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CAE0" w14:textId="5BC61677" w:rsidR="00D176CF" w:rsidRDefault="00FC590C" w:rsidP="00CD165D">
    <w:pPr>
      <w:pStyle w:val="Header"/>
      <w:jc w:val="center"/>
      <w:rPr>
        <w:sz w:val="32"/>
      </w:rPr>
    </w:pPr>
    <w:r>
      <w:rPr>
        <w:sz w:val="32"/>
      </w:rPr>
      <w:t>PGRR 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pt;height:18pt;visibility:visible;mso-wrap-style:square" o:bullet="t">
        <v:imagedata r:id="rId1" o:title=""/>
      </v:shape>
    </w:pict>
  </w:numPicBullet>
  <w:numPicBullet w:numPicBulletId="1">
    <w:pict>
      <v:shape id="_x0000_i1026" type="#_x0000_t75" style="width:18pt;height:18pt;visibility:visible;mso-wrap-style:square" o:bullet="t">
        <v:imagedata r:id="rId2" o:title=""/>
      </v:shape>
    </w:pict>
  </w:numPicBullet>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CC47B13"/>
    <w:multiLevelType w:val="hybridMultilevel"/>
    <w:tmpl w:val="D5188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46D99"/>
    <w:multiLevelType w:val="hybridMultilevel"/>
    <w:tmpl w:val="D4901648"/>
    <w:lvl w:ilvl="0" w:tplc="744C29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79592C"/>
    <w:multiLevelType w:val="hybridMultilevel"/>
    <w:tmpl w:val="521EA7B2"/>
    <w:lvl w:ilvl="0" w:tplc="D3D2AE2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206407035">
    <w:abstractNumId w:val="0"/>
  </w:num>
  <w:num w:numId="2" w16cid:durableId="1168253600">
    <w:abstractNumId w:val="14"/>
  </w:num>
  <w:num w:numId="3" w16cid:durableId="1465851006">
    <w:abstractNumId w:val="15"/>
  </w:num>
  <w:num w:numId="4" w16cid:durableId="2101876533">
    <w:abstractNumId w:val="1"/>
  </w:num>
  <w:num w:numId="5" w16cid:durableId="90930211">
    <w:abstractNumId w:val="10"/>
  </w:num>
  <w:num w:numId="6" w16cid:durableId="147064057">
    <w:abstractNumId w:val="10"/>
  </w:num>
  <w:num w:numId="7" w16cid:durableId="1755010341">
    <w:abstractNumId w:val="10"/>
  </w:num>
  <w:num w:numId="8" w16cid:durableId="1467819988">
    <w:abstractNumId w:val="10"/>
  </w:num>
  <w:num w:numId="9" w16cid:durableId="2243846">
    <w:abstractNumId w:val="10"/>
  </w:num>
  <w:num w:numId="10" w16cid:durableId="1707677871">
    <w:abstractNumId w:val="10"/>
  </w:num>
  <w:num w:numId="11" w16cid:durableId="1251043373">
    <w:abstractNumId w:val="10"/>
  </w:num>
  <w:num w:numId="12" w16cid:durableId="2116292320">
    <w:abstractNumId w:val="10"/>
  </w:num>
  <w:num w:numId="13" w16cid:durableId="1336956191">
    <w:abstractNumId w:val="10"/>
  </w:num>
  <w:num w:numId="14" w16cid:durableId="2090686666">
    <w:abstractNumId w:val="5"/>
  </w:num>
  <w:num w:numId="15" w16cid:durableId="437800973">
    <w:abstractNumId w:val="9"/>
  </w:num>
  <w:num w:numId="16" w16cid:durableId="700282402">
    <w:abstractNumId w:val="12"/>
  </w:num>
  <w:num w:numId="17" w16cid:durableId="1309476948">
    <w:abstractNumId w:val="13"/>
  </w:num>
  <w:num w:numId="18" w16cid:durableId="550963706">
    <w:abstractNumId w:val="6"/>
  </w:num>
  <w:num w:numId="19" w16cid:durableId="1284192548">
    <w:abstractNumId w:val="11"/>
  </w:num>
  <w:num w:numId="20" w16cid:durableId="856843399">
    <w:abstractNumId w:val="3"/>
  </w:num>
  <w:num w:numId="21" w16cid:durableId="2050251956">
    <w:abstractNumId w:val="8"/>
  </w:num>
  <w:num w:numId="22" w16cid:durableId="1295477459">
    <w:abstractNumId w:val="2"/>
  </w:num>
  <w:num w:numId="23" w16cid:durableId="2118213869">
    <w:abstractNumId w:val="4"/>
  </w:num>
  <w:num w:numId="24" w16cid:durableId="17278767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433CF"/>
    <w:rsid w:val="00060A5A"/>
    <w:rsid w:val="0006459A"/>
    <w:rsid w:val="00064B44"/>
    <w:rsid w:val="00067FE2"/>
    <w:rsid w:val="000729F0"/>
    <w:rsid w:val="0007607A"/>
    <w:rsid w:val="0007682E"/>
    <w:rsid w:val="000842A0"/>
    <w:rsid w:val="00085075"/>
    <w:rsid w:val="000971EE"/>
    <w:rsid w:val="000A011A"/>
    <w:rsid w:val="000A1C8F"/>
    <w:rsid w:val="000B70DB"/>
    <w:rsid w:val="000C6360"/>
    <w:rsid w:val="000D1AEB"/>
    <w:rsid w:val="000D3E64"/>
    <w:rsid w:val="000D4938"/>
    <w:rsid w:val="000D7992"/>
    <w:rsid w:val="000F13C5"/>
    <w:rsid w:val="001003BD"/>
    <w:rsid w:val="00105A36"/>
    <w:rsid w:val="00116B2A"/>
    <w:rsid w:val="00126AEB"/>
    <w:rsid w:val="001279B7"/>
    <w:rsid w:val="001313B4"/>
    <w:rsid w:val="00144FEE"/>
    <w:rsid w:val="0014546D"/>
    <w:rsid w:val="001500D9"/>
    <w:rsid w:val="00156DB7"/>
    <w:rsid w:val="00157228"/>
    <w:rsid w:val="00160C3C"/>
    <w:rsid w:val="0017783C"/>
    <w:rsid w:val="001918FF"/>
    <w:rsid w:val="0019314C"/>
    <w:rsid w:val="001A0E25"/>
    <w:rsid w:val="001D56E5"/>
    <w:rsid w:val="001E1D87"/>
    <w:rsid w:val="001E3436"/>
    <w:rsid w:val="001F38F0"/>
    <w:rsid w:val="002121B4"/>
    <w:rsid w:val="00225679"/>
    <w:rsid w:val="00237430"/>
    <w:rsid w:val="00276A99"/>
    <w:rsid w:val="00286AD9"/>
    <w:rsid w:val="002966F3"/>
    <w:rsid w:val="002B69F3"/>
    <w:rsid w:val="002B763A"/>
    <w:rsid w:val="002C4D7D"/>
    <w:rsid w:val="002C5C94"/>
    <w:rsid w:val="002D2017"/>
    <w:rsid w:val="002D382A"/>
    <w:rsid w:val="002D4236"/>
    <w:rsid w:val="002F1EDD"/>
    <w:rsid w:val="003013F2"/>
    <w:rsid w:val="0030232A"/>
    <w:rsid w:val="0030694A"/>
    <w:rsid w:val="003069F4"/>
    <w:rsid w:val="003352A5"/>
    <w:rsid w:val="00342163"/>
    <w:rsid w:val="00342BEB"/>
    <w:rsid w:val="00344376"/>
    <w:rsid w:val="0034531F"/>
    <w:rsid w:val="00351EFB"/>
    <w:rsid w:val="00360920"/>
    <w:rsid w:val="00362738"/>
    <w:rsid w:val="00380B23"/>
    <w:rsid w:val="00382DF4"/>
    <w:rsid w:val="00384709"/>
    <w:rsid w:val="00386C35"/>
    <w:rsid w:val="0039719F"/>
    <w:rsid w:val="003A3D77"/>
    <w:rsid w:val="003B5AED"/>
    <w:rsid w:val="003B67ED"/>
    <w:rsid w:val="003B7C94"/>
    <w:rsid w:val="003C2D90"/>
    <w:rsid w:val="003C6B7B"/>
    <w:rsid w:val="003D26AB"/>
    <w:rsid w:val="004135BD"/>
    <w:rsid w:val="004302A4"/>
    <w:rsid w:val="004463BA"/>
    <w:rsid w:val="00456B5C"/>
    <w:rsid w:val="00460A71"/>
    <w:rsid w:val="004728EA"/>
    <w:rsid w:val="004822D4"/>
    <w:rsid w:val="0049290B"/>
    <w:rsid w:val="004A4451"/>
    <w:rsid w:val="004B1B99"/>
    <w:rsid w:val="004B4246"/>
    <w:rsid w:val="004C189D"/>
    <w:rsid w:val="004D3958"/>
    <w:rsid w:val="004E6369"/>
    <w:rsid w:val="004E75D1"/>
    <w:rsid w:val="005008DF"/>
    <w:rsid w:val="00502AED"/>
    <w:rsid w:val="005045D0"/>
    <w:rsid w:val="005112F6"/>
    <w:rsid w:val="005217F5"/>
    <w:rsid w:val="00526E2E"/>
    <w:rsid w:val="00534C6C"/>
    <w:rsid w:val="00536897"/>
    <w:rsid w:val="005841C0"/>
    <w:rsid w:val="0059260F"/>
    <w:rsid w:val="00593E23"/>
    <w:rsid w:val="00595259"/>
    <w:rsid w:val="005C39E0"/>
    <w:rsid w:val="005E1113"/>
    <w:rsid w:val="005E5074"/>
    <w:rsid w:val="005F0752"/>
    <w:rsid w:val="00612E4F"/>
    <w:rsid w:val="00615D5E"/>
    <w:rsid w:val="006210B8"/>
    <w:rsid w:val="00621DCF"/>
    <w:rsid w:val="00622C3E"/>
    <w:rsid w:val="00622E99"/>
    <w:rsid w:val="00625E5D"/>
    <w:rsid w:val="006342A0"/>
    <w:rsid w:val="0066370F"/>
    <w:rsid w:val="00686B7C"/>
    <w:rsid w:val="0069658B"/>
    <w:rsid w:val="006A0784"/>
    <w:rsid w:val="006A697B"/>
    <w:rsid w:val="006B4DDE"/>
    <w:rsid w:val="006C798F"/>
    <w:rsid w:val="006E007D"/>
    <w:rsid w:val="006F65DB"/>
    <w:rsid w:val="00701BF4"/>
    <w:rsid w:val="00725D47"/>
    <w:rsid w:val="007313AB"/>
    <w:rsid w:val="00740FB9"/>
    <w:rsid w:val="00743968"/>
    <w:rsid w:val="00760D64"/>
    <w:rsid w:val="00766068"/>
    <w:rsid w:val="007717F2"/>
    <w:rsid w:val="00772F88"/>
    <w:rsid w:val="00775B5B"/>
    <w:rsid w:val="00785415"/>
    <w:rsid w:val="00791CB9"/>
    <w:rsid w:val="00793130"/>
    <w:rsid w:val="007B3233"/>
    <w:rsid w:val="007B5A42"/>
    <w:rsid w:val="007C199B"/>
    <w:rsid w:val="007C5EC8"/>
    <w:rsid w:val="007D3073"/>
    <w:rsid w:val="007D64B9"/>
    <w:rsid w:val="007D72D4"/>
    <w:rsid w:val="007E0452"/>
    <w:rsid w:val="008070C0"/>
    <w:rsid w:val="00811212"/>
    <w:rsid w:val="00811C12"/>
    <w:rsid w:val="00833487"/>
    <w:rsid w:val="00845373"/>
    <w:rsid w:val="00845778"/>
    <w:rsid w:val="00861540"/>
    <w:rsid w:val="00866483"/>
    <w:rsid w:val="00867060"/>
    <w:rsid w:val="008807D5"/>
    <w:rsid w:val="00885232"/>
    <w:rsid w:val="00887E28"/>
    <w:rsid w:val="0089272B"/>
    <w:rsid w:val="008B24AF"/>
    <w:rsid w:val="008C0486"/>
    <w:rsid w:val="008C62DD"/>
    <w:rsid w:val="008D05F4"/>
    <w:rsid w:val="008D5C3A"/>
    <w:rsid w:val="008E6484"/>
    <w:rsid w:val="008E6DA2"/>
    <w:rsid w:val="008F47F1"/>
    <w:rsid w:val="0090275C"/>
    <w:rsid w:val="00903080"/>
    <w:rsid w:val="00907B1E"/>
    <w:rsid w:val="00943AFD"/>
    <w:rsid w:val="00963A51"/>
    <w:rsid w:val="009664B6"/>
    <w:rsid w:val="00977B74"/>
    <w:rsid w:val="00983B6E"/>
    <w:rsid w:val="009847A4"/>
    <w:rsid w:val="009936F8"/>
    <w:rsid w:val="00997B94"/>
    <w:rsid w:val="009A3772"/>
    <w:rsid w:val="009D17F0"/>
    <w:rsid w:val="009D1CCD"/>
    <w:rsid w:val="00A04783"/>
    <w:rsid w:val="00A14FDA"/>
    <w:rsid w:val="00A33B44"/>
    <w:rsid w:val="00A42796"/>
    <w:rsid w:val="00A5311D"/>
    <w:rsid w:val="00A67EEA"/>
    <w:rsid w:val="00A90DBD"/>
    <w:rsid w:val="00A947A0"/>
    <w:rsid w:val="00AA1B28"/>
    <w:rsid w:val="00AA3A85"/>
    <w:rsid w:val="00AC1B56"/>
    <w:rsid w:val="00AD3B58"/>
    <w:rsid w:val="00AF558B"/>
    <w:rsid w:val="00AF56C6"/>
    <w:rsid w:val="00B00CE0"/>
    <w:rsid w:val="00B032E8"/>
    <w:rsid w:val="00B366A8"/>
    <w:rsid w:val="00B55838"/>
    <w:rsid w:val="00B57F96"/>
    <w:rsid w:val="00B60B23"/>
    <w:rsid w:val="00B61054"/>
    <w:rsid w:val="00B67892"/>
    <w:rsid w:val="00B82DDE"/>
    <w:rsid w:val="00B83508"/>
    <w:rsid w:val="00BA4D33"/>
    <w:rsid w:val="00BA5648"/>
    <w:rsid w:val="00BB317D"/>
    <w:rsid w:val="00BC2D06"/>
    <w:rsid w:val="00BE2AAE"/>
    <w:rsid w:val="00BE2EF0"/>
    <w:rsid w:val="00BE3BBE"/>
    <w:rsid w:val="00C00130"/>
    <w:rsid w:val="00C10CE0"/>
    <w:rsid w:val="00C1628E"/>
    <w:rsid w:val="00C22687"/>
    <w:rsid w:val="00C24868"/>
    <w:rsid w:val="00C42937"/>
    <w:rsid w:val="00C46883"/>
    <w:rsid w:val="00C5524C"/>
    <w:rsid w:val="00C577FF"/>
    <w:rsid w:val="00C744EB"/>
    <w:rsid w:val="00C76A2C"/>
    <w:rsid w:val="00C90702"/>
    <w:rsid w:val="00C917FF"/>
    <w:rsid w:val="00C96EA3"/>
    <w:rsid w:val="00C9766A"/>
    <w:rsid w:val="00CA2637"/>
    <w:rsid w:val="00CA434F"/>
    <w:rsid w:val="00CA56B3"/>
    <w:rsid w:val="00CA699C"/>
    <w:rsid w:val="00CB1136"/>
    <w:rsid w:val="00CC4F39"/>
    <w:rsid w:val="00CD165D"/>
    <w:rsid w:val="00CD544C"/>
    <w:rsid w:val="00CF3451"/>
    <w:rsid w:val="00CF4256"/>
    <w:rsid w:val="00D04FE8"/>
    <w:rsid w:val="00D176CF"/>
    <w:rsid w:val="00D22848"/>
    <w:rsid w:val="00D271E3"/>
    <w:rsid w:val="00D30F69"/>
    <w:rsid w:val="00D47A80"/>
    <w:rsid w:val="00D5653E"/>
    <w:rsid w:val="00D61F38"/>
    <w:rsid w:val="00D80A3B"/>
    <w:rsid w:val="00D8278B"/>
    <w:rsid w:val="00D85807"/>
    <w:rsid w:val="00D87349"/>
    <w:rsid w:val="00D91EE9"/>
    <w:rsid w:val="00D95DEF"/>
    <w:rsid w:val="00D97220"/>
    <w:rsid w:val="00DC3FD6"/>
    <w:rsid w:val="00DD4374"/>
    <w:rsid w:val="00E13249"/>
    <w:rsid w:val="00E14D47"/>
    <w:rsid w:val="00E1641C"/>
    <w:rsid w:val="00E26708"/>
    <w:rsid w:val="00E34958"/>
    <w:rsid w:val="00E37AB0"/>
    <w:rsid w:val="00E71115"/>
    <w:rsid w:val="00E71C39"/>
    <w:rsid w:val="00E80731"/>
    <w:rsid w:val="00EA56E6"/>
    <w:rsid w:val="00EB604B"/>
    <w:rsid w:val="00EC335F"/>
    <w:rsid w:val="00EC48FB"/>
    <w:rsid w:val="00EF232A"/>
    <w:rsid w:val="00EF7D8F"/>
    <w:rsid w:val="00F05A69"/>
    <w:rsid w:val="00F312D1"/>
    <w:rsid w:val="00F34BEB"/>
    <w:rsid w:val="00F43FFD"/>
    <w:rsid w:val="00F44236"/>
    <w:rsid w:val="00F52517"/>
    <w:rsid w:val="00F61D40"/>
    <w:rsid w:val="00F7289C"/>
    <w:rsid w:val="00F87BF1"/>
    <w:rsid w:val="00FA57B2"/>
    <w:rsid w:val="00FB1205"/>
    <w:rsid w:val="00FB509B"/>
    <w:rsid w:val="00FC3D4B"/>
    <w:rsid w:val="00FC590C"/>
    <w:rsid w:val="00FC6312"/>
    <w:rsid w:val="00FE36E3"/>
    <w:rsid w:val="00FE6B01"/>
    <w:rsid w:val="00FF092A"/>
    <w:rsid w:val="00FF2AF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5412C"/>
  <w15:chartTrackingRefBased/>
  <w15:docId w15:val="{08792352-4614-4F26-83E8-19194D9D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link w:val="FootnoteTextChar"/>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Char1,Char1,Char2 Char Char Char Char,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Char1 Char,Char1 Char,Char2 Char Char Char Char Char,Char2 Char Char"/>
    <w:link w:val="List"/>
    <w:rsid w:val="00F05A69"/>
    <w:rPr>
      <w:sz w:val="24"/>
    </w:rPr>
  </w:style>
  <w:style w:type="paragraph" w:styleId="Revision">
    <w:name w:val="Revision"/>
    <w:hidden/>
    <w:uiPriority w:val="99"/>
    <w:semiHidden/>
    <w:rsid w:val="000D3E64"/>
    <w:rPr>
      <w:sz w:val="24"/>
      <w:szCs w:val="24"/>
    </w:rPr>
  </w:style>
  <w:style w:type="character" w:customStyle="1" w:styleId="H3Char">
    <w:name w:val="H3 Char"/>
    <w:link w:val="H3"/>
    <w:rsid w:val="006E007D"/>
    <w:rPr>
      <w:b/>
      <w:bCs/>
      <w:i/>
      <w:sz w:val="24"/>
    </w:rPr>
  </w:style>
  <w:style w:type="character" w:styleId="UnresolvedMention">
    <w:name w:val="Unresolved Mention"/>
    <w:basedOn w:val="DefaultParagraphFont"/>
    <w:uiPriority w:val="99"/>
    <w:semiHidden/>
    <w:unhideWhenUsed/>
    <w:rsid w:val="00AF558B"/>
    <w:rPr>
      <w:color w:val="605E5C"/>
      <w:shd w:val="clear" w:color="auto" w:fill="E1DFDD"/>
    </w:rPr>
  </w:style>
  <w:style w:type="paragraph" w:customStyle="1" w:styleId="BodyTextNumbered">
    <w:name w:val="Body Text Numbered"/>
    <w:basedOn w:val="BodyText"/>
    <w:link w:val="BodyTextNumberedChar1"/>
    <w:rsid w:val="00CF3451"/>
    <w:pPr>
      <w:ind w:left="720" w:hanging="720"/>
    </w:pPr>
    <w:rPr>
      <w:iCs/>
      <w:szCs w:val="20"/>
    </w:rPr>
  </w:style>
  <w:style w:type="character" w:customStyle="1" w:styleId="BodyTextNumberedChar1">
    <w:name w:val="Body Text Numbered Char1"/>
    <w:link w:val="BodyTextNumbered"/>
    <w:rsid w:val="00CF3451"/>
    <w:rPr>
      <w:iCs/>
      <w:sz w:val="24"/>
    </w:rPr>
  </w:style>
  <w:style w:type="character" w:customStyle="1" w:styleId="H2Char">
    <w:name w:val="H2 Char"/>
    <w:link w:val="H2"/>
    <w:rsid w:val="00775B5B"/>
    <w:rPr>
      <w:b/>
      <w:sz w:val="24"/>
    </w:rPr>
  </w:style>
  <w:style w:type="paragraph" w:styleId="ListParagraph">
    <w:name w:val="List Paragraph"/>
    <w:basedOn w:val="Normal"/>
    <w:uiPriority w:val="34"/>
    <w:qFormat/>
    <w:rsid w:val="00775B5B"/>
    <w:pPr>
      <w:spacing w:after="160" w:line="259" w:lineRule="auto"/>
      <w:ind w:left="720"/>
      <w:contextualSpacing/>
    </w:pPr>
    <w:rPr>
      <w:rFonts w:ascii="Calibri" w:eastAsia="Calibri" w:hAnsi="Calibri"/>
      <w:sz w:val="22"/>
      <w:szCs w:val="22"/>
    </w:rPr>
  </w:style>
  <w:style w:type="character" w:customStyle="1" w:styleId="FootnoteTextChar">
    <w:name w:val="Footnote Text Char"/>
    <w:basedOn w:val="DefaultParagraphFont"/>
    <w:link w:val="FootnoteText"/>
    <w:rsid w:val="0006459A"/>
    <w:rPr>
      <w:sz w:val="18"/>
    </w:rPr>
  </w:style>
  <w:style w:type="character" w:styleId="FootnoteReference">
    <w:name w:val="footnote reference"/>
    <w:rsid w:val="000645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emmeline@cleanpower.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udd.Messer@poweralliance.org"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cot.com/mktrules/issues/PGRR14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38A853E2A21D478864F317E572DCF9" ma:contentTypeVersion="16" ma:contentTypeDescription="Create a new document." ma:contentTypeScope="" ma:versionID="336795b8953911241ca859b14dcd6106">
  <xsd:schema xmlns:xsd="http://www.w3.org/2001/XMLSchema" xmlns:xs="http://www.w3.org/2001/XMLSchema" xmlns:p="http://schemas.microsoft.com/office/2006/metadata/properties" xmlns:ns3="97deaf5a-01d9-4834-89d2-802f43df07d1" xmlns:ns4="ded7f6be-006e-48d8-8435-0405bc84a9a7" targetNamespace="http://schemas.microsoft.com/office/2006/metadata/properties" ma:root="true" ma:fieldsID="ecdf7c2197d38f0f1df2d0344a8c3108" ns3:_="" ns4:_="">
    <xsd:import namespace="97deaf5a-01d9-4834-89d2-802f43df07d1"/>
    <xsd:import namespace="ded7f6be-006e-48d8-8435-0405bc84a9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eaf5a-01d9-4834-89d2-802f43df0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d7f6be-006e-48d8-8435-0405bc84a9a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7deaf5a-01d9-4834-89d2-802f43df07d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7749E-5BD7-4781-87D4-AD7CB756E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eaf5a-01d9-4834-89d2-802f43df07d1"/>
    <ds:schemaRef ds:uri="ded7f6be-006e-48d8-8435-0405bc84a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C31522-541A-4B32-8C13-571A4210E76B}">
  <ds:schemaRefs>
    <ds:schemaRef ds:uri="http://schemas.microsoft.com/sharepoint/v3/contenttype/forms"/>
  </ds:schemaRefs>
</ds:datastoreItem>
</file>

<file path=customXml/itemProps3.xml><?xml version="1.0" encoding="utf-8"?>
<ds:datastoreItem xmlns:ds="http://schemas.openxmlformats.org/officeDocument/2006/customXml" ds:itemID="{73891F78-5C41-42C8-8503-583B74168586}">
  <ds:schemaRefs>
    <ds:schemaRef ds:uri="http://schemas.microsoft.com/office/2006/metadata/properties"/>
    <ds:schemaRef ds:uri="http://schemas.microsoft.com/office/infopath/2007/PartnerControls"/>
    <ds:schemaRef ds:uri="97deaf5a-01d9-4834-89d2-802f43df07d1"/>
  </ds:schemaRefs>
</ds:datastoreItem>
</file>

<file path=customXml/itemProps4.xml><?xml version="1.0" encoding="utf-8"?>
<ds:datastoreItem xmlns:ds="http://schemas.openxmlformats.org/officeDocument/2006/customXml" ds:itemID="{E0669B4A-1A4E-4826-9FFD-E64FB156E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1478</Words>
  <Characters>8279</Characters>
  <Application>Microsoft Office Word</Application>
  <DocSecurity>0</DocSecurity>
  <Lines>153</Lines>
  <Paragraphs>48</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9709</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 2</cp:lastModifiedBy>
  <cp:revision>4</cp:revision>
  <cp:lastPrinted>2013-11-15T22:11:00Z</cp:lastPrinted>
  <dcterms:created xsi:type="dcterms:W3CDTF">2026-08-05T20:12:00Z</dcterms:created>
  <dcterms:modified xsi:type="dcterms:W3CDTF">2026-08-05T20:26:00Z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2023-12-27T17:27:57Z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e9e24716-fa7d-469d-a341-e7747804bdba</vt:lpwstr>
  </property>
  <property fmtid="{D5CDD505-2E9C-101B-9397-08002B2CF9AE}" pid="8" name="MSIP_Label_7084cbda-52b8-46fb-a7b7-cb5bd465ed85_ContentBits">
    <vt:lpwstr>0</vt:lpwstr>
  </property>
  <property fmtid="{D5CDD505-2E9C-101B-9397-08002B2CF9AE}" pid="9" name="ContentTypeId">
    <vt:lpwstr>0x010100E238A853E2A21D478864F317E572DCF9</vt:lpwstr>
  </property>
</Properties>
</file>