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FC590C" w14:paraId="551661EF" w14:textId="77777777" w:rsidTr="001F35EC">
        <w:tc>
          <w:tcPr>
            <w:tcW w:w="1620" w:type="dxa"/>
            <w:tcBorders>
              <w:bottom w:val="single" w:sz="4" w:space="0" w:color="auto"/>
            </w:tcBorders>
            <w:shd w:val="clear" w:color="auto" w:fill="FFFFFF"/>
            <w:vAlign w:val="center"/>
          </w:tcPr>
          <w:p w14:paraId="7BDFA6DD" w14:textId="77777777" w:rsidR="00FC590C" w:rsidRDefault="00FC590C" w:rsidP="001F35EC">
            <w:pPr>
              <w:pStyle w:val="Header"/>
              <w:rPr>
                <w:rFonts w:ascii="Verdana" w:hAnsi="Verdana"/>
                <w:sz w:val="22"/>
              </w:rPr>
            </w:pPr>
            <w:r>
              <w:t>PGRR Number</w:t>
            </w:r>
          </w:p>
        </w:tc>
        <w:tc>
          <w:tcPr>
            <w:tcW w:w="1260" w:type="dxa"/>
            <w:tcBorders>
              <w:bottom w:val="single" w:sz="4" w:space="0" w:color="auto"/>
            </w:tcBorders>
            <w:vAlign w:val="center"/>
          </w:tcPr>
          <w:p w14:paraId="4E115F3A" w14:textId="77777777" w:rsidR="00FC590C" w:rsidRDefault="00FC590C" w:rsidP="008C62DD">
            <w:pPr>
              <w:pStyle w:val="Header"/>
              <w:jc w:val="center"/>
            </w:pPr>
            <w:hyperlink r:id="rId11" w:history="1">
              <w:r w:rsidRPr="00460A71">
                <w:rPr>
                  <w:rStyle w:val="Hyperlink"/>
                </w:rPr>
                <w:t>146</w:t>
              </w:r>
            </w:hyperlink>
          </w:p>
        </w:tc>
        <w:tc>
          <w:tcPr>
            <w:tcW w:w="1440" w:type="dxa"/>
            <w:tcBorders>
              <w:bottom w:val="single" w:sz="4" w:space="0" w:color="auto"/>
            </w:tcBorders>
            <w:shd w:val="clear" w:color="auto" w:fill="FFFFFF"/>
            <w:vAlign w:val="center"/>
          </w:tcPr>
          <w:p w14:paraId="0B7F0020" w14:textId="77777777" w:rsidR="00FC590C" w:rsidRDefault="00FC590C" w:rsidP="001F35EC">
            <w:pPr>
              <w:pStyle w:val="Header"/>
            </w:pPr>
            <w:r>
              <w:t>PGRR Title</w:t>
            </w:r>
          </w:p>
        </w:tc>
        <w:tc>
          <w:tcPr>
            <w:tcW w:w="6120" w:type="dxa"/>
            <w:tcBorders>
              <w:bottom w:val="single" w:sz="4" w:space="0" w:color="auto"/>
            </w:tcBorders>
            <w:vAlign w:val="center"/>
          </w:tcPr>
          <w:p w14:paraId="22348D1D" w14:textId="77777777" w:rsidR="00FC590C" w:rsidRDefault="00FC590C" w:rsidP="001F35EC">
            <w:pPr>
              <w:pStyle w:val="Header"/>
            </w:pPr>
            <w:r>
              <w:t>Rename Quarterly Stability Assessment and Modify the Assessment Schedule</w:t>
            </w:r>
          </w:p>
        </w:tc>
      </w:tr>
    </w:tbl>
    <w:p w14:paraId="67AC9D06"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52E2EEAB" w14:textId="77777777" w:rsidTr="001F35EC">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6410DAED" w14:textId="77777777" w:rsidR="00FC590C" w:rsidRDefault="00FC590C" w:rsidP="001F35EC">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75AB9794" w14:textId="2A4C068C" w:rsidR="00FC590C" w:rsidRDefault="001E1912" w:rsidP="001F35EC">
            <w:pPr>
              <w:pStyle w:val="NormalArial"/>
            </w:pPr>
            <w:r>
              <w:t xml:space="preserve">August </w:t>
            </w:r>
            <w:r w:rsidR="00833FB1">
              <w:t>3</w:t>
            </w:r>
            <w:r w:rsidR="00FC590C">
              <w:t>, 2026</w:t>
            </w:r>
          </w:p>
        </w:tc>
      </w:tr>
    </w:tbl>
    <w:p w14:paraId="5E327FF8"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68C31EA6" w14:textId="77777777" w:rsidTr="001F35EC">
        <w:trPr>
          <w:trHeight w:val="440"/>
        </w:trPr>
        <w:tc>
          <w:tcPr>
            <w:tcW w:w="10440" w:type="dxa"/>
            <w:gridSpan w:val="2"/>
            <w:tcBorders>
              <w:top w:val="single" w:sz="4" w:space="0" w:color="auto"/>
            </w:tcBorders>
            <w:shd w:val="clear" w:color="auto" w:fill="FFFFFF"/>
            <w:vAlign w:val="center"/>
          </w:tcPr>
          <w:p w14:paraId="52643146" w14:textId="77777777" w:rsidR="00FC590C" w:rsidRDefault="00FC590C" w:rsidP="001F35EC">
            <w:pPr>
              <w:pStyle w:val="Header"/>
              <w:jc w:val="center"/>
            </w:pPr>
            <w:r>
              <w:t>Submitter’s Information</w:t>
            </w:r>
          </w:p>
        </w:tc>
      </w:tr>
      <w:tr w:rsidR="0006459A" w14:paraId="7FD659BD" w14:textId="77777777" w:rsidTr="001F35EC">
        <w:trPr>
          <w:trHeight w:val="350"/>
        </w:trPr>
        <w:tc>
          <w:tcPr>
            <w:tcW w:w="2880" w:type="dxa"/>
            <w:shd w:val="clear" w:color="auto" w:fill="FFFFFF"/>
            <w:vAlign w:val="center"/>
          </w:tcPr>
          <w:p w14:paraId="207BA671" w14:textId="77777777" w:rsidR="0006459A" w:rsidRPr="00EC55B3" w:rsidRDefault="0006459A" w:rsidP="0006459A">
            <w:pPr>
              <w:pStyle w:val="Header"/>
            </w:pPr>
            <w:r w:rsidRPr="00EC55B3">
              <w:t>Name</w:t>
            </w:r>
          </w:p>
        </w:tc>
        <w:tc>
          <w:tcPr>
            <w:tcW w:w="7560" w:type="dxa"/>
            <w:vAlign w:val="center"/>
          </w:tcPr>
          <w:p w14:paraId="42ACF240" w14:textId="371D1135" w:rsidR="0006459A" w:rsidRDefault="001E1912" w:rsidP="0006459A">
            <w:pPr>
              <w:pStyle w:val="NormalArial"/>
            </w:pPr>
            <w:r>
              <w:t>Yunzhi Cheng; Atiqul Islam</w:t>
            </w:r>
          </w:p>
        </w:tc>
      </w:tr>
      <w:tr w:rsidR="0006459A" w14:paraId="391E5766" w14:textId="77777777" w:rsidTr="001F35EC">
        <w:trPr>
          <w:trHeight w:val="350"/>
        </w:trPr>
        <w:tc>
          <w:tcPr>
            <w:tcW w:w="2880" w:type="dxa"/>
            <w:shd w:val="clear" w:color="auto" w:fill="FFFFFF"/>
            <w:vAlign w:val="center"/>
          </w:tcPr>
          <w:p w14:paraId="5D3D955B" w14:textId="77777777" w:rsidR="0006459A" w:rsidRPr="00EC55B3" w:rsidRDefault="0006459A" w:rsidP="0006459A">
            <w:pPr>
              <w:pStyle w:val="Header"/>
            </w:pPr>
            <w:r w:rsidRPr="00EC55B3">
              <w:t>E-mail Address</w:t>
            </w:r>
          </w:p>
        </w:tc>
        <w:tc>
          <w:tcPr>
            <w:tcW w:w="7560" w:type="dxa"/>
            <w:vAlign w:val="center"/>
          </w:tcPr>
          <w:p w14:paraId="1E979AE7" w14:textId="468D4FA2" w:rsidR="0006459A" w:rsidRDefault="00833FB1" w:rsidP="0006459A">
            <w:pPr>
              <w:pStyle w:val="NormalArial"/>
            </w:pPr>
            <w:hyperlink r:id="rId12" w:history="1">
              <w:r w:rsidRPr="00A65C42">
                <w:rPr>
                  <w:rStyle w:val="Hyperlink"/>
                </w:rPr>
                <w:t>yunzhi.cheng@ercot.com</w:t>
              </w:r>
            </w:hyperlink>
            <w:r w:rsidR="001E1912" w:rsidRPr="001E1912">
              <w:t xml:space="preserve">; </w:t>
            </w:r>
            <w:hyperlink r:id="rId13" w:history="1">
              <w:r w:rsidR="001E1912" w:rsidRPr="001A7133">
                <w:rPr>
                  <w:rStyle w:val="Hyperlink"/>
                </w:rPr>
                <w:t>atiqul.islam@ercot.com</w:t>
              </w:r>
            </w:hyperlink>
          </w:p>
        </w:tc>
      </w:tr>
      <w:tr w:rsidR="0006459A" w14:paraId="51421AB6" w14:textId="77777777" w:rsidTr="001F35EC">
        <w:trPr>
          <w:trHeight w:val="350"/>
        </w:trPr>
        <w:tc>
          <w:tcPr>
            <w:tcW w:w="2880" w:type="dxa"/>
            <w:shd w:val="clear" w:color="auto" w:fill="FFFFFF"/>
            <w:vAlign w:val="center"/>
          </w:tcPr>
          <w:p w14:paraId="5C0BC8D5" w14:textId="77777777" w:rsidR="0006459A" w:rsidRPr="00EC55B3" w:rsidRDefault="0006459A" w:rsidP="0006459A">
            <w:pPr>
              <w:pStyle w:val="Header"/>
            </w:pPr>
            <w:r w:rsidRPr="00EC55B3">
              <w:t>Company</w:t>
            </w:r>
          </w:p>
        </w:tc>
        <w:tc>
          <w:tcPr>
            <w:tcW w:w="7560" w:type="dxa"/>
            <w:vAlign w:val="center"/>
          </w:tcPr>
          <w:p w14:paraId="4B2478FB" w14:textId="44C5A4D4" w:rsidR="0006459A" w:rsidRDefault="001E1912" w:rsidP="0006459A">
            <w:pPr>
              <w:pStyle w:val="NormalArial"/>
            </w:pPr>
            <w:r>
              <w:t>ERCOT</w:t>
            </w:r>
          </w:p>
        </w:tc>
      </w:tr>
      <w:tr w:rsidR="0006459A" w14:paraId="34A7166D" w14:textId="77777777" w:rsidTr="001F35EC">
        <w:trPr>
          <w:trHeight w:val="350"/>
        </w:trPr>
        <w:tc>
          <w:tcPr>
            <w:tcW w:w="2880" w:type="dxa"/>
            <w:tcBorders>
              <w:bottom w:val="single" w:sz="4" w:space="0" w:color="auto"/>
            </w:tcBorders>
            <w:shd w:val="clear" w:color="auto" w:fill="FFFFFF"/>
            <w:vAlign w:val="center"/>
          </w:tcPr>
          <w:p w14:paraId="700796AD" w14:textId="77777777" w:rsidR="0006459A" w:rsidRPr="00EC55B3" w:rsidRDefault="0006459A" w:rsidP="0006459A">
            <w:pPr>
              <w:pStyle w:val="Header"/>
            </w:pPr>
            <w:r w:rsidRPr="00EC55B3">
              <w:t>Phone Number</w:t>
            </w:r>
          </w:p>
        </w:tc>
        <w:tc>
          <w:tcPr>
            <w:tcW w:w="7560" w:type="dxa"/>
            <w:tcBorders>
              <w:bottom w:val="single" w:sz="4" w:space="0" w:color="auto"/>
            </w:tcBorders>
            <w:vAlign w:val="center"/>
          </w:tcPr>
          <w:p w14:paraId="6E2C4D87" w14:textId="0866B5D7" w:rsidR="0006459A" w:rsidRDefault="001E1912" w:rsidP="0006459A">
            <w:pPr>
              <w:pStyle w:val="NormalArial"/>
            </w:pPr>
            <w:r w:rsidRPr="001E1912">
              <w:t>512-248-3130; 512-248-6668</w:t>
            </w:r>
          </w:p>
        </w:tc>
      </w:tr>
      <w:tr w:rsidR="0006459A" w14:paraId="4FD13205" w14:textId="77777777" w:rsidTr="001F35EC">
        <w:trPr>
          <w:trHeight w:val="350"/>
        </w:trPr>
        <w:tc>
          <w:tcPr>
            <w:tcW w:w="2880" w:type="dxa"/>
            <w:shd w:val="clear" w:color="auto" w:fill="FFFFFF"/>
            <w:vAlign w:val="center"/>
          </w:tcPr>
          <w:p w14:paraId="09141A1C" w14:textId="77777777" w:rsidR="0006459A" w:rsidRPr="00EC55B3" w:rsidRDefault="0006459A" w:rsidP="0006459A">
            <w:pPr>
              <w:pStyle w:val="Header"/>
            </w:pPr>
            <w:r>
              <w:t>Cell</w:t>
            </w:r>
            <w:r w:rsidRPr="00EC55B3">
              <w:t xml:space="preserve"> Number</w:t>
            </w:r>
          </w:p>
        </w:tc>
        <w:tc>
          <w:tcPr>
            <w:tcW w:w="7560" w:type="dxa"/>
            <w:vAlign w:val="center"/>
          </w:tcPr>
          <w:p w14:paraId="633A54B9" w14:textId="4B620F6A" w:rsidR="0006459A" w:rsidRDefault="0006459A" w:rsidP="0006459A">
            <w:pPr>
              <w:pStyle w:val="NormalArial"/>
            </w:pPr>
          </w:p>
        </w:tc>
      </w:tr>
      <w:tr w:rsidR="0006459A" w14:paraId="7178D7D4" w14:textId="77777777" w:rsidTr="001F35EC">
        <w:trPr>
          <w:trHeight w:val="350"/>
        </w:trPr>
        <w:tc>
          <w:tcPr>
            <w:tcW w:w="2880" w:type="dxa"/>
            <w:tcBorders>
              <w:bottom w:val="single" w:sz="4" w:space="0" w:color="auto"/>
            </w:tcBorders>
            <w:shd w:val="clear" w:color="auto" w:fill="FFFFFF"/>
            <w:vAlign w:val="center"/>
          </w:tcPr>
          <w:p w14:paraId="2778CA7A" w14:textId="77777777" w:rsidR="0006459A" w:rsidRPr="00EC55B3" w:rsidDel="00075A94" w:rsidRDefault="0006459A" w:rsidP="0006459A">
            <w:pPr>
              <w:pStyle w:val="Header"/>
            </w:pPr>
            <w:r>
              <w:t>Market Segment</w:t>
            </w:r>
          </w:p>
        </w:tc>
        <w:tc>
          <w:tcPr>
            <w:tcW w:w="7560" w:type="dxa"/>
            <w:tcBorders>
              <w:bottom w:val="single" w:sz="4" w:space="0" w:color="auto"/>
            </w:tcBorders>
            <w:vAlign w:val="center"/>
          </w:tcPr>
          <w:p w14:paraId="5FFC69EF" w14:textId="3F50F0CE" w:rsidR="0006459A" w:rsidRDefault="00833FB1" w:rsidP="0006459A">
            <w:pPr>
              <w:pStyle w:val="NormalArial"/>
            </w:pPr>
            <w:r>
              <w:t>Not Applicable</w:t>
            </w:r>
          </w:p>
        </w:tc>
      </w:tr>
    </w:tbl>
    <w:p w14:paraId="54D13182" w14:textId="77777777" w:rsidR="00FC590C" w:rsidRDefault="00FC590C" w:rsidP="00FC590C">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FC590C" w:rsidRPr="00F038EC" w14:paraId="5A855B99" w14:textId="77777777" w:rsidTr="001F35EC">
        <w:trPr>
          <w:trHeight w:val="422"/>
          <w:jc w:val="center"/>
        </w:trPr>
        <w:tc>
          <w:tcPr>
            <w:tcW w:w="10440" w:type="dxa"/>
            <w:vAlign w:val="center"/>
          </w:tcPr>
          <w:p w14:paraId="78651FE4" w14:textId="77777777" w:rsidR="00FC590C" w:rsidRPr="00075A94" w:rsidRDefault="00FC590C" w:rsidP="001F35EC">
            <w:pPr>
              <w:pStyle w:val="Header"/>
              <w:jc w:val="center"/>
            </w:pPr>
            <w:r w:rsidRPr="00075A94">
              <w:t>Comments</w:t>
            </w:r>
          </w:p>
        </w:tc>
      </w:tr>
    </w:tbl>
    <w:p w14:paraId="74EDFCC4" w14:textId="2E512E60" w:rsidR="006E6C66" w:rsidRDefault="006E6C66" w:rsidP="001E1912">
      <w:pPr>
        <w:spacing w:before="120" w:after="120"/>
        <w:rPr>
          <w:rFonts w:ascii="Arial" w:hAnsi="Arial" w:cs="Arial"/>
        </w:rPr>
      </w:pPr>
      <w:r w:rsidRPr="006E6C66">
        <w:rPr>
          <w:rFonts w:ascii="Arial" w:hAnsi="Arial" w:cs="Arial"/>
        </w:rPr>
        <w:t>ERCOT submits these comments in response to the changes proposed by the</w:t>
      </w:r>
      <w:r w:rsidR="00833FB1">
        <w:rPr>
          <w:rFonts w:ascii="Arial" w:hAnsi="Arial" w:cs="Arial"/>
        </w:rPr>
        <w:t xml:space="preserve"> 7/31/26 </w:t>
      </w:r>
      <w:r w:rsidRPr="006E6C66">
        <w:rPr>
          <w:rFonts w:ascii="Arial" w:hAnsi="Arial" w:cs="Arial"/>
        </w:rPr>
        <w:t xml:space="preserve"> Advanced Power Alliance (APA) and American Clean Power Association (ACP) comments.</w:t>
      </w:r>
      <w:r w:rsidR="00833FB1">
        <w:rPr>
          <w:rFonts w:ascii="Arial" w:hAnsi="Arial" w:cs="Arial"/>
        </w:rPr>
        <w:t xml:space="preserve"> </w:t>
      </w:r>
      <w:r w:rsidRPr="006E6C66">
        <w:rPr>
          <w:rFonts w:ascii="Arial" w:hAnsi="Arial" w:cs="Arial"/>
        </w:rPr>
        <w:t xml:space="preserve"> ERCOT also recommends an effective date of September 1, 2027, </w:t>
      </w:r>
      <w:r w:rsidR="00833FB1">
        <w:rPr>
          <w:rFonts w:ascii="Arial" w:hAnsi="Arial" w:cs="Arial"/>
        </w:rPr>
        <w:t xml:space="preserve">for Planning Guide Revision Request (PGRR) 146 </w:t>
      </w:r>
      <w:r w:rsidRPr="006E6C66">
        <w:rPr>
          <w:rFonts w:ascii="Arial" w:hAnsi="Arial" w:cs="Arial"/>
        </w:rPr>
        <w:t>as discussed below.</w:t>
      </w:r>
    </w:p>
    <w:p w14:paraId="1362C8C7" w14:textId="492358D1" w:rsidR="00CE5E92" w:rsidRPr="00CE5E92" w:rsidRDefault="00CE5E92" w:rsidP="00CE5E92">
      <w:pPr>
        <w:spacing w:before="120" w:after="120"/>
        <w:rPr>
          <w:rFonts w:ascii="Arial" w:hAnsi="Arial" w:cs="Arial"/>
        </w:rPr>
      </w:pPr>
      <w:r>
        <w:rPr>
          <w:rFonts w:ascii="Arial" w:hAnsi="Arial" w:cs="Arial"/>
        </w:rPr>
        <w:t>ERCOT does</w:t>
      </w:r>
      <w:r w:rsidR="006E6C66">
        <w:rPr>
          <w:rFonts w:ascii="Arial" w:hAnsi="Arial" w:cs="Arial"/>
        </w:rPr>
        <w:t xml:space="preserve"> not</w:t>
      </w:r>
      <w:r>
        <w:rPr>
          <w:rFonts w:ascii="Arial" w:hAnsi="Arial" w:cs="Arial"/>
        </w:rPr>
        <w:t xml:space="preserve"> support the revisions proposed </w:t>
      </w:r>
      <w:r w:rsidR="00833FB1">
        <w:rPr>
          <w:rFonts w:ascii="Arial" w:hAnsi="Arial" w:cs="Arial"/>
        </w:rPr>
        <w:t xml:space="preserve">in the 7/31/26 </w:t>
      </w:r>
      <w:r>
        <w:rPr>
          <w:rFonts w:ascii="Arial" w:hAnsi="Arial" w:cs="Arial"/>
        </w:rPr>
        <w:t xml:space="preserve">APA ACP </w:t>
      </w:r>
      <w:r w:rsidR="00833FB1">
        <w:rPr>
          <w:rFonts w:ascii="Arial" w:hAnsi="Arial" w:cs="Arial"/>
        </w:rPr>
        <w:t>comments</w:t>
      </w:r>
      <w:r>
        <w:rPr>
          <w:rFonts w:ascii="Arial" w:hAnsi="Arial" w:cs="Arial"/>
        </w:rPr>
        <w:t>.</w:t>
      </w:r>
      <w:r w:rsidR="002B1037">
        <w:rPr>
          <w:rFonts w:ascii="Arial" w:hAnsi="Arial" w:cs="Arial"/>
        </w:rPr>
        <w:t xml:space="preserve">  </w:t>
      </w:r>
      <w:r w:rsidR="002B1037" w:rsidRPr="00CE5E92">
        <w:rPr>
          <w:rFonts w:ascii="Arial" w:hAnsi="Arial" w:cs="Arial"/>
        </w:rPr>
        <w:t>The proposed language fundamentally changes the purpose of the existing 45-day prerequisite by converting a submission deadline into an iterative review-and-cure process.</w:t>
      </w:r>
      <w:r w:rsidR="00833FB1">
        <w:rPr>
          <w:rFonts w:ascii="Arial" w:hAnsi="Arial" w:cs="Arial"/>
        </w:rPr>
        <w:t xml:space="preserve"> </w:t>
      </w:r>
      <w:r w:rsidR="002B1037" w:rsidRPr="00CE5E92">
        <w:rPr>
          <w:rFonts w:ascii="Arial" w:hAnsi="Arial" w:cs="Arial"/>
        </w:rPr>
        <w:t xml:space="preserve"> </w:t>
      </w:r>
      <w:r w:rsidR="002B1037" w:rsidRPr="001E1912">
        <w:rPr>
          <w:rFonts w:ascii="Arial" w:hAnsi="Arial" w:cs="Arial"/>
        </w:rPr>
        <w:t xml:space="preserve">As required in Section 5.3.5, </w:t>
      </w:r>
      <w:r w:rsidR="00833FB1">
        <w:rPr>
          <w:rFonts w:ascii="Arial" w:hAnsi="Arial" w:cs="Arial"/>
        </w:rPr>
        <w:t>ERCOT Quarterly Stability Assessment, Interconnecting Entities (</w:t>
      </w:r>
      <w:r w:rsidR="002B1037" w:rsidRPr="001E1912">
        <w:rPr>
          <w:rFonts w:ascii="Arial" w:hAnsi="Arial" w:cs="Arial"/>
        </w:rPr>
        <w:t>IEs</w:t>
      </w:r>
      <w:r w:rsidR="00833FB1">
        <w:rPr>
          <w:rFonts w:ascii="Arial" w:hAnsi="Arial" w:cs="Arial"/>
        </w:rPr>
        <w:t>)</w:t>
      </w:r>
      <w:r w:rsidR="002B1037" w:rsidRPr="001E1912">
        <w:rPr>
          <w:rFonts w:ascii="Arial" w:hAnsi="Arial" w:cs="Arial"/>
        </w:rPr>
        <w:t xml:space="preserve"> are currently required to submit final dynamic model data at least 45 days prior to the designated deadline. </w:t>
      </w:r>
      <w:r w:rsidR="00833FB1">
        <w:rPr>
          <w:rFonts w:ascii="Arial" w:hAnsi="Arial" w:cs="Arial"/>
        </w:rPr>
        <w:t xml:space="preserve"> </w:t>
      </w:r>
      <w:r w:rsidRPr="00CE5E92">
        <w:rPr>
          <w:rFonts w:ascii="Arial" w:hAnsi="Arial" w:cs="Arial"/>
        </w:rPr>
        <w:t xml:space="preserve">The 45-day period is intended to allow ERCOT to verify that the submitted dynamic models are complete, </w:t>
      </w:r>
      <w:r w:rsidR="00A80B68">
        <w:rPr>
          <w:rFonts w:ascii="Arial" w:hAnsi="Arial" w:cs="Arial"/>
        </w:rPr>
        <w:t xml:space="preserve">technically acceptable, </w:t>
      </w:r>
      <w:r w:rsidRPr="00CE5E92">
        <w:rPr>
          <w:rFonts w:ascii="Arial" w:hAnsi="Arial" w:cs="Arial"/>
        </w:rPr>
        <w:t>and consistent with the assumptions used in the completed interconnection stability studies before preparing the qualifying stability assessment</w:t>
      </w:r>
      <w:r w:rsidR="00A80B68">
        <w:rPr>
          <w:rFonts w:ascii="Arial" w:hAnsi="Arial" w:cs="Arial"/>
        </w:rPr>
        <w:t xml:space="preserve"> (QSA)</w:t>
      </w:r>
      <w:r w:rsidRPr="00CE5E92">
        <w:rPr>
          <w:rFonts w:ascii="Arial" w:hAnsi="Arial" w:cs="Arial"/>
        </w:rPr>
        <w:t xml:space="preserve">. </w:t>
      </w:r>
      <w:r w:rsidR="006E6C66">
        <w:rPr>
          <w:rFonts w:ascii="Arial" w:hAnsi="Arial" w:cs="Arial"/>
        </w:rPr>
        <w:t xml:space="preserve"> </w:t>
      </w:r>
      <w:r w:rsidR="006E6C66" w:rsidRPr="006E6C66">
        <w:rPr>
          <w:rFonts w:ascii="Arial" w:hAnsi="Arial" w:cs="Arial"/>
        </w:rPr>
        <w:t>Material changes to the submitted dynamic models after completion of the interconnection stability studies may invalidate study assumptions and require additional engineering review or updated stability studies before the project can appropriately participate in the QSA</w:t>
      </w:r>
      <w:r w:rsidR="006E6C66">
        <w:rPr>
          <w:rFonts w:ascii="Arial" w:hAnsi="Arial" w:cs="Arial"/>
        </w:rPr>
        <w:t xml:space="preserve">. </w:t>
      </w:r>
      <w:r w:rsidR="00833FB1">
        <w:rPr>
          <w:rFonts w:ascii="Arial" w:hAnsi="Arial" w:cs="Arial"/>
        </w:rPr>
        <w:t xml:space="preserve"> </w:t>
      </w:r>
      <w:r w:rsidRPr="00CE5E92">
        <w:rPr>
          <w:rFonts w:ascii="Arial" w:hAnsi="Arial" w:cs="Arial"/>
        </w:rPr>
        <w:t xml:space="preserve">It is not intended to </w:t>
      </w:r>
      <w:r w:rsidR="00A80B68">
        <w:rPr>
          <w:rFonts w:ascii="Arial" w:hAnsi="Arial" w:cs="Arial"/>
        </w:rPr>
        <w:t xml:space="preserve">serve a period for </w:t>
      </w:r>
      <w:r w:rsidR="006E6C66">
        <w:rPr>
          <w:rFonts w:ascii="Arial" w:hAnsi="Arial" w:cs="Arial"/>
        </w:rPr>
        <w:t>continued model development</w:t>
      </w:r>
      <w:r w:rsidRPr="00CE5E92">
        <w:rPr>
          <w:rFonts w:ascii="Arial" w:hAnsi="Arial" w:cs="Arial"/>
        </w:rPr>
        <w:t>, parameter tuning, or engineering refinement</w:t>
      </w:r>
      <w:r>
        <w:rPr>
          <w:rFonts w:ascii="Arial" w:hAnsi="Arial" w:cs="Arial"/>
        </w:rPr>
        <w:t>.</w:t>
      </w:r>
    </w:p>
    <w:p w14:paraId="394118A9" w14:textId="1B91E902" w:rsidR="00CE5E92" w:rsidRDefault="00CE5E92" w:rsidP="00CE5E92">
      <w:pPr>
        <w:spacing w:before="120" w:after="120"/>
        <w:rPr>
          <w:rFonts w:ascii="Arial" w:hAnsi="Arial" w:cs="Arial"/>
        </w:rPr>
      </w:pPr>
      <w:r w:rsidRPr="00CE5E92">
        <w:rPr>
          <w:rFonts w:ascii="Arial" w:hAnsi="Arial" w:cs="Arial"/>
        </w:rPr>
        <w:t>Dynamic model deficiencies frequently require engineering evaluation, additional model quality testing, coordination among the Interconnecting Entity, equipment vendors, consultants, the interconnecting T</w:t>
      </w:r>
      <w:r w:rsidR="00833FB1">
        <w:rPr>
          <w:rFonts w:ascii="Arial" w:hAnsi="Arial" w:cs="Arial"/>
        </w:rPr>
        <w:t>ransmission Service Provider (T</w:t>
      </w:r>
      <w:r w:rsidRPr="00CE5E92">
        <w:rPr>
          <w:rFonts w:ascii="Arial" w:hAnsi="Arial" w:cs="Arial"/>
        </w:rPr>
        <w:t>SP</w:t>
      </w:r>
      <w:r w:rsidR="00833FB1">
        <w:rPr>
          <w:rFonts w:ascii="Arial" w:hAnsi="Arial" w:cs="Arial"/>
        </w:rPr>
        <w:t>)</w:t>
      </w:r>
      <w:r w:rsidRPr="00CE5E92">
        <w:rPr>
          <w:rFonts w:ascii="Arial" w:hAnsi="Arial" w:cs="Arial"/>
        </w:rPr>
        <w:t xml:space="preserve">, and ERCOT, and in some cases revisions to previously completed stability studies. </w:t>
      </w:r>
      <w:r w:rsidR="00833FB1">
        <w:rPr>
          <w:rFonts w:ascii="Arial" w:hAnsi="Arial" w:cs="Arial"/>
        </w:rPr>
        <w:t xml:space="preserve"> </w:t>
      </w:r>
      <w:r w:rsidRPr="00CE5E92">
        <w:rPr>
          <w:rFonts w:ascii="Arial" w:hAnsi="Arial" w:cs="Arial"/>
        </w:rPr>
        <w:t>The effort required varies significantly depending on the nature of the deficiency</w:t>
      </w:r>
      <w:r>
        <w:rPr>
          <w:rFonts w:ascii="Arial" w:hAnsi="Arial" w:cs="Arial"/>
        </w:rPr>
        <w:t xml:space="preserve">. </w:t>
      </w:r>
    </w:p>
    <w:p w14:paraId="67046418" w14:textId="4D7BA437" w:rsidR="006E6C66" w:rsidRDefault="00CE5E92" w:rsidP="00CE5E92">
      <w:pPr>
        <w:spacing w:before="120" w:after="120"/>
        <w:rPr>
          <w:rFonts w:ascii="Arial" w:hAnsi="Arial" w:cs="Arial"/>
        </w:rPr>
      </w:pPr>
      <w:r w:rsidRPr="00CE5E92">
        <w:rPr>
          <w:rFonts w:ascii="Arial" w:hAnsi="Arial" w:cs="Arial"/>
        </w:rPr>
        <w:t xml:space="preserve">Because the </w:t>
      </w:r>
      <w:r w:rsidR="00A80B68">
        <w:rPr>
          <w:rFonts w:ascii="Arial" w:hAnsi="Arial" w:cs="Arial"/>
        </w:rPr>
        <w:t>QSA</w:t>
      </w:r>
      <w:r w:rsidRPr="00CE5E92">
        <w:rPr>
          <w:rFonts w:ascii="Arial" w:hAnsi="Arial" w:cs="Arial"/>
        </w:rPr>
        <w:t xml:space="preserve"> is a coordinated system-wide study, delays associated with one project's unresolved model issues </w:t>
      </w:r>
      <w:r w:rsidR="00A80B68">
        <w:rPr>
          <w:rFonts w:ascii="Arial" w:hAnsi="Arial" w:cs="Arial"/>
        </w:rPr>
        <w:t>may</w:t>
      </w:r>
      <w:r w:rsidRPr="00CE5E92">
        <w:rPr>
          <w:rFonts w:ascii="Arial" w:hAnsi="Arial" w:cs="Arial"/>
        </w:rPr>
        <w:t xml:space="preserve"> affect study preparation, case development, Generic Transmission Constraint </w:t>
      </w:r>
      <w:r w:rsidR="00833FB1">
        <w:rPr>
          <w:rFonts w:ascii="Arial" w:hAnsi="Arial" w:cs="Arial"/>
        </w:rPr>
        <w:t xml:space="preserve">(GTC) </w:t>
      </w:r>
      <w:r w:rsidRPr="00CE5E92">
        <w:rPr>
          <w:rFonts w:ascii="Arial" w:hAnsi="Arial" w:cs="Arial"/>
        </w:rPr>
        <w:t xml:space="preserve">development, and the assessment schedule for </w:t>
      </w:r>
      <w:r w:rsidR="006E6C66">
        <w:rPr>
          <w:rFonts w:ascii="Arial" w:hAnsi="Arial" w:cs="Arial"/>
        </w:rPr>
        <w:t>all projects included in that assessment cycle</w:t>
      </w:r>
      <w:r w:rsidRPr="00CE5E92">
        <w:rPr>
          <w:rFonts w:ascii="Arial" w:hAnsi="Arial" w:cs="Arial"/>
        </w:rPr>
        <w:t xml:space="preserve">. </w:t>
      </w:r>
    </w:p>
    <w:p w14:paraId="26471F1D" w14:textId="6C1334EC" w:rsidR="00CE5E92" w:rsidRDefault="006E6C66" w:rsidP="00CE5E92">
      <w:pPr>
        <w:spacing w:before="120" w:after="120"/>
        <w:rPr>
          <w:rFonts w:ascii="Arial" w:hAnsi="Arial" w:cs="Arial"/>
        </w:rPr>
      </w:pPr>
      <w:r w:rsidRPr="006E6C66">
        <w:rPr>
          <w:rFonts w:ascii="Arial" w:hAnsi="Arial" w:cs="Arial"/>
        </w:rPr>
        <w:lastRenderedPageBreak/>
        <w:t xml:space="preserve">The existing prerequisite applies uniformly to all </w:t>
      </w:r>
      <w:r w:rsidR="00833FB1">
        <w:rPr>
          <w:rFonts w:ascii="Arial" w:hAnsi="Arial" w:cs="Arial"/>
        </w:rPr>
        <w:t>IEs</w:t>
      </w:r>
      <w:r w:rsidRPr="006E6C66">
        <w:rPr>
          <w:rFonts w:ascii="Arial" w:hAnsi="Arial" w:cs="Arial"/>
        </w:rPr>
        <w:t xml:space="preserve"> and establishes a clear expectation that complete and technically acceptable information must be submitted before inclusion in a </w:t>
      </w:r>
      <w:r w:rsidR="00A80B68">
        <w:rPr>
          <w:rFonts w:ascii="Arial" w:hAnsi="Arial" w:cs="Arial"/>
        </w:rPr>
        <w:t>QSA</w:t>
      </w:r>
      <w:r w:rsidRPr="006E6C66">
        <w:rPr>
          <w:rFonts w:ascii="Arial" w:hAnsi="Arial" w:cs="Arial"/>
        </w:rPr>
        <w:t xml:space="preserve">. </w:t>
      </w:r>
      <w:r w:rsidR="00833FB1">
        <w:rPr>
          <w:rFonts w:ascii="Arial" w:hAnsi="Arial" w:cs="Arial"/>
        </w:rPr>
        <w:t xml:space="preserve"> </w:t>
      </w:r>
      <w:r w:rsidRPr="006E6C66">
        <w:rPr>
          <w:rFonts w:ascii="Arial" w:hAnsi="Arial" w:cs="Arial"/>
        </w:rPr>
        <w:t>Maintaining this requirement ensures consistent treatment of all projects and avoids creating preferential treatment based on the timing or complexity of subsequent engineering revisions</w:t>
      </w:r>
      <w:r>
        <w:rPr>
          <w:rFonts w:ascii="Arial" w:hAnsi="Arial" w:cs="Arial"/>
        </w:rPr>
        <w:t xml:space="preserve">.  </w:t>
      </w:r>
      <w:r w:rsidR="002B1037">
        <w:rPr>
          <w:rFonts w:ascii="Arial" w:hAnsi="Arial" w:cs="Arial"/>
        </w:rPr>
        <w:t xml:space="preserve">  </w:t>
      </w:r>
    </w:p>
    <w:p w14:paraId="6A5EB2AE" w14:textId="22759EAC" w:rsidR="002B1037" w:rsidRPr="00CE5E92" w:rsidRDefault="002B1037" w:rsidP="00CE5E92">
      <w:pPr>
        <w:spacing w:before="120" w:after="120"/>
        <w:rPr>
          <w:rFonts w:ascii="Arial" w:hAnsi="Arial" w:cs="Arial"/>
        </w:rPr>
      </w:pPr>
      <w:r w:rsidRPr="002B1037">
        <w:rPr>
          <w:rFonts w:ascii="Arial" w:hAnsi="Arial" w:cs="Arial"/>
          <w:b/>
          <w:bCs/>
        </w:rPr>
        <w:t>ERCOT recommends an effective date of September 1, 2027, with the revised QSA schedule first applying to the November 2027 assessment cycle.</w:t>
      </w:r>
      <w:r w:rsidRPr="002B1037">
        <w:rPr>
          <w:rFonts w:ascii="Arial" w:hAnsi="Arial" w:cs="Arial"/>
        </w:rPr>
        <w:t xml:space="preserve"> </w:t>
      </w:r>
      <w:r w:rsidR="00833FB1">
        <w:rPr>
          <w:rFonts w:ascii="Arial" w:hAnsi="Arial" w:cs="Arial"/>
        </w:rPr>
        <w:t xml:space="preserve"> </w:t>
      </w:r>
      <w:r w:rsidRPr="002B1037">
        <w:rPr>
          <w:rFonts w:ascii="Arial" w:hAnsi="Arial" w:cs="Arial"/>
        </w:rPr>
        <w:t xml:space="preserve">The recommended effective date reflects the operational considerations associated with </w:t>
      </w:r>
      <w:r w:rsidRPr="00833FB1">
        <w:rPr>
          <w:rFonts w:ascii="Arial" w:hAnsi="Arial" w:cs="Arial"/>
        </w:rPr>
        <w:t xml:space="preserve">transitioning from four to three annual QSA cycles.  This implementation timeline provides sufficient advance notice for stakeholders and developers to adopt the revised assessment cadence. </w:t>
      </w:r>
      <w:r w:rsidR="00833FB1" w:rsidRPr="00833FB1">
        <w:rPr>
          <w:rFonts w:ascii="Arial" w:hAnsi="Arial" w:cs="Arial"/>
        </w:rPr>
        <w:t xml:space="preserve"> </w:t>
      </w:r>
      <w:r w:rsidRPr="00833FB1">
        <w:rPr>
          <w:rFonts w:ascii="Arial" w:hAnsi="Arial" w:cs="Arial"/>
        </w:rPr>
        <w:t>It also minimizes disruption to projects currently progressing through the existing QSA process, including Batch-Zero studies, and supports coordinated implementation with PGRR144</w:t>
      </w:r>
      <w:r w:rsidR="00833FB1" w:rsidRPr="00833FB1">
        <w:rPr>
          <w:rFonts w:ascii="Arial" w:hAnsi="Arial" w:cs="Arial"/>
        </w:rPr>
        <w:t xml:space="preserve">, </w:t>
      </w:r>
      <w:r w:rsidR="00833FB1" w:rsidRPr="00833FB1">
        <w:rPr>
          <w:rFonts w:ascii="Arial" w:hAnsi="Arial" w:cs="Arial"/>
        </w:rPr>
        <w:t>Dynamic Model Submission and Review Requirements for Large Loads including Large Computational Loads</w:t>
      </w:r>
      <w:r w:rsidRPr="00833FB1">
        <w:rPr>
          <w:rFonts w:ascii="Arial" w:hAnsi="Arial" w:cs="Arial"/>
        </w:rPr>
        <w:t xml:space="preserve">. </w:t>
      </w:r>
      <w:r w:rsidR="00833FB1" w:rsidRPr="00833FB1">
        <w:rPr>
          <w:rFonts w:ascii="Arial" w:hAnsi="Arial" w:cs="Arial"/>
        </w:rPr>
        <w:t xml:space="preserve"> </w:t>
      </w:r>
      <w:r w:rsidRPr="00833FB1">
        <w:rPr>
          <w:rFonts w:ascii="Arial" w:hAnsi="Arial" w:cs="Arial"/>
        </w:rPr>
        <w:t>Implementing the revised schedule beginning with a new assessment cycle provides a predictable transition for all stakeholders while avoiding</w:t>
      </w:r>
      <w:r w:rsidRPr="002B1037">
        <w:rPr>
          <w:rFonts w:ascii="Arial" w:hAnsi="Arial" w:cs="Arial"/>
        </w:rPr>
        <w:t xml:space="preserve"> unnecessary impacts to ongoing studies and established project timelines</w:t>
      </w:r>
    </w:p>
    <w:sectPr w:rsidR="002B1037" w:rsidRPr="00CE5E92">
      <w:headerReference w:type="default" r:id="rId14"/>
      <w:footerReference w:type="even" r:id="rId15"/>
      <w:footerReference w:type="defaul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A1D5" w14:textId="77777777" w:rsidR="00290A53" w:rsidRDefault="00290A53">
      <w:r>
        <w:separator/>
      </w:r>
    </w:p>
  </w:endnote>
  <w:endnote w:type="continuationSeparator" w:id="0">
    <w:p w14:paraId="100695B1" w14:textId="77777777" w:rsidR="00290A53" w:rsidRDefault="0029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48F240C4" w:rsidR="00D176CF" w:rsidRPr="00A04783" w:rsidRDefault="00833FB1">
    <w:pPr>
      <w:pStyle w:val="Footer"/>
      <w:tabs>
        <w:tab w:val="clear" w:pos="4320"/>
        <w:tab w:val="clear" w:pos="8640"/>
        <w:tab w:val="right" w:pos="9360"/>
      </w:tabs>
      <w:rPr>
        <w:rFonts w:ascii="Arial" w:hAnsi="Arial" w:cs="Arial"/>
        <w:sz w:val="18"/>
        <w:szCs w:val="18"/>
      </w:rPr>
    </w:pPr>
    <w:r>
      <w:rPr>
        <w:rFonts w:ascii="Arial" w:hAnsi="Arial" w:cs="Arial"/>
        <w:sz w:val="18"/>
        <w:szCs w:val="18"/>
      </w:rPr>
      <w:t>146PGRR-08 ERCOT Comments 080326</w:t>
    </w:r>
    <w:r w:rsidR="00D176CF" w:rsidRPr="00A04783">
      <w:rPr>
        <w:rFonts w:ascii="Arial" w:hAnsi="Arial" w:cs="Arial"/>
        <w:sz w:val="18"/>
        <w:szCs w:val="18"/>
      </w:rPr>
      <w:tab/>
      <w:t xml:space="preserve">Page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PAGE </w:instrText>
    </w:r>
    <w:r w:rsidR="00D176CF" w:rsidRPr="00A04783">
      <w:rPr>
        <w:rFonts w:ascii="Arial" w:hAnsi="Arial" w:cs="Arial"/>
        <w:sz w:val="18"/>
        <w:szCs w:val="18"/>
      </w:rPr>
      <w:fldChar w:fldCharType="separate"/>
    </w:r>
    <w:r w:rsidR="007717F2" w:rsidRPr="00A04783">
      <w:rPr>
        <w:rFonts w:ascii="Arial" w:hAnsi="Arial" w:cs="Arial"/>
        <w:noProof/>
        <w:sz w:val="18"/>
        <w:szCs w:val="18"/>
      </w:rPr>
      <w:t>1</w:t>
    </w:r>
    <w:r w:rsidR="00D176CF" w:rsidRPr="00A04783">
      <w:rPr>
        <w:rFonts w:ascii="Arial" w:hAnsi="Arial" w:cs="Arial"/>
        <w:sz w:val="18"/>
        <w:szCs w:val="18"/>
      </w:rPr>
      <w:fldChar w:fldCharType="end"/>
    </w:r>
    <w:r w:rsidR="00D176CF" w:rsidRPr="00A04783">
      <w:rPr>
        <w:rFonts w:ascii="Arial" w:hAnsi="Arial" w:cs="Arial"/>
        <w:sz w:val="18"/>
        <w:szCs w:val="18"/>
      </w:rPr>
      <w:t xml:space="preserve"> of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NUMPAGES </w:instrText>
    </w:r>
    <w:r w:rsidR="00D176CF" w:rsidRPr="00A04783">
      <w:rPr>
        <w:rFonts w:ascii="Arial" w:hAnsi="Arial" w:cs="Arial"/>
        <w:sz w:val="18"/>
        <w:szCs w:val="18"/>
      </w:rPr>
      <w:fldChar w:fldCharType="separate"/>
    </w:r>
    <w:r w:rsidR="007717F2" w:rsidRPr="00A04783">
      <w:rPr>
        <w:rFonts w:ascii="Arial" w:hAnsi="Arial" w:cs="Arial"/>
        <w:noProof/>
        <w:sz w:val="18"/>
        <w:szCs w:val="18"/>
      </w:rPr>
      <w:t>2</w:t>
    </w:r>
    <w:r w:rsidR="00D176CF" w:rsidRPr="00A04783">
      <w:rPr>
        <w:rFonts w:ascii="Arial" w:hAnsi="Arial" w:cs="Arial"/>
        <w:sz w:val="18"/>
        <w:szCs w:val="18"/>
      </w:rPr>
      <w:fldChar w:fldCharType="end"/>
    </w:r>
  </w:p>
  <w:p w14:paraId="26F70CE9" w14:textId="77777777" w:rsidR="00D176CF" w:rsidRPr="00A04783" w:rsidRDefault="00D176CF">
    <w:pPr>
      <w:pStyle w:val="Footer"/>
      <w:tabs>
        <w:tab w:val="clear" w:pos="4320"/>
        <w:tab w:val="clear" w:pos="8640"/>
        <w:tab w:val="right" w:pos="9360"/>
      </w:tabs>
      <w:rPr>
        <w:rFonts w:ascii="Arial" w:hAnsi="Arial" w:cs="Arial"/>
        <w:sz w:val="18"/>
        <w:szCs w:val="18"/>
      </w:rPr>
    </w:pPr>
    <w:r w:rsidRPr="00A04783">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CA5D" w14:textId="77777777" w:rsidR="00290A53" w:rsidRDefault="00290A53">
      <w:r>
        <w:separator/>
      </w:r>
    </w:p>
  </w:footnote>
  <w:footnote w:type="continuationSeparator" w:id="0">
    <w:p w14:paraId="6B76A1AF" w14:textId="77777777" w:rsidR="00290A53" w:rsidRDefault="0029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5BC61677" w:rsidR="00D176CF" w:rsidRDefault="00FC590C" w:rsidP="00CD165D">
    <w:pPr>
      <w:pStyle w:val="Header"/>
      <w:jc w:val="center"/>
      <w:rPr>
        <w:sz w:val="32"/>
      </w:rPr>
    </w:pPr>
    <w:r>
      <w:rPr>
        <w:sz w:val="32"/>
      </w:rPr>
      <w:t>PGRR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pt;height:18pt;visibility:visible;mso-wrap-style:square" o:bullet="t">
        <v:imagedata r:id="rId1" o:title=""/>
      </v:shape>
    </w:pict>
  </w:numPicBullet>
  <w:numPicBullet w:numPicBulletId="1">
    <w:pict>
      <v:shape id="_x0000_i1026" type="#_x0000_t75" style="width:18pt;height:18pt;visibility:visible;mso-wrap-style:square" o:bullet="t">
        <v:imagedata r:id="rId2"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CC47B13"/>
    <w:multiLevelType w:val="hybridMultilevel"/>
    <w:tmpl w:val="D518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2"/>
  </w:num>
  <w:num w:numId="3" w16cid:durableId="1465851006">
    <w:abstractNumId w:val="13"/>
  </w:num>
  <w:num w:numId="4" w16cid:durableId="2101876533">
    <w:abstractNumId w:val="1"/>
  </w:num>
  <w:num w:numId="5" w16cid:durableId="90930211">
    <w:abstractNumId w:val="8"/>
  </w:num>
  <w:num w:numId="6" w16cid:durableId="147064057">
    <w:abstractNumId w:val="8"/>
  </w:num>
  <w:num w:numId="7" w16cid:durableId="1755010341">
    <w:abstractNumId w:val="8"/>
  </w:num>
  <w:num w:numId="8" w16cid:durableId="1467819988">
    <w:abstractNumId w:val="8"/>
  </w:num>
  <w:num w:numId="9" w16cid:durableId="2243846">
    <w:abstractNumId w:val="8"/>
  </w:num>
  <w:num w:numId="10" w16cid:durableId="1707677871">
    <w:abstractNumId w:val="8"/>
  </w:num>
  <w:num w:numId="11" w16cid:durableId="1251043373">
    <w:abstractNumId w:val="8"/>
  </w:num>
  <w:num w:numId="12" w16cid:durableId="2116292320">
    <w:abstractNumId w:val="8"/>
  </w:num>
  <w:num w:numId="13" w16cid:durableId="1336956191">
    <w:abstractNumId w:val="8"/>
  </w:num>
  <w:num w:numId="14" w16cid:durableId="2090686666">
    <w:abstractNumId w:val="4"/>
  </w:num>
  <w:num w:numId="15" w16cid:durableId="437800973">
    <w:abstractNumId w:val="7"/>
  </w:num>
  <w:num w:numId="16" w16cid:durableId="700282402">
    <w:abstractNumId w:val="10"/>
  </w:num>
  <w:num w:numId="17" w16cid:durableId="1309476948">
    <w:abstractNumId w:val="11"/>
  </w:num>
  <w:num w:numId="18" w16cid:durableId="550963706">
    <w:abstractNumId w:val="5"/>
  </w:num>
  <w:num w:numId="19" w16cid:durableId="1284192548">
    <w:abstractNumId w:val="9"/>
  </w:num>
  <w:num w:numId="20" w16cid:durableId="856843399">
    <w:abstractNumId w:val="3"/>
  </w:num>
  <w:num w:numId="21" w16cid:durableId="2050251956">
    <w:abstractNumId w:val="6"/>
  </w:num>
  <w:num w:numId="22" w16cid:durableId="1295477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33CF"/>
    <w:rsid w:val="00060A5A"/>
    <w:rsid w:val="0006459A"/>
    <w:rsid w:val="00064B44"/>
    <w:rsid w:val="00066BA2"/>
    <w:rsid w:val="00067FE2"/>
    <w:rsid w:val="000729F0"/>
    <w:rsid w:val="0007607A"/>
    <w:rsid w:val="0007682E"/>
    <w:rsid w:val="000842A0"/>
    <w:rsid w:val="00085075"/>
    <w:rsid w:val="000971EE"/>
    <w:rsid w:val="000A011A"/>
    <w:rsid w:val="000A1C8F"/>
    <w:rsid w:val="000B70DB"/>
    <w:rsid w:val="000C6360"/>
    <w:rsid w:val="000D1AEB"/>
    <w:rsid w:val="000D3E64"/>
    <w:rsid w:val="000D4938"/>
    <w:rsid w:val="000D7992"/>
    <w:rsid w:val="000F13C5"/>
    <w:rsid w:val="001003BD"/>
    <w:rsid w:val="00105A36"/>
    <w:rsid w:val="00116B2A"/>
    <w:rsid w:val="00126AEB"/>
    <w:rsid w:val="001279B7"/>
    <w:rsid w:val="001313B4"/>
    <w:rsid w:val="00144FEE"/>
    <w:rsid w:val="0014546D"/>
    <w:rsid w:val="001500D9"/>
    <w:rsid w:val="00156DB7"/>
    <w:rsid w:val="00157228"/>
    <w:rsid w:val="00160C3C"/>
    <w:rsid w:val="0017783C"/>
    <w:rsid w:val="001918FF"/>
    <w:rsid w:val="0019314C"/>
    <w:rsid w:val="001A0E25"/>
    <w:rsid w:val="001D56E5"/>
    <w:rsid w:val="001E1912"/>
    <w:rsid w:val="001E1D87"/>
    <w:rsid w:val="001E3436"/>
    <w:rsid w:val="001F38F0"/>
    <w:rsid w:val="002121B4"/>
    <w:rsid w:val="00225679"/>
    <w:rsid w:val="00237430"/>
    <w:rsid w:val="00276A99"/>
    <w:rsid w:val="00286AD9"/>
    <w:rsid w:val="00290A53"/>
    <w:rsid w:val="002966F3"/>
    <w:rsid w:val="002B1037"/>
    <w:rsid w:val="002B6710"/>
    <w:rsid w:val="002B69F3"/>
    <w:rsid w:val="002B763A"/>
    <w:rsid w:val="002C4D7D"/>
    <w:rsid w:val="002C5C94"/>
    <w:rsid w:val="002D2017"/>
    <w:rsid w:val="002D382A"/>
    <w:rsid w:val="002F1EDD"/>
    <w:rsid w:val="003013F2"/>
    <w:rsid w:val="0030232A"/>
    <w:rsid w:val="0030694A"/>
    <w:rsid w:val="003069F4"/>
    <w:rsid w:val="003352A5"/>
    <w:rsid w:val="00342163"/>
    <w:rsid w:val="00342BEB"/>
    <w:rsid w:val="00344376"/>
    <w:rsid w:val="0034531F"/>
    <w:rsid w:val="00351EFB"/>
    <w:rsid w:val="00360920"/>
    <w:rsid w:val="00362738"/>
    <w:rsid w:val="00380B23"/>
    <w:rsid w:val="00382DF4"/>
    <w:rsid w:val="00384709"/>
    <w:rsid w:val="00386C35"/>
    <w:rsid w:val="0039719F"/>
    <w:rsid w:val="003A3D77"/>
    <w:rsid w:val="003B5AED"/>
    <w:rsid w:val="003B67ED"/>
    <w:rsid w:val="003B7C94"/>
    <w:rsid w:val="003C2D90"/>
    <w:rsid w:val="003C6B7B"/>
    <w:rsid w:val="003D26AB"/>
    <w:rsid w:val="004135BD"/>
    <w:rsid w:val="004302A4"/>
    <w:rsid w:val="004463BA"/>
    <w:rsid w:val="00456B5C"/>
    <w:rsid w:val="00460A71"/>
    <w:rsid w:val="004728EA"/>
    <w:rsid w:val="004822D4"/>
    <w:rsid w:val="0049290B"/>
    <w:rsid w:val="004A4451"/>
    <w:rsid w:val="004B4246"/>
    <w:rsid w:val="004C189D"/>
    <w:rsid w:val="004D3958"/>
    <w:rsid w:val="004D493A"/>
    <w:rsid w:val="004E6369"/>
    <w:rsid w:val="004E75D1"/>
    <w:rsid w:val="005008DF"/>
    <w:rsid w:val="00502AED"/>
    <w:rsid w:val="005045D0"/>
    <w:rsid w:val="005112F6"/>
    <w:rsid w:val="005217F5"/>
    <w:rsid w:val="00526E2E"/>
    <w:rsid w:val="00534C6C"/>
    <w:rsid w:val="00536897"/>
    <w:rsid w:val="005841C0"/>
    <w:rsid w:val="0059260F"/>
    <w:rsid w:val="00593E23"/>
    <w:rsid w:val="00595259"/>
    <w:rsid w:val="005C39E0"/>
    <w:rsid w:val="005E1113"/>
    <w:rsid w:val="005E5074"/>
    <w:rsid w:val="005F0752"/>
    <w:rsid w:val="00612E4F"/>
    <w:rsid w:val="00615D5E"/>
    <w:rsid w:val="006210B8"/>
    <w:rsid w:val="00621DCF"/>
    <w:rsid w:val="00622E99"/>
    <w:rsid w:val="00625E5D"/>
    <w:rsid w:val="006342A0"/>
    <w:rsid w:val="0066370F"/>
    <w:rsid w:val="00686B7C"/>
    <w:rsid w:val="0069658B"/>
    <w:rsid w:val="006A0784"/>
    <w:rsid w:val="006A697B"/>
    <w:rsid w:val="006B4DDE"/>
    <w:rsid w:val="006B5D40"/>
    <w:rsid w:val="006C798F"/>
    <w:rsid w:val="006E007D"/>
    <w:rsid w:val="006E6C66"/>
    <w:rsid w:val="006F65DB"/>
    <w:rsid w:val="00701BF4"/>
    <w:rsid w:val="0071356D"/>
    <w:rsid w:val="00725D47"/>
    <w:rsid w:val="007313AB"/>
    <w:rsid w:val="00740FB9"/>
    <w:rsid w:val="00743968"/>
    <w:rsid w:val="00760D64"/>
    <w:rsid w:val="00766068"/>
    <w:rsid w:val="007717F2"/>
    <w:rsid w:val="00772F88"/>
    <w:rsid w:val="00775B5B"/>
    <w:rsid w:val="00785415"/>
    <w:rsid w:val="00791CB9"/>
    <w:rsid w:val="00793130"/>
    <w:rsid w:val="007B3233"/>
    <w:rsid w:val="007B52F4"/>
    <w:rsid w:val="007B5A42"/>
    <w:rsid w:val="007C199B"/>
    <w:rsid w:val="007C5EC8"/>
    <w:rsid w:val="007D3073"/>
    <w:rsid w:val="007D64B9"/>
    <w:rsid w:val="007D72D4"/>
    <w:rsid w:val="007E0452"/>
    <w:rsid w:val="008070C0"/>
    <w:rsid w:val="00811212"/>
    <w:rsid w:val="00811C12"/>
    <w:rsid w:val="00833487"/>
    <w:rsid w:val="00833FB1"/>
    <w:rsid w:val="00845373"/>
    <w:rsid w:val="00845778"/>
    <w:rsid w:val="0085163F"/>
    <w:rsid w:val="00861540"/>
    <w:rsid w:val="00866483"/>
    <w:rsid w:val="00867060"/>
    <w:rsid w:val="008807D5"/>
    <w:rsid w:val="00885232"/>
    <w:rsid w:val="00887E28"/>
    <w:rsid w:val="0089272B"/>
    <w:rsid w:val="008B24AF"/>
    <w:rsid w:val="008C0486"/>
    <w:rsid w:val="008C62DD"/>
    <w:rsid w:val="008D05F4"/>
    <w:rsid w:val="008D5C3A"/>
    <w:rsid w:val="008E6484"/>
    <w:rsid w:val="008E6DA2"/>
    <w:rsid w:val="008F47F1"/>
    <w:rsid w:val="0090275C"/>
    <w:rsid w:val="00903080"/>
    <w:rsid w:val="00907B1E"/>
    <w:rsid w:val="00943AFD"/>
    <w:rsid w:val="00963A51"/>
    <w:rsid w:val="009664B6"/>
    <w:rsid w:val="00977B74"/>
    <w:rsid w:val="00983B6E"/>
    <w:rsid w:val="009847A4"/>
    <w:rsid w:val="009936F8"/>
    <w:rsid w:val="00997B94"/>
    <w:rsid w:val="009A3772"/>
    <w:rsid w:val="009D17F0"/>
    <w:rsid w:val="009D1CCD"/>
    <w:rsid w:val="00A04783"/>
    <w:rsid w:val="00A14FDA"/>
    <w:rsid w:val="00A33B44"/>
    <w:rsid w:val="00A34F6F"/>
    <w:rsid w:val="00A42796"/>
    <w:rsid w:val="00A5311D"/>
    <w:rsid w:val="00A67EEA"/>
    <w:rsid w:val="00A80B68"/>
    <w:rsid w:val="00A90DBD"/>
    <w:rsid w:val="00A947A0"/>
    <w:rsid w:val="00AA1B28"/>
    <w:rsid w:val="00AB21F3"/>
    <w:rsid w:val="00AC1B56"/>
    <w:rsid w:val="00AD3B58"/>
    <w:rsid w:val="00AF558B"/>
    <w:rsid w:val="00AF56C6"/>
    <w:rsid w:val="00B00CE0"/>
    <w:rsid w:val="00B032E8"/>
    <w:rsid w:val="00B33054"/>
    <w:rsid w:val="00B366A8"/>
    <w:rsid w:val="00B46BD3"/>
    <w:rsid w:val="00B55838"/>
    <w:rsid w:val="00B57F96"/>
    <w:rsid w:val="00B60B23"/>
    <w:rsid w:val="00B61054"/>
    <w:rsid w:val="00B67892"/>
    <w:rsid w:val="00B82DDE"/>
    <w:rsid w:val="00B83508"/>
    <w:rsid w:val="00BA3732"/>
    <w:rsid w:val="00BA4D33"/>
    <w:rsid w:val="00BA5648"/>
    <w:rsid w:val="00BB317D"/>
    <w:rsid w:val="00BC2D06"/>
    <w:rsid w:val="00BE2AAE"/>
    <w:rsid w:val="00BE2EF0"/>
    <w:rsid w:val="00BE3BBE"/>
    <w:rsid w:val="00C00130"/>
    <w:rsid w:val="00C10CE0"/>
    <w:rsid w:val="00C1628E"/>
    <w:rsid w:val="00C201E4"/>
    <w:rsid w:val="00C22687"/>
    <w:rsid w:val="00C24868"/>
    <w:rsid w:val="00C42937"/>
    <w:rsid w:val="00C46883"/>
    <w:rsid w:val="00C5524C"/>
    <w:rsid w:val="00C577FF"/>
    <w:rsid w:val="00C744EB"/>
    <w:rsid w:val="00C76A2C"/>
    <w:rsid w:val="00C90702"/>
    <w:rsid w:val="00C917FF"/>
    <w:rsid w:val="00C96EA3"/>
    <w:rsid w:val="00C9766A"/>
    <w:rsid w:val="00CA2637"/>
    <w:rsid w:val="00CA434F"/>
    <w:rsid w:val="00CA56B3"/>
    <w:rsid w:val="00CA699C"/>
    <w:rsid w:val="00CB1136"/>
    <w:rsid w:val="00CC4F39"/>
    <w:rsid w:val="00CD165D"/>
    <w:rsid w:val="00CD544C"/>
    <w:rsid w:val="00CE5E92"/>
    <w:rsid w:val="00CF3451"/>
    <w:rsid w:val="00CF4256"/>
    <w:rsid w:val="00D04FE8"/>
    <w:rsid w:val="00D176CF"/>
    <w:rsid w:val="00D22848"/>
    <w:rsid w:val="00D271E3"/>
    <w:rsid w:val="00D30F69"/>
    <w:rsid w:val="00D47A80"/>
    <w:rsid w:val="00D5653E"/>
    <w:rsid w:val="00D61F38"/>
    <w:rsid w:val="00D80A3B"/>
    <w:rsid w:val="00D85807"/>
    <w:rsid w:val="00D87349"/>
    <w:rsid w:val="00D91EE9"/>
    <w:rsid w:val="00D97220"/>
    <w:rsid w:val="00DC3FD6"/>
    <w:rsid w:val="00DD4374"/>
    <w:rsid w:val="00E13249"/>
    <w:rsid w:val="00E14D47"/>
    <w:rsid w:val="00E1641C"/>
    <w:rsid w:val="00E26708"/>
    <w:rsid w:val="00E34958"/>
    <w:rsid w:val="00E37AB0"/>
    <w:rsid w:val="00E71115"/>
    <w:rsid w:val="00E71C39"/>
    <w:rsid w:val="00E80731"/>
    <w:rsid w:val="00E81CD3"/>
    <w:rsid w:val="00EA56E6"/>
    <w:rsid w:val="00EB604B"/>
    <w:rsid w:val="00EC335F"/>
    <w:rsid w:val="00EC48FB"/>
    <w:rsid w:val="00EF232A"/>
    <w:rsid w:val="00EF7D8F"/>
    <w:rsid w:val="00F05A69"/>
    <w:rsid w:val="00F312D1"/>
    <w:rsid w:val="00F34BEB"/>
    <w:rsid w:val="00F43FFD"/>
    <w:rsid w:val="00F44236"/>
    <w:rsid w:val="00F50C4A"/>
    <w:rsid w:val="00F52517"/>
    <w:rsid w:val="00F61D40"/>
    <w:rsid w:val="00F7289C"/>
    <w:rsid w:val="00F87BF1"/>
    <w:rsid w:val="00FA57B2"/>
    <w:rsid w:val="00FB1205"/>
    <w:rsid w:val="00FB509B"/>
    <w:rsid w:val="00FC3D4B"/>
    <w:rsid w:val="00FC590C"/>
    <w:rsid w:val="00FC6312"/>
    <w:rsid w:val="00FE36E3"/>
    <w:rsid w:val="00FE6B01"/>
    <w:rsid w:val="00FF092A"/>
    <w:rsid w:val="00FF2A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character" w:customStyle="1" w:styleId="H3Char">
    <w:name w:val="H3 Char"/>
    <w:link w:val="H3"/>
    <w:rsid w:val="006E007D"/>
    <w:rPr>
      <w:b/>
      <w:bCs/>
      <w:i/>
      <w:sz w:val="24"/>
    </w:rPr>
  </w:style>
  <w:style w:type="character" w:styleId="UnresolvedMention">
    <w:name w:val="Unresolved Mention"/>
    <w:basedOn w:val="DefaultParagraphFont"/>
    <w:uiPriority w:val="99"/>
    <w:semiHidden/>
    <w:unhideWhenUsed/>
    <w:rsid w:val="00AF558B"/>
    <w:rPr>
      <w:color w:val="605E5C"/>
      <w:shd w:val="clear" w:color="auto" w:fill="E1DFDD"/>
    </w:rPr>
  </w:style>
  <w:style w:type="paragraph" w:customStyle="1" w:styleId="BodyTextNumbered">
    <w:name w:val="Body Text Numbered"/>
    <w:basedOn w:val="BodyText"/>
    <w:link w:val="BodyTextNumberedChar1"/>
    <w:rsid w:val="00CF3451"/>
    <w:pPr>
      <w:ind w:left="720" w:hanging="720"/>
    </w:pPr>
    <w:rPr>
      <w:iCs/>
      <w:szCs w:val="20"/>
    </w:rPr>
  </w:style>
  <w:style w:type="character" w:customStyle="1" w:styleId="BodyTextNumberedChar1">
    <w:name w:val="Body Text Numbered Char1"/>
    <w:link w:val="BodyTextNumbered"/>
    <w:rsid w:val="00CF3451"/>
    <w:rPr>
      <w:iCs/>
      <w:sz w:val="24"/>
    </w:rPr>
  </w:style>
  <w:style w:type="character" w:customStyle="1" w:styleId="H2Char">
    <w:name w:val="H2 Char"/>
    <w:link w:val="H2"/>
    <w:rsid w:val="00775B5B"/>
    <w:rPr>
      <w:b/>
      <w:sz w:val="24"/>
    </w:rPr>
  </w:style>
  <w:style w:type="paragraph" w:styleId="ListParagraph">
    <w:name w:val="List Paragraph"/>
    <w:basedOn w:val="Normal"/>
    <w:uiPriority w:val="34"/>
    <w:qFormat/>
    <w:rsid w:val="00775B5B"/>
    <w:pPr>
      <w:spacing w:after="160" w:line="259"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rsid w:val="0006459A"/>
    <w:rPr>
      <w:sz w:val="18"/>
    </w:rPr>
  </w:style>
  <w:style w:type="character" w:styleId="FootnoteReference">
    <w:name w:val="footnote reference"/>
    <w:rsid w:val="00064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iqul.islam@erco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unzhi.cheng@ercot.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6" ma:contentTypeDescription="Create a new document." ma:contentTypeScope="" ma:versionID="336795b8953911241ca859b14dcd610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ecdf7c2197d38f0f1df2d0344a8c3108"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Props1.xml><?xml version="1.0" encoding="utf-8"?>
<ds:datastoreItem xmlns:ds="http://schemas.openxmlformats.org/officeDocument/2006/customXml" ds:itemID="{B8C31522-541A-4B32-8C13-571A4210E76B}">
  <ds:schemaRefs>
    <ds:schemaRef ds:uri="http://schemas.microsoft.com/sharepoint/v3/contenttype/forms"/>
  </ds:schemaRefs>
</ds:datastoreItem>
</file>

<file path=customXml/itemProps2.xml><?xml version="1.0" encoding="utf-8"?>
<ds:datastoreItem xmlns:ds="http://schemas.openxmlformats.org/officeDocument/2006/customXml" ds:itemID="{0BB7749E-5BD7-4781-87D4-AD7CB756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customXml/itemProps4.xml><?xml version="1.0" encoding="utf-8"?>
<ds:datastoreItem xmlns:ds="http://schemas.openxmlformats.org/officeDocument/2006/customXml" ds:itemID="{73891F78-5C41-42C8-8503-583B74168586}">
  <ds:schemaRefs>
    <ds:schemaRef ds:uri="http://schemas.microsoft.com/office/2006/metadata/properties"/>
    <ds:schemaRef ds:uri="http://schemas.microsoft.com/office/infopath/2007/PartnerControls"/>
    <ds:schemaRef ds:uri="97deaf5a-01d9-4834-89d2-802f43df07d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570</Words>
  <Characters>3362</Characters>
  <Application>Microsoft Office Word</Application>
  <DocSecurity>0</DocSecurity>
  <Lines>73</Lines>
  <Paragraphs>29</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3903</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2026-08-03T16:44:00Z</dcterms:created>
  <dcterms:modified xsi:type="dcterms:W3CDTF">2026-08-03T19:15:00Z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