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1440"/>
        <w:gridCol w:w="6120"/>
      </w:tblGrid>
      <w:tr w:rsidR="00C71336" w14:paraId="558CD247" w14:textId="77777777" w:rsidTr="00AE4069">
        <w:tc>
          <w:tcPr>
            <w:tcW w:w="1620" w:type="dxa"/>
            <w:tcBorders>
              <w:bottom w:val="single" w:sz="4" w:space="0" w:color="auto"/>
            </w:tcBorders>
            <w:shd w:val="clear" w:color="auto" w:fill="FFFFFF"/>
            <w:vAlign w:val="center"/>
          </w:tcPr>
          <w:p w14:paraId="392D2050" w14:textId="77777777" w:rsidR="00C71336" w:rsidRDefault="00C71336" w:rsidP="00AE4069">
            <w:pPr>
              <w:pStyle w:val="Header"/>
              <w:rPr>
                <w:rFonts w:ascii="Verdana" w:hAnsi="Verdana"/>
                <w:sz w:val="22"/>
              </w:rPr>
            </w:pPr>
            <w:r>
              <w:t>PGRR Number</w:t>
            </w:r>
          </w:p>
        </w:tc>
        <w:tc>
          <w:tcPr>
            <w:tcW w:w="1260" w:type="dxa"/>
            <w:tcBorders>
              <w:bottom w:val="single" w:sz="4" w:space="0" w:color="auto"/>
            </w:tcBorders>
            <w:vAlign w:val="center"/>
          </w:tcPr>
          <w:p w14:paraId="133D7B66" w14:textId="47B5F845" w:rsidR="00C71336" w:rsidRDefault="00C71336" w:rsidP="00C71336">
            <w:pPr>
              <w:pStyle w:val="Header"/>
              <w:jc w:val="center"/>
            </w:pPr>
            <w:hyperlink r:id="rId8" w:history="1">
              <w:r w:rsidRPr="00CA2439">
                <w:rPr>
                  <w:rStyle w:val="Hyperlink"/>
                </w:rPr>
                <w:t>128</w:t>
              </w:r>
            </w:hyperlink>
          </w:p>
        </w:tc>
        <w:tc>
          <w:tcPr>
            <w:tcW w:w="1440" w:type="dxa"/>
            <w:tcBorders>
              <w:bottom w:val="single" w:sz="4" w:space="0" w:color="auto"/>
            </w:tcBorders>
            <w:shd w:val="clear" w:color="auto" w:fill="FFFFFF"/>
            <w:vAlign w:val="center"/>
          </w:tcPr>
          <w:p w14:paraId="38B3C5D5" w14:textId="77777777" w:rsidR="00C71336" w:rsidRDefault="00C71336" w:rsidP="00AE4069">
            <w:pPr>
              <w:pStyle w:val="Header"/>
            </w:pPr>
            <w:r>
              <w:t>PGRR Title</w:t>
            </w:r>
          </w:p>
        </w:tc>
        <w:tc>
          <w:tcPr>
            <w:tcW w:w="6120" w:type="dxa"/>
            <w:tcBorders>
              <w:bottom w:val="single" w:sz="4" w:space="0" w:color="auto"/>
            </w:tcBorders>
            <w:vAlign w:val="center"/>
          </w:tcPr>
          <w:p w14:paraId="63B944AF" w14:textId="6F348A89" w:rsidR="00C71336" w:rsidRDefault="00243374" w:rsidP="00AE4069">
            <w:pPr>
              <w:pStyle w:val="Header"/>
            </w:pPr>
            <w:r>
              <w:t>Regional Planning Group Discussion of Grid Enhancing Technologies</w:t>
            </w:r>
          </w:p>
        </w:tc>
      </w:tr>
    </w:tbl>
    <w:p w14:paraId="408E5B3F" w14:textId="77777777" w:rsidR="00C71336" w:rsidRDefault="00C71336" w:rsidP="00C71336"/>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C71336" w14:paraId="691A4F92" w14:textId="77777777" w:rsidTr="00AE4069">
        <w:trPr>
          <w:trHeight w:val="440"/>
        </w:trPr>
        <w:tc>
          <w:tcPr>
            <w:tcW w:w="2880" w:type="dxa"/>
            <w:tcBorders>
              <w:top w:val="single" w:sz="4" w:space="0" w:color="auto"/>
              <w:left w:val="single" w:sz="4" w:space="0" w:color="auto"/>
              <w:bottom w:val="single" w:sz="4" w:space="0" w:color="auto"/>
              <w:right w:val="single" w:sz="4" w:space="0" w:color="auto"/>
            </w:tcBorders>
            <w:vAlign w:val="center"/>
          </w:tcPr>
          <w:p w14:paraId="304F5E13" w14:textId="77777777" w:rsidR="00C71336" w:rsidRDefault="00C71336" w:rsidP="00AE4069">
            <w:pPr>
              <w:pStyle w:val="Header"/>
            </w:pPr>
            <w:r>
              <w:t>Date</w:t>
            </w:r>
          </w:p>
        </w:tc>
        <w:tc>
          <w:tcPr>
            <w:tcW w:w="7560" w:type="dxa"/>
            <w:tcBorders>
              <w:top w:val="single" w:sz="4" w:space="0" w:color="auto"/>
              <w:left w:val="single" w:sz="4" w:space="0" w:color="auto"/>
              <w:bottom w:val="single" w:sz="4" w:space="0" w:color="auto"/>
              <w:right w:val="single" w:sz="4" w:space="0" w:color="auto"/>
            </w:tcBorders>
            <w:vAlign w:val="center"/>
          </w:tcPr>
          <w:p w14:paraId="6FD8BEBD" w14:textId="35366DC3" w:rsidR="00C71336" w:rsidRDefault="00CD69F1" w:rsidP="00AE4069">
            <w:pPr>
              <w:pStyle w:val="NormalArial"/>
            </w:pPr>
            <w:r>
              <w:t>July 28</w:t>
            </w:r>
            <w:r w:rsidR="002B3399">
              <w:t>, 2026</w:t>
            </w:r>
          </w:p>
        </w:tc>
      </w:tr>
    </w:tbl>
    <w:p w14:paraId="02EA10D3" w14:textId="77777777" w:rsidR="00C71336" w:rsidRDefault="00C71336" w:rsidP="00C71336"/>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C71336" w14:paraId="181BC493" w14:textId="77777777" w:rsidTr="00AE4069">
        <w:trPr>
          <w:trHeight w:val="440"/>
        </w:trPr>
        <w:tc>
          <w:tcPr>
            <w:tcW w:w="10440" w:type="dxa"/>
            <w:gridSpan w:val="2"/>
            <w:tcBorders>
              <w:top w:val="single" w:sz="4" w:space="0" w:color="auto"/>
            </w:tcBorders>
            <w:shd w:val="clear" w:color="auto" w:fill="FFFFFF"/>
            <w:vAlign w:val="center"/>
          </w:tcPr>
          <w:p w14:paraId="689430A9" w14:textId="77777777" w:rsidR="00C71336" w:rsidRDefault="00C71336" w:rsidP="00AE4069">
            <w:pPr>
              <w:pStyle w:val="Header"/>
              <w:jc w:val="center"/>
            </w:pPr>
            <w:r>
              <w:t>Submitter’s Information</w:t>
            </w:r>
          </w:p>
        </w:tc>
      </w:tr>
      <w:tr w:rsidR="00C71336" w14:paraId="4BF3A4BC" w14:textId="77777777" w:rsidTr="00AE4069">
        <w:trPr>
          <w:trHeight w:val="350"/>
        </w:trPr>
        <w:tc>
          <w:tcPr>
            <w:tcW w:w="2880" w:type="dxa"/>
            <w:shd w:val="clear" w:color="auto" w:fill="FFFFFF"/>
            <w:vAlign w:val="center"/>
          </w:tcPr>
          <w:p w14:paraId="7C510B92" w14:textId="77777777" w:rsidR="00C71336" w:rsidRPr="00EC55B3" w:rsidRDefault="00C71336" w:rsidP="00AE4069">
            <w:pPr>
              <w:pStyle w:val="Header"/>
            </w:pPr>
            <w:r w:rsidRPr="00EC55B3">
              <w:t>Name</w:t>
            </w:r>
          </w:p>
        </w:tc>
        <w:tc>
          <w:tcPr>
            <w:tcW w:w="7560" w:type="dxa"/>
            <w:vAlign w:val="center"/>
          </w:tcPr>
          <w:p w14:paraId="4C35EDE1" w14:textId="79527730" w:rsidR="00C71336" w:rsidRDefault="002709E1" w:rsidP="00AE4069">
            <w:pPr>
              <w:pStyle w:val="NormalArial"/>
            </w:pPr>
            <w:r>
              <w:t>Anuj Dixit</w:t>
            </w:r>
          </w:p>
        </w:tc>
      </w:tr>
      <w:tr w:rsidR="00C71336" w14:paraId="35EEC0AD" w14:textId="77777777" w:rsidTr="00AE4069">
        <w:trPr>
          <w:trHeight w:val="350"/>
        </w:trPr>
        <w:tc>
          <w:tcPr>
            <w:tcW w:w="2880" w:type="dxa"/>
            <w:shd w:val="clear" w:color="auto" w:fill="FFFFFF"/>
            <w:vAlign w:val="center"/>
          </w:tcPr>
          <w:p w14:paraId="5D038B86" w14:textId="77777777" w:rsidR="00C71336" w:rsidRPr="00EC55B3" w:rsidRDefault="00C71336" w:rsidP="00AE4069">
            <w:pPr>
              <w:pStyle w:val="Header"/>
            </w:pPr>
            <w:r w:rsidRPr="00EC55B3">
              <w:t>E-mail Address</w:t>
            </w:r>
          </w:p>
        </w:tc>
        <w:tc>
          <w:tcPr>
            <w:tcW w:w="7560" w:type="dxa"/>
            <w:vAlign w:val="center"/>
          </w:tcPr>
          <w:p w14:paraId="6C0C7B9A" w14:textId="134CCA34" w:rsidR="00C71336" w:rsidRDefault="002709E1" w:rsidP="00AE4069">
            <w:pPr>
              <w:pStyle w:val="NormalArial"/>
            </w:pPr>
            <w:hyperlink r:id="rId9" w:history="1">
              <w:r w:rsidRPr="00E10258">
                <w:rPr>
                  <w:rStyle w:val="Hyperlink"/>
                </w:rPr>
                <w:t>Anuj.Dixit@TreatyOakCleanEnergy.com</w:t>
              </w:r>
            </w:hyperlink>
            <w:r>
              <w:t xml:space="preserve"> </w:t>
            </w:r>
          </w:p>
        </w:tc>
      </w:tr>
      <w:tr w:rsidR="00C71336" w14:paraId="7C55386E" w14:textId="77777777" w:rsidTr="00AE4069">
        <w:trPr>
          <w:trHeight w:val="350"/>
        </w:trPr>
        <w:tc>
          <w:tcPr>
            <w:tcW w:w="2880" w:type="dxa"/>
            <w:shd w:val="clear" w:color="auto" w:fill="FFFFFF"/>
            <w:vAlign w:val="center"/>
          </w:tcPr>
          <w:p w14:paraId="23627EE5" w14:textId="77777777" w:rsidR="00C71336" w:rsidRPr="00EC55B3" w:rsidRDefault="00C71336" w:rsidP="00AE4069">
            <w:pPr>
              <w:pStyle w:val="Header"/>
            </w:pPr>
            <w:r w:rsidRPr="00EC55B3">
              <w:t>Company</w:t>
            </w:r>
          </w:p>
        </w:tc>
        <w:tc>
          <w:tcPr>
            <w:tcW w:w="7560" w:type="dxa"/>
            <w:vAlign w:val="center"/>
          </w:tcPr>
          <w:p w14:paraId="14AAED10" w14:textId="10476D05" w:rsidR="00C71336" w:rsidRDefault="002709E1" w:rsidP="00AE4069">
            <w:pPr>
              <w:pStyle w:val="NormalArial"/>
            </w:pPr>
            <w:r>
              <w:t>Treaty Oak Clean Energy</w:t>
            </w:r>
          </w:p>
        </w:tc>
      </w:tr>
      <w:tr w:rsidR="00C71336" w14:paraId="4C90B7BF" w14:textId="77777777" w:rsidTr="00AE4069">
        <w:trPr>
          <w:trHeight w:val="350"/>
        </w:trPr>
        <w:tc>
          <w:tcPr>
            <w:tcW w:w="2880" w:type="dxa"/>
            <w:tcBorders>
              <w:bottom w:val="single" w:sz="4" w:space="0" w:color="auto"/>
            </w:tcBorders>
            <w:shd w:val="clear" w:color="auto" w:fill="FFFFFF"/>
            <w:vAlign w:val="center"/>
          </w:tcPr>
          <w:p w14:paraId="6C62C7F3" w14:textId="77777777" w:rsidR="00C71336" w:rsidRPr="00EC55B3" w:rsidRDefault="00C71336" w:rsidP="00AE4069">
            <w:pPr>
              <w:pStyle w:val="Header"/>
            </w:pPr>
            <w:r w:rsidRPr="00EC55B3">
              <w:t>Phone Number</w:t>
            </w:r>
          </w:p>
        </w:tc>
        <w:tc>
          <w:tcPr>
            <w:tcW w:w="7560" w:type="dxa"/>
            <w:tcBorders>
              <w:bottom w:val="single" w:sz="4" w:space="0" w:color="auto"/>
            </w:tcBorders>
            <w:vAlign w:val="center"/>
          </w:tcPr>
          <w:p w14:paraId="249D9603" w14:textId="4EF0C9B8" w:rsidR="00C71336" w:rsidRDefault="002709E1" w:rsidP="00AE4069">
            <w:pPr>
              <w:pStyle w:val="NormalArial"/>
            </w:pPr>
            <w:r>
              <w:t>512-909-7831</w:t>
            </w:r>
          </w:p>
        </w:tc>
      </w:tr>
      <w:tr w:rsidR="00C71336" w14:paraId="1164EE58" w14:textId="77777777" w:rsidTr="00AE4069">
        <w:trPr>
          <w:trHeight w:val="350"/>
        </w:trPr>
        <w:tc>
          <w:tcPr>
            <w:tcW w:w="2880" w:type="dxa"/>
            <w:shd w:val="clear" w:color="auto" w:fill="FFFFFF"/>
            <w:vAlign w:val="center"/>
          </w:tcPr>
          <w:p w14:paraId="66E5FF3D" w14:textId="77777777" w:rsidR="00C71336" w:rsidRPr="00EC55B3" w:rsidRDefault="00C71336" w:rsidP="00AE4069">
            <w:pPr>
              <w:pStyle w:val="Header"/>
            </w:pPr>
            <w:r>
              <w:t>Cell</w:t>
            </w:r>
            <w:r w:rsidRPr="00EC55B3">
              <w:t xml:space="preserve"> Number</w:t>
            </w:r>
          </w:p>
        </w:tc>
        <w:tc>
          <w:tcPr>
            <w:tcW w:w="7560" w:type="dxa"/>
            <w:vAlign w:val="center"/>
          </w:tcPr>
          <w:p w14:paraId="207DB3BC" w14:textId="327C596B" w:rsidR="00C71336" w:rsidRDefault="00C71336" w:rsidP="00AE4069">
            <w:pPr>
              <w:pStyle w:val="NormalArial"/>
            </w:pPr>
          </w:p>
        </w:tc>
      </w:tr>
      <w:tr w:rsidR="00C71336" w14:paraId="4BBE11F2" w14:textId="77777777" w:rsidTr="00AE4069">
        <w:trPr>
          <w:trHeight w:val="350"/>
        </w:trPr>
        <w:tc>
          <w:tcPr>
            <w:tcW w:w="2880" w:type="dxa"/>
            <w:tcBorders>
              <w:bottom w:val="single" w:sz="4" w:space="0" w:color="auto"/>
            </w:tcBorders>
            <w:shd w:val="clear" w:color="auto" w:fill="FFFFFF"/>
            <w:vAlign w:val="center"/>
          </w:tcPr>
          <w:p w14:paraId="68185E8A" w14:textId="77777777" w:rsidR="00C71336" w:rsidRPr="00EC55B3" w:rsidDel="00075A94" w:rsidRDefault="00C71336" w:rsidP="00AE4069">
            <w:pPr>
              <w:pStyle w:val="Header"/>
            </w:pPr>
            <w:r>
              <w:t>Market Segment</w:t>
            </w:r>
          </w:p>
        </w:tc>
        <w:tc>
          <w:tcPr>
            <w:tcW w:w="7560" w:type="dxa"/>
            <w:tcBorders>
              <w:bottom w:val="single" w:sz="4" w:space="0" w:color="auto"/>
            </w:tcBorders>
            <w:vAlign w:val="center"/>
          </w:tcPr>
          <w:p w14:paraId="09EFB34C" w14:textId="74B48FF2" w:rsidR="00C71336" w:rsidRDefault="002709E1" w:rsidP="00AE4069">
            <w:pPr>
              <w:pStyle w:val="NormalArial"/>
            </w:pPr>
            <w:r>
              <w:t>Independent Generator</w:t>
            </w:r>
          </w:p>
        </w:tc>
      </w:tr>
    </w:tbl>
    <w:p w14:paraId="52B3A087" w14:textId="77777777" w:rsidR="00C71336" w:rsidRDefault="00C71336" w:rsidP="00C71336">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C71336" w14:paraId="0ABFDCBB" w14:textId="77777777" w:rsidTr="00AE4069">
        <w:trPr>
          <w:trHeight w:val="350"/>
        </w:trPr>
        <w:tc>
          <w:tcPr>
            <w:tcW w:w="10440" w:type="dxa"/>
            <w:tcBorders>
              <w:bottom w:val="single" w:sz="4" w:space="0" w:color="auto"/>
            </w:tcBorders>
            <w:shd w:val="clear" w:color="auto" w:fill="FFFFFF"/>
            <w:vAlign w:val="center"/>
          </w:tcPr>
          <w:p w14:paraId="4350B86C" w14:textId="6BCBEF88" w:rsidR="00C71336" w:rsidRDefault="00C71336" w:rsidP="00AE4069">
            <w:pPr>
              <w:pStyle w:val="Header"/>
              <w:jc w:val="center"/>
            </w:pPr>
            <w:r w:rsidRPr="00DE6A18">
              <w:t>Comments</w:t>
            </w:r>
          </w:p>
        </w:tc>
      </w:tr>
    </w:tbl>
    <w:p w14:paraId="0BCFA778" w14:textId="312EE002" w:rsidR="00243374" w:rsidRPr="00243374" w:rsidRDefault="00243374" w:rsidP="00243374">
      <w:pPr>
        <w:spacing w:before="120" w:after="120"/>
        <w:rPr>
          <w:rFonts w:ascii="Arial" w:hAnsi="Arial" w:cs="Arial"/>
          <w:color w:val="000000" w:themeColor="text1"/>
        </w:rPr>
      </w:pPr>
      <w:r w:rsidRPr="00243374">
        <w:rPr>
          <w:rFonts w:ascii="Arial" w:hAnsi="Arial" w:cs="Arial"/>
          <w:b/>
          <w:bCs/>
          <w:color w:val="000000" w:themeColor="text1"/>
        </w:rPr>
        <w:t>I.  Introduction and Interest of Treaty Oak Clean Energy</w:t>
      </w:r>
    </w:p>
    <w:p w14:paraId="305ED7E5" w14:textId="72D07DEE" w:rsidR="00243374" w:rsidRPr="00243374" w:rsidRDefault="00243374" w:rsidP="00243374">
      <w:pPr>
        <w:spacing w:before="120" w:after="120"/>
        <w:jc w:val="both"/>
        <w:rPr>
          <w:rFonts w:ascii="Arial" w:hAnsi="Arial" w:cs="Arial"/>
          <w:color w:val="000000" w:themeColor="text1"/>
        </w:rPr>
      </w:pPr>
      <w:r w:rsidRPr="00243374">
        <w:rPr>
          <w:rFonts w:ascii="Arial" w:hAnsi="Arial" w:cs="Arial"/>
          <w:color w:val="000000" w:themeColor="text1"/>
        </w:rPr>
        <w:t xml:space="preserve">Treaty Oak Clean Energy, LLC ("TOCE" or "Treaty Oak") respectfully submits these comments in support of Planning Guide Revision Request 128,Regional Transmission Plan Review of Grid Enhancing Technologies. TOCE is an </w:t>
      </w:r>
      <w:r w:rsidRPr="004A3D9C">
        <w:rPr>
          <w:rFonts w:ascii="Arial" w:hAnsi="Arial" w:cs="Arial"/>
          <w:color w:val="000000" w:themeColor="text1"/>
        </w:rPr>
        <w:t>independent power producer (IPP)</w:t>
      </w:r>
      <w:r w:rsidRPr="00243374">
        <w:rPr>
          <w:rFonts w:ascii="Arial" w:hAnsi="Arial" w:cs="Arial"/>
          <w:color w:val="000000" w:themeColor="text1"/>
        </w:rPr>
        <w:t xml:space="preserve"> for large scale solar and storage projects based in Austin, Texas.</w:t>
      </w:r>
    </w:p>
    <w:p w14:paraId="603AFB50" w14:textId="14D4FFBF" w:rsidR="00243374" w:rsidRPr="00243374" w:rsidRDefault="00243374" w:rsidP="00243374">
      <w:pPr>
        <w:spacing w:before="120" w:after="120"/>
        <w:jc w:val="both"/>
        <w:rPr>
          <w:rFonts w:ascii="Arial" w:hAnsi="Arial" w:cs="Arial"/>
          <w:color w:val="000000" w:themeColor="text1"/>
        </w:rPr>
      </w:pPr>
      <w:r w:rsidRPr="00243374">
        <w:rPr>
          <w:rFonts w:ascii="Arial" w:hAnsi="Arial" w:cs="Arial"/>
          <w:color w:val="000000" w:themeColor="text1"/>
        </w:rPr>
        <w:t>TOCE has conducted detailed congestion analysis across the ERCOT transmission system, identifying circuits at the 138 kV and 345 kV voltage classes where Dynamic Line Rating (DLR) deployment can produce material reductions in congestion rent and increase effective transfer capability — particularly during non-summer periods when ambient temperature conditions produce the greatest thermal rating uplift relative to static seasonal ratings.</w:t>
      </w:r>
    </w:p>
    <w:p w14:paraId="065729E4" w14:textId="62215B03" w:rsidR="00243374" w:rsidRPr="00243374" w:rsidRDefault="00243374" w:rsidP="00243374">
      <w:pPr>
        <w:spacing w:before="120" w:after="120"/>
        <w:jc w:val="both"/>
        <w:rPr>
          <w:rFonts w:ascii="Arial" w:hAnsi="Arial" w:cs="Arial"/>
          <w:color w:val="000000" w:themeColor="text1"/>
        </w:rPr>
      </w:pPr>
      <w:r w:rsidRPr="00243374">
        <w:rPr>
          <w:rFonts w:ascii="Arial" w:hAnsi="Arial" w:cs="Arial"/>
          <w:color w:val="000000" w:themeColor="text1"/>
        </w:rPr>
        <w:t>TOCE supports PGRR128 in full. The comments explain why PGRR128 is both timely and technically sound, addresses the concerns raised by some opponents, and propose specific language clarifications to strengthen the proposal and address ERCOT Staff's questions regarding modeling methodology.</w:t>
      </w:r>
    </w:p>
    <w:p w14:paraId="3C375118" w14:textId="77777777" w:rsidR="00243374" w:rsidRDefault="00243374" w:rsidP="00243374">
      <w:pPr>
        <w:spacing w:before="120" w:after="120"/>
        <w:rPr>
          <w:rFonts w:ascii="Arial" w:hAnsi="Arial" w:cs="Arial"/>
          <w:b/>
          <w:bCs/>
          <w:color w:val="000000" w:themeColor="text1"/>
        </w:rPr>
      </w:pPr>
    </w:p>
    <w:p w14:paraId="58EEB1FF" w14:textId="158F7990" w:rsidR="00243374" w:rsidRPr="00243374" w:rsidRDefault="00243374" w:rsidP="00243374">
      <w:pPr>
        <w:spacing w:before="120" w:after="120"/>
        <w:rPr>
          <w:rFonts w:ascii="Arial" w:hAnsi="Arial" w:cs="Arial"/>
          <w:color w:val="000000" w:themeColor="text1"/>
        </w:rPr>
      </w:pPr>
      <w:r w:rsidRPr="00243374">
        <w:rPr>
          <w:rFonts w:ascii="Arial" w:hAnsi="Arial" w:cs="Arial"/>
          <w:b/>
          <w:bCs/>
          <w:color w:val="000000" w:themeColor="text1"/>
        </w:rPr>
        <w:t>II.  Summary of TOCE's Position</w:t>
      </w:r>
    </w:p>
    <w:p w14:paraId="2B24EE60" w14:textId="34AD5C88" w:rsidR="00243374" w:rsidRPr="00243374" w:rsidRDefault="00243374" w:rsidP="00243374">
      <w:pPr>
        <w:spacing w:before="120" w:after="120"/>
        <w:ind w:left="576"/>
        <w:rPr>
          <w:rFonts w:ascii="Arial" w:hAnsi="Arial" w:cs="Arial"/>
          <w:color w:val="000000" w:themeColor="text1"/>
        </w:rPr>
      </w:pPr>
      <w:r w:rsidRPr="00243374">
        <w:rPr>
          <w:rFonts w:ascii="Arial" w:hAnsi="Arial" w:cs="Arial"/>
          <w:b/>
          <w:bCs/>
          <w:color w:val="000000" w:themeColor="text1"/>
        </w:rPr>
        <w:t xml:space="preserve">TOCE Supports PGRR128.  </w:t>
      </w:r>
      <w:r w:rsidRPr="00243374">
        <w:rPr>
          <w:rFonts w:ascii="Arial" w:hAnsi="Arial" w:cs="Arial"/>
          <w:color w:val="000000" w:themeColor="text1"/>
        </w:rPr>
        <w:t>ERCOT's existing Planning Guide does not require — or even systematically encourage — ERCOT Staff or the Regional Planning Group ("RPG") to evaluate Grid Enhancing Technologies as alternatives or complements to traditional wires solutions in the Regional Transmission Plan ("RTP"). This gap means that lower-cost, faster-deploying solutions such as Dynamic Line Ratings, advanced power flow control, topology optimization, and high-performance conductors may never be surfaced as alternatives to infrastructure projects costing hundreds of millions of dollars. PGRR128 closes this gap by requiring a visible, documented evaluation step.</w:t>
      </w:r>
    </w:p>
    <w:p w14:paraId="3173CD24" w14:textId="79C38A18" w:rsidR="00243374" w:rsidRPr="00243374" w:rsidRDefault="00243374" w:rsidP="00243374">
      <w:pPr>
        <w:spacing w:before="120" w:after="120"/>
        <w:ind w:left="576"/>
        <w:rPr>
          <w:rFonts w:ascii="Arial" w:hAnsi="Arial" w:cs="Arial"/>
          <w:color w:val="000000" w:themeColor="text1"/>
        </w:rPr>
      </w:pPr>
      <w:r w:rsidRPr="00243374">
        <w:rPr>
          <w:rFonts w:ascii="Arial" w:hAnsi="Arial" w:cs="Arial"/>
          <w:b/>
          <w:bCs/>
          <w:color w:val="000000" w:themeColor="text1"/>
        </w:rPr>
        <w:lastRenderedPageBreak/>
        <w:t xml:space="preserve">The stakes are especially high for large load interconnections.  </w:t>
      </w:r>
      <w:r w:rsidRPr="00243374">
        <w:rPr>
          <w:rFonts w:ascii="Arial" w:hAnsi="Arial" w:cs="Arial"/>
          <w:color w:val="000000" w:themeColor="text1"/>
        </w:rPr>
        <w:t>ERCOT's Batch Zero interconnection process will yield Phase 1 screening results in April 2027, communicating transmission upgrade obligations to each interconnecting large load entity. Many of those upgrades will be identified because of thermal overloads on existing circuits — exactly the constraint class that DLR addresses. If Grid Enhancing Technologies (GETs) are not systematically evaluated in the RTP before those results are issued, large loads will be assigned upgrade obligations for infrastructure that DLR could defer or eliminate at a fraction of the cost and timeline.</w:t>
      </w:r>
    </w:p>
    <w:p w14:paraId="69A0172E" w14:textId="5D95BFDD" w:rsidR="00243374" w:rsidRPr="00243374" w:rsidRDefault="00243374" w:rsidP="00243374">
      <w:pPr>
        <w:spacing w:before="120" w:after="120"/>
        <w:ind w:left="576"/>
        <w:rPr>
          <w:rFonts w:ascii="Arial" w:hAnsi="Arial" w:cs="Arial"/>
          <w:color w:val="000000" w:themeColor="text1"/>
        </w:rPr>
      </w:pPr>
      <w:r w:rsidRPr="00243374">
        <w:rPr>
          <w:rFonts w:ascii="Arial" w:hAnsi="Arial" w:cs="Arial"/>
          <w:b/>
          <w:bCs/>
          <w:color w:val="000000" w:themeColor="text1"/>
        </w:rPr>
        <w:t xml:space="preserve">PGRR128 does not mandate GETs — it mandates consideration.  </w:t>
      </w:r>
      <w:r w:rsidRPr="00243374">
        <w:rPr>
          <w:rFonts w:ascii="Arial" w:hAnsi="Arial" w:cs="Arial"/>
          <w:color w:val="000000" w:themeColor="text1"/>
        </w:rPr>
        <w:t>Opponents mischaracterize the proposal as imposing a mandatory "hurdle" on transmission planning. PGRR128 requires ERCOT to consider and document whether GETs are a viable alternative for identified needs — not that GETs must be selected. This is precisely the transparent, documented process that large load customers, competitive market participants, and regulators should expect before billions in transmission infrastructure are approved.</w:t>
      </w:r>
    </w:p>
    <w:p w14:paraId="756632AF" w14:textId="77777777" w:rsidR="00243374" w:rsidRDefault="00243374" w:rsidP="00243374">
      <w:pPr>
        <w:spacing w:before="120" w:after="120"/>
        <w:rPr>
          <w:rFonts w:ascii="Arial" w:hAnsi="Arial" w:cs="Arial"/>
          <w:b/>
          <w:bCs/>
          <w:color w:val="000000" w:themeColor="text1"/>
        </w:rPr>
      </w:pPr>
    </w:p>
    <w:p w14:paraId="3DA63B91" w14:textId="3B06227F" w:rsidR="00243374" w:rsidRPr="00243374" w:rsidRDefault="00243374" w:rsidP="00243374">
      <w:pPr>
        <w:spacing w:before="120" w:after="120"/>
        <w:rPr>
          <w:rFonts w:ascii="Arial" w:hAnsi="Arial" w:cs="Arial"/>
          <w:color w:val="000000" w:themeColor="text1"/>
        </w:rPr>
      </w:pPr>
      <w:r w:rsidRPr="00243374">
        <w:rPr>
          <w:rFonts w:ascii="Arial" w:hAnsi="Arial" w:cs="Arial"/>
          <w:b/>
          <w:bCs/>
          <w:color w:val="000000" w:themeColor="text1"/>
        </w:rPr>
        <w:t>III. Why PGRR128 Is Urgently Needed</w:t>
      </w:r>
    </w:p>
    <w:p w14:paraId="2D480D2F" w14:textId="77777777" w:rsidR="00243374" w:rsidRPr="00243374" w:rsidRDefault="00243374" w:rsidP="00243374">
      <w:pPr>
        <w:spacing w:before="120" w:after="120"/>
        <w:rPr>
          <w:rFonts w:ascii="Arial" w:hAnsi="Arial" w:cs="Arial"/>
          <w:color w:val="000000" w:themeColor="text1"/>
        </w:rPr>
      </w:pPr>
      <w:r w:rsidRPr="00243374">
        <w:rPr>
          <w:rFonts w:ascii="Arial" w:hAnsi="Arial" w:cs="Arial"/>
          <w:b/>
          <w:bCs/>
          <w:color w:val="000000" w:themeColor="text1"/>
        </w:rPr>
        <w:t>A.  ERCOT's Load Growth Creates Unprecedented Transmission Needs</w:t>
      </w:r>
    </w:p>
    <w:p w14:paraId="52EF1F69" w14:textId="54EE78F2" w:rsidR="00243374" w:rsidRPr="00243374" w:rsidRDefault="00243374" w:rsidP="004A3D9C">
      <w:pPr>
        <w:spacing w:before="120" w:after="120"/>
        <w:ind w:left="720"/>
        <w:jc w:val="both"/>
        <w:rPr>
          <w:rFonts w:ascii="Arial" w:hAnsi="Arial" w:cs="Arial"/>
          <w:color w:val="000000" w:themeColor="text1"/>
        </w:rPr>
      </w:pPr>
      <w:r w:rsidRPr="00243374">
        <w:rPr>
          <w:rFonts w:ascii="Arial" w:hAnsi="Arial" w:cs="Arial"/>
          <w:color w:val="000000" w:themeColor="text1"/>
        </w:rPr>
        <w:t>The ERCOT interconnection queue now contains more than 181 GW of large load applications. The 2025 Regional Transmission Plan identifies hundreds of transmission upgrades driven in whole or in part by thermal overload on existing circuits under load growth scenarios. Traditional transmission upgrades — new lines, transformers, and substation expansion — require 5 to 10 years to permit, procure, and construct, with long-lead equipment extending timelines further.</w:t>
      </w:r>
    </w:p>
    <w:p w14:paraId="7B15D010" w14:textId="5BA2B8D3" w:rsidR="00243374" w:rsidRPr="00243374" w:rsidRDefault="00243374" w:rsidP="004A3D9C">
      <w:pPr>
        <w:spacing w:before="120" w:after="120"/>
        <w:ind w:left="720"/>
        <w:jc w:val="both"/>
        <w:rPr>
          <w:rFonts w:ascii="Arial" w:hAnsi="Arial" w:cs="Arial"/>
          <w:color w:val="000000" w:themeColor="text1"/>
        </w:rPr>
      </w:pPr>
      <w:r w:rsidRPr="00243374">
        <w:rPr>
          <w:rFonts w:ascii="Arial" w:hAnsi="Arial" w:cs="Arial"/>
          <w:color w:val="000000" w:themeColor="text1"/>
        </w:rPr>
        <w:t>Dynamic Line Ratings, by contrast, can be deployed on existing circuits in 12 to 18 months. DLR sensors attached to existing conductor provide real-time temperature and sag data to ERCOT's State Estimator, enabling the real-time rating on each circuit to reflect actual thermal conditions rather than static worst-case seasonal assumptions. In non-summer seasons — when ambient temperatures are lower and wind cooling is greater — DLR can increase effective circuit capacity by 10 to 25 percent relative to static ratings without any physical construction.</w:t>
      </w:r>
    </w:p>
    <w:p w14:paraId="0EDBDD24" w14:textId="77777777" w:rsidR="00243374" w:rsidRPr="00243374" w:rsidRDefault="00243374" w:rsidP="00243374">
      <w:pPr>
        <w:spacing w:before="120" w:after="120"/>
        <w:rPr>
          <w:rFonts w:ascii="Arial" w:hAnsi="Arial" w:cs="Arial"/>
          <w:color w:val="000000" w:themeColor="text1"/>
        </w:rPr>
      </w:pPr>
      <w:r w:rsidRPr="00243374">
        <w:rPr>
          <w:rFonts w:ascii="Arial" w:hAnsi="Arial" w:cs="Arial"/>
          <w:b/>
          <w:bCs/>
          <w:color w:val="000000" w:themeColor="text1"/>
        </w:rPr>
        <w:t>B.  ERCOT Already Validates DLR in Operations — Planning Must Follow</w:t>
      </w:r>
    </w:p>
    <w:p w14:paraId="02D73630" w14:textId="0C99597C" w:rsidR="00243374" w:rsidRPr="00243374" w:rsidRDefault="00243374" w:rsidP="004A3D9C">
      <w:pPr>
        <w:spacing w:before="120" w:after="120"/>
        <w:ind w:left="576"/>
        <w:jc w:val="both"/>
        <w:rPr>
          <w:rFonts w:ascii="Arial" w:hAnsi="Arial" w:cs="Arial"/>
          <w:color w:val="000000" w:themeColor="text1"/>
        </w:rPr>
      </w:pPr>
      <w:r w:rsidRPr="00243374">
        <w:rPr>
          <w:rFonts w:ascii="Arial" w:hAnsi="Arial" w:cs="Arial"/>
          <w:color w:val="000000" w:themeColor="text1"/>
        </w:rPr>
        <w:t xml:space="preserve">ERCOT's Security-Constrained Economic Dispatch ("SCED") already accepts and dispatches against ambient-adjusted ratings, consistent with FERC Order 881 requirements. The Independent Market Monitor has repeatedly identified dynamic line </w:t>
      </w:r>
      <w:proofErr w:type="gramStart"/>
      <w:r w:rsidRPr="00243374">
        <w:rPr>
          <w:rFonts w:ascii="Arial" w:hAnsi="Arial" w:cs="Arial"/>
          <w:color w:val="000000" w:themeColor="text1"/>
        </w:rPr>
        <w:t>rating</w:t>
      </w:r>
      <w:proofErr w:type="gramEnd"/>
      <w:r w:rsidRPr="00243374">
        <w:rPr>
          <w:rFonts w:ascii="Arial" w:hAnsi="Arial" w:cs="Arial"/>
          <w:color w:val="000000" w:themeColor="text1"/>
        </w:rPr>
        <w:t xml:space="preserve"> as a top-priority tool for congestion management in ERCOT. This operational reality is not reflected in ERCOT's planning framework: the RTP still sizes upgrade solutions based on static ratings, overstating the need for traditional infrastructure on circuits where DLR would provide equivalent or greater thermal relief.</w:t>
      </w:r>
    </w:p>
    <w:p w14:paraId="4F18C5A9" w14:textId="720AB3EC" w:rsidR="00243374" w:rsidRPr="00243374" w:rsidRDefault="00243374" w:rsidP="00243374">
      <w:pPr>
        <w:spacing w:before="120" w:after="120"/>
        <w:ind w:left="576"/>
        <w:rPr>
          <w:rFonts w:ascii="Arial" w:hAnsi="Arial" w:cs="Arial"/>
          <w:color w:val="000000" w:themeColor="text1"/>
        </w:rPr>
      </w:pPr>
      <w:r w:rsidRPr="00243374">
        <w:rPr>
          <w:rFonts w:ascii="Arial" w:hAnsi="Arial" w:cs="Arial"/>
          <w:color w:val="000000" w:themeColor="text1"/>
        </w:rPr>
        <w:t xml:space="preserve">There is a fundamental inconsistency in ERCOT's current approach: circuits are dispatched in real-time using ambient-adjusted dynamic ratings, yet the </w:t>
      </w:r>
      <w:r w:rsidRPr="00243374">
        <w:rPr>
          <w:rFonts w:ascii="Arial" w:hAnsi="Arial" w:cs="Arial"/>
          <w:color w:val="000000" w:themeColor="text1"/>
        </w:rPr>
        <w:lastRenderedPageBreak/>
        <w:t>transmission plan that determines which infrastructure gets built is sized against static ratings. PGRR128 corrects this inconsistency.</w:t>
      </w:r>
    </w:p>
    <w:p w14:paraId="0463D025" w14:textId="77777777" w:rsidR="00243374" w:rsidRPr="00243374" w:rsidRDefault="00243374" w:rsidP="00243374">
      <w:pPr>
        <w:spacing w:before="120" w:after="120"/>
        <w:rPr>
          <w:rFonts w:ascii="Arial" w:hAnsi="Arial" w:cs="Arial"/>
          <w:color w:val="000000" w:themeColor="text1"/>
        </w:rPr>
      </w:pPr>
      <w:r w:rsidRPr="00243374">
        <w:rPr>
          <w:rFonts w:ascii="Arial" w:hAnsi="Arial" w:cs="Arial"/>
          <w:b/>
          <w:bCs/>
          <w:color w:val="000000" w:themeColor="text1"/>
        </w:rPr>
        <w:t>C.  Non-Summer DLR Capacity Is Directly Relevant to Large Load Ramp Timelines</w:t>
      </w:r>
    </w:p>
    <w:p w14:paraId="7A1811D9" w14:textId="1FA568AF" w:rsidR="00243374" w:rsidRPr="00243374" w:rsidRDefault="00243374" w:rsidP="004A3D9C">
      <w:pPr>
        <w:spacing w:before="120" w:after="120"/>
        <w:ind w:left="720"/>
        <w:jc w:val="both"/>
        <w:rPr>
          <w:rFonts w:ascii="Arial" w:hAnsi="Arial" w:cs="Arial"/>
          <w:color w:val="000000" w:themeColor="text1"/>
        </w:rPr>
      </w:pPr>
      <w:r w:rsidRPr="00243374">
        <w:rPr>
          <w:rFonts w:ascii="Arial" w:hAnsi="Arial" w:cs="Arial"/>
          <w:color w:val="000000" w:themeColor="text1"/>
        </w:rPr>
        <w:t>Many large load customers — data centers, industrial facilities, and manufacturing operations — have urgent power needs in the 2026 to 2028 window that cannot wait for 5-to-10-year infrastructure solutions. DLR's highest capacity uplift occurs during Q1 (winter) and Q4 (fall), precisely the periods outside ERCOT's summer peak when ambient cooling maximizes thermal headroom on existing conductors.</w:t>
      </w:r>
    </w:p>
    <w:p w14:paraId="0871B33D" w14:textId="77777777" w:rsidR="00243374" w:rsidRPr="00243374" w:rsidRDefault="00243374" w:rsidP="004A3D9C">
      <w:pPr>
        <w:spacing w:before="120" w:after="120"/>
        <w:ind w:left="720"/>
        <w:jc w:val="both"/>
        <w:rPr>
          <w:rFonts w:ascii="Arial" w:hAnsi="Arial" w:cs="Arial"/>
          <w:color w:val="000000" w:themeColor="text1"/>
        </w:rPr>
      </w:pPr>
      <w:r w:rsidRPr="00243374">
        <w:rPr>
          <w:rFonts w:ascii="Arial" w:hAnsi="Arial" w:cs="Arial"/>
          <w:color w:val="000000" w:themeColor="text1"/>
        </w:rPr>
        <w:t xml:space="preserve">A large </w:t>
      </w:r>
      <w:proofErr w:type="gramStart"/>
      <w:r w:rsidRPr="00243374">
        <w:rPr>
          <w:rFonts w:ascii="Arial" w:hAnsi="Arial" w:cs="Arial"/>
          <w:color w:val="000000" w:themeColor="text1"/>
        </w:rPr>
        <w:t>load interconnecting</w:t>
      </w:r>
      <w:proofErr w:type="gramEnd"/>
      <w:r w:rsidRPr="00243374">
        <w:rPr>
          <w:rFonts w:ascii="Arial" w:hAnsi="Arial" w:cs="Arial"/>
          <w:color w:val="000000" w:themeColor="text1"/>
        </w:rPr>
        <w:t xml:space="preserve"> on a corridor where DLR is deployed could ramp its initial load in a non-summer window while longer-lead transmission upgrades proceed on their normal development timeline. This "bridge-and-build" approach — DLR providing interim capacity while physical infrastructure is developed — requires DLR </w:t>
      </w:r>
      <w:proofErr w:type="gramStart"/>
      <w:r w:rsidRPr="00243374">
        <w:rPr>
          <w:rFonts w:ascii="Arial" w:hAnsi="Arial" w:cs="Arial"/>
          <w:color w:val="000000" w:themeColor="text1"/>
        </w:rPr>
        <w:t>be</w:t>
      </w:r>
      <w:proofErr w:type="gramEnd"/>
      <w:r w:rsidRPr="00243374">
        <w:rPr>
          <w:rFonts w:ascii="Arial" w:hAnsi="Arial" w:cs="Arial"/>
          <w:color w:val="000000" w:themeColor="text1"/>
        </w:rPr>
        <w:t xml:space="preserve"> formally credited in the planning studies that determine a large load's interconnection obligations. PGRR128 creates the framework for that credit.</w:t>
      </w:r>
    </w:p>
    <w:p w14:paraId="34CBEBDF" w14:textId="77777777" w:rsidR="00243374" w:rsidRDefault="00243374" w:rsidP="00243374">
      <w:pPr>
        <w:spacing w:before="120" w:after="120"/>
        <w:rPr>
          <w:rFonts w:ascii="Arial" w:hAnsi="Arial" w:cs="Arial"/>
          <w:b/>
          <w:bCs/>
          <w:color w:val="000000" w:themeColor="text1"/>
        </w:rPr>
      </w:pPr>
    </w:p>
    <w:p w14:paraId="0CF5D2F3" w14:textId="6CB34787" w:rsidR="00243374" w:rsidRPr="00243374" w:rsidRDefault="00243374" w:rsidP="00243374">
      <w:pPr>
        <w:spacing w:before="120" w:after="120"/>
        <w:rPr>
          <w:rFonts w:ascii="Arial" w:hAnsi="Arial" w:cs="Arial"/>
          <w:color w:val="000000" w:themeColor="text1"/>
        </w:rPr>
      </w:pPr>
      <w:r w:rsidRPr="00243374">
        <w:rPr>
          <w:rFonts w:ascii="Arial" w:hAnsi="Arial" w:cs="Arial"/>
          <w:b/>
          <w:bCs/>
          <w:color w:val="000000" w:themeColor="text1"/>
        </w:rPr>
        <w:t>IV.  Response to Objections Raised by Oncor and Others</w:t>
      </w:r>
    </w:p>
    <w:p w14:paraId="4DAA7910" w14:textId="77777777" w:rsidR="00243374" w:rsidRPr="00243374" w:rsidRDefault="00243374" w:rsidP="00243374">
      <w:pPr>
        <w:spacing w:before="120" w:after="120"/>
        <w:rPr>
          <w:rFonts w:ascii="Arial" w:hAnsi="Arial" w:cs="Arial"/>
          <w:color w:val="000000" w:themeColor="text1"/>
        </w:rPr>
      </w:pPr>
      <w:r w:rsidRPr="00243374">
        <w:rPr>
          <w:rFonts w:ascii="Arial" w:hAnsi="Arial" w:cs="Arial"/>
          <w:b/>
          <w:bCs/>
          <w:color w:val="000000" w:themeColor="text1"/>
        </w:rPr>
        <w:t>A.  The "Mandatory Hurdle" Objection Misreads PGRR128</w:t>
      </w:r>
    </w:p>
    <w:p w14:paraId="4EC20D27" w14:textId="27ADD678" w:rsidR="00243374" w:rsidRPr="00243374" w:rsidRDefault="00243374" w:rsidP="004A3D9C">
      <w:pPr>
        <w:spacing w:before="120" w:after="120"/>
        <w:ind w:left="720"/>
        <w:jc w:val="both"/>
        <w:rPr>
          <w:rFonts w:ascii="Arial" w:hAnsi="Arial" w:cs="Arial"/>
          <w:color w:val="000000" w:themeColor="text1"/>
        </w:rPr>
      </w:pPr>
      <w:r w:rsidRPr="00243374">
        <w:rPr>
          <w:rFonts w:ascii="Arial" w:hAnsi="Arial" w:cs="Arial"/>
          <w:color w:val="000000" w:themeColor="text1"/>
        </w:rPr>
        <w:t>Oncor argues that requiring a standardized GETs evaluation step imposes an undue burden on the planning process and slows project development. This objection misreads PGRR128 requirements. The proposal does not require ERCOT to run new studies for every identified need. It requires ERCOT to document, as part of the RPG project review package, whether GETs were considered and why they were or were not identified as viable alternatives. This is an analytical disclosure requirement, not a new study mandate.</w:t>
      </w:r>
    </w:p>
    <w:p w14:paraId="03F40082" w14:textId="53098BB7" w:rsidR="00243374" w:rsidRPr="00243374" w:rsidRDefault="00243374" w:rsidP="004A3D9C">
      <w:pPr>
        <w:spacing w:before="120" w:after="120"/>
        <w:ind w:left="720"/>
        <w:jc w:val="both"/>
        <w:rPr>
          <w:rFonts w:ascii="Arial" w:hAnsi="Arial" w:cs="Arial"/>
          <w:color w:val="000000" w:themeColor="text1"/>
        </w:rPr>
      </w:pPr>
      <w:r w:rsidRPr="00243374">
        <w:rPr>
          <w:rFonts w:ascii="Arial" w:hAnsi="Arial" w:cs="Arial"/>
          <w:color w:val="000000" w:themeColor="text1"/>
        </w:rPr>
        <w:t xml:space="preserve">The RPG already requires ERCOT to document alternatives analysis for identified transmission needs. A GETs consideration step fits naturally within that existing process. Utilities in other RTO regions — including PJM and MISO — have implemented similar consideration requirements without material delay to their planning timelines. </w:t>
      </w:r>
    </w:p>
    <w:p w14:paraId="42C41E12" w14:textId="289D8B0B" w:rsidR="00243374" w:rsidRPr="00243374" w:rsidRDefault="00243374" w:rsidP="00F142BA">
      <w:pPr>
        <w:spacing w:before="120" w:after="120"/>
        <w:rPr>
          <w:rFonts w:ascii="Arial" w:hAnsi="Arial" w:cs="Arial"/>
          <w:color w:val="000000" w:themeColor="text1"/>
        </w:rPr>
      </w:pPr>
      <w:r w:rsidRPr="00243374">
        <w:rPr>
          <w:rFonts w:ascii="Arial" w:hAnsi="Arial" w:cs="Arial"/>
          <w:b/>
          <w:bCs/>
          <w:color w:val="000000" w:themeColor="text1"/>
        </w:rPr>
        <w:t xml:space="preserve">B.  TSP Operational Responsibility Can Be Addressed in Language — Not by </w:t>
      </w:r>
      <w:r w:rsidR="00F142BA">
        <w:rPr>
          <w:rFonts w:ascii="Arial" w:hAnsi="Arial" w:cs="Arial"/>
          <w:b/>
          <w:bCs/>
          <w:color w:val="000000" w:themeColor="text1"/>
        </w:rPr>
        <w:t xml:space="preserve"> </w:t>
      </w:r>
      <w:r w:rsidRPr="00243374">
        <w:rPr>
          <w:rFonts w:ascii="Arial" w:hAnsi="Arial" w:cs="Arial"/>
          <w:b/>
          <w:bCs/>
          <w:color w:val="000000" w:themeColor="text1"/>
        </w:rPr>
        <w:t>Rejecting PGRR128</w:t>
      </w:r>
    </w:p>
    <w:p w14:paraId="53944879" w14:textId="3041C851" w:rsidR="00243374" w:rsidRPr="00243374" w:rsidRDefault="00243374" w:rsidP="004A3D9C">
      <w:pPr>
        <w:spacing w:before="120" w:after="120"/>
        <w:ind w:left="720"/>
        <w:jc w:val="both"/>
        <w:rPr>
          <w:rFonts w:ascii="Arial" w:hAnsi="Arial" w:cs="Arial"/>
          <w:color w:val="000000" w:themeColor="text1"/>
        </w:rPr>
      </w:pPr>
      <w:r w:rsidRPr="00243374">
        <w:rPr>
          <w:rFonts w:ascii="Arial" w:hAnsi="Arial" w:cs="Arial"/>
          <w:color w:val="000000" w:themeColor="text1"/>
        </w:rPr>
        <w:t>Oncor also raises the question of operational responsibility: who owns and operates DLR sensors, who is responsible for real-time rating data quality, and how does ERCOT enforce performance standards on GETs installed on Transmission Service Provider-owned infrastructure? These are legitimate implementation questions, but they are implementation questions — not objections to whether GETs should be considered at all.</w:t>
      </w:r>
    </w:p>
    <w:p w14:paraId="6250F79A" w14:textId="66AEA749" w:rsidR="00243374" w:rsidRPr="00243374" w:rsidRDefault="00243374" w:rsidP="00243374">
      <w:pPr>
        <w:spacing w:before="120" w:after="120"/>
        <w:jc w:val="both"/>
        <w:rPr>
          <w:rFonts w:ascii="Arial" w:hAnsi="Arial" w:cs="Arial"/>
          <w:color w:val="000000" w:themeColor="text1"/>
        </w:rPr>
      </w:pPr>
      <w:r w:rsidRPr="00243374">
        <w:rPr>
          <w:rFonts w:ascii="Arial" w:hAnsi="Arial" w:cs="Arial"/>
          <w:color w:val="000000" w:themeColor="text1"/>
        </w:rPr>
        <w:t xml:space="preserve">TOCE recommends that the Planning Working Group address TSP responsibility through specific language additions to PGRR128 that: (i) require any GETs solution identified in the RTP to include a defined operational responsibility assignment between ERCOT, the relevant TSP, and any third-party technology provider; (ii) specify minimum data quality and availability standards for rating data delivered to ERCOT's State Estimator; and (iii) </w:t>
      </w:r>
      <w:r w:rsidRPr="00243374">
        <w:rPr>
          <w:rFonts w:ascii="Arial" w:hAnsi="Arial" w:cs="Arial"/>
          <w:color w:val="000000" w:themeColor="text1"/>
        </w:rPr>
        <w:lastRenderedPageBreak/>
        <w:t>include performance review provisions in the RTP cycle following deployment. These additions strengthen the proposal without undermining its core purpose.</w:t>
      </w:r>
    </w:p>
    <w:p w14:paraId="5737C674" w14:textId="77777777" w:rsidR="00243374" w:rsidRPr="00243374" w:rsidRDefault="00243374" w:rsidP="00243374">
      <w:pPr>
        <w:spacing w:before="120" w:after="120"/>
        <w:rPr>
          <w:rFonts w:ascii="Arial" w:hAnsi="Arial" w:cs="Arial"/>
          <w:color w:val="000000" w:themeColor="text1"/>
        </w:rPr>
      </w:pPr>
      <w:r w:rsidRPr="00243374">
        <w:rPr>
          <w:rFonts w:ascii="Arial" w:hAnsi="Arial" w:cs="Arial"/>
          <w:b/>
          <w:bCs/>
          <w:color w:val="000000" w:themeColor="text1"/>
        </w:rPr>
        <w:t>C.  Technology Neutrality Is Best Served by Transparent Evaluation — Not by Excluding a Class of Solutions</w:t>
      </w:r>
    </w:p>
    <w:p w14:paraId="58074464" w14:textId="55548FE2" w:rsidR="00243374" w:rsidRPr="00243374" w:rsidRDefault="00243374" w:rsidP="004A3D9C">
      <w:pPr>
        <w:spacing w:before="120" w:after="120"/>
        <w:ind w:left="720"/>
        <w:jc w:val="both"/>
        <w:rPr>
          <w:rFonts w:ascii="Arial" w:hAnsi="Arial" w:cs="Arial"/>
          <w:color w:val="000000" w:themeColor="text1"/>
        </w:rPr>
      </w:pPr>
      <w:r w:rsidRPr="00243374">
        <w:rPr>
          <w:rFonts w:ascii="Arial" w:hAnsi="Arial" w:cs="Arial"/>
          <w:color w:val="000000" w:themeColor="text1"/>
        </w:rPr>
        <w:t xml:space="preserve">Oncor argues that the RTP should remain "technology neutral" and that PGRR128 favors GETs by </w:t>
      </w:r>
      <w:proofErr w:type="gramStart"/>
      <w:r w:rsidRPr="00243374">
        <w:rPr>
          <w:rFonts w:ascii="Arial" w:hAnsi="Arial" w:cs="Arial"/>
          <w:color w:val="000000" w:themeColor="text1"/>
        </w:rPr>
        <w:t>singling</w:t>
      </w:r>
      <w:proofErr w:type="gramEnd"/>
      <w:r w:rsidRPr="00243374">
        <w:rPr>
          <w:rFonts w:ascii="Arial" w:hAnsi="Arial" w:cs="Arial"/>
          <w:color w:val="000000" w:themeColor="text1"/>
        </w:rPr>
        <w:t xml:space="preserve"> them out for consideration. This argument inverts the concept of technology neutrality. The current Planning Guide is not </w:t>
      </w:r>
      <w:proofErr w:type="gramStart"/>
      <w:r w:rsidRPr="00243374">
        <w:rPr>
          <w:rFonts w:ascii="Arial" w:hAnsi="Arial" w:cs="Arial"/>
          <w:color w:val="000000" w:themeColor="text1"/>
        </w:rPr>
        <w:t>technology neutral —</w:t>
      </w:r>
      <w:proofErr w:type="gramEnd"/>
      <w:r w:rsidRPr="00243374">
        <w:rPr>
          <w:rFonts w:ascii="Arial" w:hAnsi="Arial" w:cs="Arial"/>
          <w:color w:val="000000" w:themeColor="text1"/>
        </w:rPr>
        <w:t xml:space="preserve"> it is structurally biased toward traditional wires solutions because those are the only solutions that the existing RPG review process systematically evaluates. A truly technology-neutral planning process is one that evaluates all viable solutions, including GETs, on a consistent basis. PGRR128 advances that goal.</w:t>
      </w:r>
    </w:p>
    <w:p w14:paraId="2DD43DB3" w14:textId="77777777" w:rsidR="00243374" w:rsidRDefault="00243374" w:rsidP="00243374">
      <w:pPr>
        <w:spacing w:before="120" w:after="120"/>
        <w:rPr>
          <w:rFonts w:ascii="Arial" w:hAnsi="Arial" w:cs="Arial"/>
          <w:b/>
          <w:bCs/>
          <w:color w:val="000000" w:themeColor="text1"/>
        </w:rPr>
      </w:pPr>
    </w:p>
    <w:p w14:paraId="29D79FD3" w14:textId="0E249E29" w:rsidR="00243374" w:rsidRPr="00243374" w:rsidRDefault="00243374" w:rsidP="00243374">
      <w:pPr>
        <w:spacing w:before="120" w:after="120"/>
        <w:rPr>
          <w:rFonts w:ascii="Arial" w:hAnsi="Arial" w:cs="Arial"/>
          <w:color w:val="000000" w:themeColor="text1"/>
        </w:rPr>
      </w:pPr>
      <w:r w:rsidRPr="00243374">
        <w:rPr>
          <w:rFonts w:ascii="Arial" w:hAnsi="Arial" w:cs="Arial"/>
          <w:b/>
          <w:bCs/>
          <w:color w:val="000000" w:themeColor="text1"/>
        </w:rPr>
        <w:t>V.  PGRR128's Impact on Large Load Interconnection Studies</w:t>
      </w:r>
    </w:p>
    <w:p w14:paraId="3BA4520A" w14:textId="2820AE50" w:rsidR="00243374" w:rsidRPr="00243374" w:rsidRDefault="00243374" w:rsidP="00243374">
      <w:pPr>
        <w:spacing w:before="120" w:after="120"/>
        <w:jc w:val="both"/>
        <w:rPr>
          <w:rFonts w:ascii="Arial" w:hAnsi="Arial" w:cs="Arial"/>
          <w:color w:val="000000" w:themeColor="text1"/>
        </w:rPr>
      </w:pPr>
      <w:r w:rsidRPr="00243374">
        <w:rPr>
          <w:rFonts w:ascii="Arial" w:hAnsi="Arial" w:cs="Arial"/>
          <w:color w:val="000000" w:themeColor="text1"/>
        </w:rPr>
        <w:t>While PGRR128 is directed at the annual RTP process, its impact on large load interconnection studies is direct and significant. ERCOT's Large Load Interconnection Study ("LLIS") process, established under PGRR115 and its companion NPRR1234, determines the transmission upgrades a large load entity must commit to before energization. Those upgrade determinations are derived from the same steady-state and stability planning models used in RTP.</w:t>
      </w:r>
    </w:p>
    <w:p w14:paraId="60568A71" w14:textId="08CC0B68" w:rsidR="00243374" w:rsidRPr="00243374" w:rsidRDefault="00243374" w:rsidP="00243374">
      <w:pPr>
        <w:spacing w:before="120" w:after="120"/>
        <w:jc w:val="both"/>
        <w:rPr>
          <w:rFonts w:ascii="Arial" w:hAnsi="Arial" w:cs="Arial"/>
          <w:color w:val="000000" w:themeColor="text1"/>
        </w:rPr>
      </w:pPr>
      <w:r w:rsidRPr="00243374">
        <w:rPr>
          <w:rFonts w:ascii="Arial" w:hAnsi="Arial" w:cs="Arial"/>
          <w:color w:val="000000" w:themeColor="text1"/>
        </w:rPr>
        <w:t>If a thermal overload on a given circuit is identified in the LLIS as requiring a new transmission line or transformer, but DLR on that circuit would resolve the overload without physical construction, the large load entity faces an unnecessary obligation. Under the current Planning Guide, there is no requirement for ERCOT or the TSP to surface DLR as an alternative when identifying LLIS upgrade obligations. PGRR128 changes that by requiring GETs to be considered in the RTP process that feeds the LLIS base cases.</w:t>
      </w:r>
    </w:p>
    <w:p w14:paraId="60E66315" w14:textId="16DE4E2E" w:rsidR="00243374" w:rsidRPr="00243374" w:rsidRDefault="00243374" w:rsidP="00243374">
      <w:pPr>
        <w:spacing w:before="120" w:after="120"/>
        <w:ind w:left="576"/>
        <w:rPr>
          <w:rFonts w:ascii="Arial" w:hAnsi="Arial" w:cs="Arial"/>
          <w:color w:val="000000" w:themeColor="text1"/>
        </w:rPr>
      </w:pPr>
      <w:r w:rsidRPr="00243374">
        <w:rPr>
          <w:rFonts w:ascii="Arial" w:hAnsi="Arial" w:cs="Arial"/>
          <w:b/>
          <w:bCs/>
          <w:color w:val="000000" w:themeColor="text1"/>
        </w:rPr>
        <w:t xml:space="preserve">TOCE recommends the following language addition:  </w:t>
      </w:r>
      <w:r w:rsidRPr="00243374">
        <w:rPr>
          <w:rFonts w:ascii="Arial" w:hAnsi="Arial" w:cs="Arial"/>
          <w:color w:val="000000" w:themeColor="text1"/>
        </w:rPr>
        <w:t>In addition to the core RTP GETs consideration requirement, PGRR128 should be amended to require that, when a Large Load Interconnection Study identifies a thermal overload on an existing circuit as the binding constraint requiring a transmission upgrade, the study package must include documentation of whether DLR or other applicable GETs were evaluated as alternatives to the identified upgrade. This does not require DLR to be selected — it requires that the alternative be on record before an upgrade obligation is assigned to a large load entity.</w:t>
      </w:r>
    </w:p>
    <w:p w14:paraId="5A051CC8" w14:textId="6A6E0B77" w:rsidR="00243374" w:rsidRPr="00243374" w:rsidRDefault="00243374" w:rsidP="00243374">
      <w:pPr>
        <w:spacing w:before="120" w:after="120"/>
        <w:jc w:val="both"/>
        <w:rPr>
          <w:rFonts w:ascii="Arial" w:hAnsi="Arial" w:cs="Arial"/>
          <w:color w:val="000000" w:themeColor="text1"/>
        </w:rPr>
      </w:pPr>
      <w:r w:rsidRPr="00243374">
        <w:rPr>
          <w:rFonts w:ascii="Arial" w:hAnsi="Arial" w:cs="Arial"/>
          <w:color w:val="000000" w:themeColor="text1"/>
        </w:rPr>
        <w:t>This addition is consistent with TEBA's stated objective — ensuring that stakeholders can see GETs were evaluated — and with ERCOT Staff's emphasis on transparent modeling assumptions. It provides large load customers with the information they need to engage meaningfully in the RPG process regarding their interconnection obligations.</w:t>
      </w:r>
    </w:p>
    <w:p w14:paraId="06ECEF74" w14:textId="77777777" w:rsidR="00243374" w:rsidRDefault="00243374" w:rsidP="00243374">
      <w:pPr>
        <w:spacing w:before="120" w:after="120"/>
        <w:rPr>
          <w:rFonts w:ascii="Arial" w:hAnsi="Arial" w:cs="Arial"/>
          <w:b/>
          <w:bCs/>
          <w:color w:val="000000" w:themeColor="text1"/>
        </w:rPr>
      </w:pPr>
    </w:p>
    <w:p w14:paraId="112DFCDA" w14:textId="424FB559" w:rsidR="00243374" w:rsidRPr="00243374" w:rsidRDefault="00243374" w:rsidP="00243374">
      <w:pPr>
        <w:spacing w:before="120" w:after="120"/>
        <w:rPr>
          <w:rFonts w:ascii="Arial" w:hAnsi="Arial" w:cs="Arial"/>
          <w:color w:val="000000" w:themeColor="text1"/>
        </w:rPr>
      </w:pPr>
      <w:r w:rsidRPr="00243374">
        <w:rPr>
          <w:rFonts w:ascii="Arial" w:hAnsi="Arial" w:cs="Arial"/>
          <w:b/>
          <w:bCs/>
          <w:color w:val="000000" w:themeColor="text1"/>
        </w:rPr>
        <w:t>VI. Addressing ERCOT Staff's Modeling Methodology Concerns</w:t>
      </w:r>
    </w:p>
    <w:p w14:paraId="2B40D435" w14:textId="1ABAC2D4" w:rsidR="00243374" w:rsidRPr="00243374" w:rsidRDefault="00243374" w:rsidP="00243374">
      <w:pPr>
        <w:spacing w:before="120" w:after="120"/>
        <w:jc w:val="both"/>
        <w:rPr>
          <w:rFonts w:ascii="Arial" w:hAnsi="Arial" w:cs="Arial"/>
          <w:color w:val="000000" w:themeColor="text1"/>
        </w:rPr>
      </w:pPr>
      <w:r w:rsidRPr="00243374">
        <w:rPr>
          <w:rFonts w:ascii="Arial" w:hAnsi="Arial" w:cs="Arial"/>
          <w:color w:val="000000" w:themeColor="text1"/>
        </w:rPr>
        <w:lastRenderedPageBreak/>
        <w:t>ERCOT Staff has raised legitimate questions regarding how DLR should be modeled in steady-state and stability planning studies. TOCE provides the following guidance, drawn from operational DLR deployments across multiple RTOs:</w:t>
      </w:r>
    </w:p>
    <w:p w14:paraId="7119D0E3" w14:textId="77777777" w:rsidR="00243374" w:rsidRPr="00243374" w:rsidRDefault="00243374" w:rsidP="00243374">
      <w:pPr>
        <w:spacing w:before="120" w:after="120"/>
        <w:rPr>
          <w:rFonts w:ascii="Arial" w:hAnsi="Arial" w:cs="Arial"/>
          <w:color w:val="000000" w:themeColor="text1"/>
        </w:rPr>
      </w:pPr>
      <w:r w:rsidRPr="00243374">
        <w:rPr>
          <w:rFonts w:ascii="Arial" w:hAnsi="Arial" w:cs="Arial"/>
          <w:b/>
          <w:bCs/>
          <w:color w:val="000000" w:themeColor="text1"/>
        </w:rPr>
        <w:t>A.  Conservative Rating Methodology Preserves Reliability Standards</w:t>
      </w:r>
    </w:p>
    <w:p w14:paraId="027ECC3F" w14:textId="09D0F664" w:rsidR="00243374" w:rsidRPr="00243374" w:rsidRDefault="00243374" w:rsidP="004A3D9C">
      <w:pPr>
        <w:spacing w:before="120" w:after="120"/>
        <w:ind w:left="720"/>
        <w:jc w:val="both"/>
        <w:rPr>
          <w:rFonts w:ascii="Arial" w:hAnsi="Arial" w:cs="Arial"/>
          <w:color w:val="000000" w:themeColor="text1"/>
        </w:rPr>
      </w:pPr>
      <w:r w:rsidRPr="00243374">
        <w:rPr>
          <w:rFonts w:ascii="Arial" w:hAnsi="Arial" w:cs="Arial"/>
          <w:color w:val="000000" w:themeColor="text1"/>
        </w:rPr>
        <w:t>DLR ratings used in planning studies should reflect conservative, statistically defensible thermal capacity values — not peak real-time ratings observed under ideal weather conditions. TOCE recommends that ERCOT adopt a methodology that credits DLR at a planning rating equal to the 10th-percentile ambient temperature observed during peak load hours for the relevant season, applied to a validated conductor thermal model. This approach ensures that the DLR credit in the planning model reflects capacity available under stressed, not benign, conditions.</w:t>
      </w:r>
    </w:p>
    <w:p w14:paraId="556E4BAD" w14:textId="77777777" w:rsidR="00243374" w:rsidRPr="00243374" w:rsidRDefault="00243374" w:rsidP="00243374">
      <w:pPr>
        <w:spacing w:before="120" w:after="120"/>
        <w:rPr>
          <w:rFonts w:ascii="Arial" w:hAnsi="Arial" w:cs="Arial"/>
          <w:color w:val="000000" w:themeColor="text1"/>
        </w:rPr>
      </w:pPr>
      <w:r w:rsidRPr="00243374">
        <w:rPr>
          <w:rFonts w:ascii="Arial" w:hAnsi="Arial" w:cs="Arial"/>
          <w:b/>
          <w:bCs/>
          <w:color w:val="000000" w:themeColor="text1"/>
        </w:rPr>
        <w:t>B.  Seasonal Differentiation Captures DLR's Greatest Value</w:t>
      </w:r>
    </w:p>
    <w:p w14:paraId="54AC4AC6" w14:textId="308916B9" w:rsidR="00243374" w:rsidRPr="00243374" w:rsidRDefault="00243374" w:rsidP="004A3D9C">
      <w:pPr>
        <w:spacing w:before="120" w:after="120"/>
        <w:ind w:left="720"/>
        <w:jc w:val="both"/>
        <w:rPr>
          <w:rFonts w:ascii="Arial" w:hAnsi="Arial" w:cs="Arial"/>
          <w:color w:val="000000" w:themeColor="text1"/>
        </w:rPr>
      </w:pPr>
      <w:r w:rsidRPr="00243374">
        <w:rPr>
          <w:rFonts w:ascii="Arial" w:hAnsi="Arial" w:cs="Arial"/>
          <w:color w:val="000000" w:themeColor="text1"/>
        </w:rPr>
        <w:t xml:space="preserve">DLR provides the most significant capacity uplift in non-summer seasons. ERCOT's planning studies are typically run for summer peak, spring, fall, and winter conditions. TOCE recommends that PGRR128's implementing methodology </w:t>
      </w:r>
      <w:proofErr w:type="gramStart"/>
      <w:r w:rsidRPr="00243374">
        <w:rPr>
          <w:rFonts w:ascii="Arial" w:hAnsi="Arial" w:cs="Arial"/>
          <w:color w:val="000000" w:themeColor="text1"/>
        </w:rPr>
        <w:t>require</w:t>
      </w:r>
      <w:proofErr w:type="gramEnd"/>
      <w:r w:rsidRPr="00243374">
        <w:rPr>
          <w:rFonts w:ascii="Arial" w:hAnsi="Arial" w:cs="Arial"/>
          <w:color w:val="000000" w:themeColor="text1"/>
        </w:rPr>
        <w:t xml:space="preserve"> GETs to be evaluated separately for each seasonal study period, ensuring that the non-summer capacity benefit — which can be 10 to 25 percent above static ratings — is captured in the planning record even if summer peak capacity uplift is more modest.</w:t>
      </w:r>
    </w:p>
    <w:p w14:paraId="70BD7C39" w14:textId="77777777" w:rsidR="00243374" w:rsidRPr="00243374" w:rsidRDefault="00243374" w:rsidP="00243374">
      <w:pPr>
        <w:spacing w:before="120" w:after="120"/>
        <w:rPr>
          <w:rFonts w:ascii="Arial" w:hAnsi="Arial" w:cs="Arial"/>
          <w:color w:val="000000" w:themeColor="text1"/>
        </w:rPr>
      </w:pPr>
      <w:r w:rsidRPr="00243374">
        <w:rPr>
          <w:rFonts w:ascii="Arial" w:hAnsi="Arial" w:cs="Arial"/>
          <w:b/>
          <w:bCs/>
          <w:color w:val="000000" w:themeColor="text1"/>
        </w:rPr>
        <w:t>C.  Availability and Redundancy Standards Should Mirror Existing Equipment</w:t>
      </w:r>
    </w:p>
    <w:p w14:paraId="11ABDC27" w14:textId="16397A1F" w:rsidR="00243374" w:rsidRPr="00243374" w:rsidRDefault="00243374" w:rsidP="004A3D9C">
      <w:pPr>
        <w:spacing w:before="120" w:after="120"/>
        <w:ind w:left="720"/>
        <w:jc w:val="both"/>
        <w:rPr>
          <w:rFonts w:ascii="Arial" w:hAnsi="Arial" w:cs="Arial"/>
          <w:color w:val="000000" w:themeColor="text1"/>
        </w:rPr>
      </w:pPr>
      <w:r w:rsidRPr="00243374">
        <w:rPr>
          <w:rFonts w:ascii="Arial" w:hAnsi="Arial" w:cs="Arial"/>
          <w:color w:val="000000" w:themeColor="text1"/>
        </w:rPr>
        <w:t>ERCOT Staff have raised questions about DLR sensor availability during stressed system conditions, such as extreme weather events. TOCE agrees that availability standards are essential and recommends that the Planning Working Group specify minimum availability requirements — for example, requiring that DLR sensing systems achieve greater than 99 percent availability during summer peak and winter weather events — before a DLR solution can be credited in the RTP. Sensor systems meeting this standard are commercially available today, and LineVision and similar vendors have documented performance records across ISO-RTO operating environments.</w:t>
      </w:r>
    </w:p>
    <w:p w14:paraId="09296DFB" w14:textId="77777777" w:rsidR="00243374" w:rsidRPr="00243374" w:rsidRDefault="00243374" w:rsidP="00243374">
      <w:pPr>
        <w:spacing w:before="120" w:after="120"/>
        <w:rPr>
          <w:rFonts w:ascii="Arial" w:hAnsi="Arial" w:cs="Arial"/>
          <w:color w:val="000000" w:themeColor="text1"/>
        </w:rPr>
      </w:pPr>
      <w:r w:rsidRPr="00243374">
        <w:rPr>
          <w:rFonts w:ascii="Arial" w:hAnsi="Arial" w:cs="Arial"/>
          <w:b/>
          <w:bCs/>
          <w:color w:val="000000" w:themeColor="text1"/>
        </w:rPr>
        <w:t>D.  Reactive Power and Stability Impacts Are Manageable</w:t>
      </w:r>
    </w:p>
    <w:p w14:paraId="1057F288" w14:textId="360EB29B" w:rsidR="00243374" w:rsidRPr="00243374" w:rsidRDefault="00243374" w:rsidP="004A3D9C">
      <w:pPr>
        <w:spacing w:before="120" w:after="120"/>
        <w:ind w:left="720"/>
        <w:jc w:val="both"/>
        <w:rPr>
          <w:rFonts w:ascii="Arial" w:hAnsi="Arial" w:cs="Arial"/>
          <w:color w:val="000000" w:themeColor="text1"/>
        </w:rPr>
      </w:pPr>
      <w:r w:rsidRPr="00243374">
        <w:rPr>
          <w:rFonts w:ascii="Arial" w:hAnsi="Arial" w:cs="Arial"/>
          <w:color w:val="000000" w:themeColor="text1"/>
        </w:rPr>
        <w:t>ERCOT Staff have noted that increasing effective thermal ratings via DLR does not increase a circuit's voltage or stability limits, and that higher loading on DLR-credited circuits could worsen reactive power profiles or reduce stability margins. TOCE agrees that DLR credits must be evaluated within a full AC load flow that captures reactive power and stability constraints — not just thermal loading. PGRR128's implementing language should specify that GETs alternatives are evaluated in the same steady-state and stability study environment as traditional alternatives, ensuring apples-to-apples comparison and no reduction in planning reliability standards.</w:t>
      </w:r>
    </w:p>
    <w:p w14:paraId="176BE0F0" w14:textId="77777777" w:rsidR="00243374" w:rsidRDefault="00243374" w:rsidP="00243374">
      <w:pPr>
        <w:spacing w:before="120" w:after="120"/>
        <w:rPr>
          <w:rFonts w:ascii="Arial" w:hAnsi="Arial" w:cs="Arial"/>
          <w:b/>
          <w:bCs/>
          <w:color w:val="000000" w:themeColor="text1"/>
        </w:rPr>
      </w:pPr>
    </w:p>
    <w:p w14:paraId="19000FAB" w14:textId="4AAAD9A1" w:rsidR="00243374" w:rsidRPr="00243374" w:rsidRDefault="00243374" w:rsidP="00243374">
      <w:pPr>
        <w:spacing w:before="120" w:after="120"/>
        <w:rPr>
          <w:rFonts w:ascii="Arial" w:hAnsi="Arial" w:cs="Arial"/>
          <w:color w:val="000000" w:themeColor="text1"/>
        </w:rPr>
      </w:pPr>
      <w:r w:rsidRPr="00243374">
        <w:rPr>
          <w:rFonts w:ascii="Arial" w:hAnsi="Arial" w:cs="Arial"/>
          <w:b/>
          <w:bCs/>
          <w:color w:val="000000" w:themeColor="text1"/>
        </w:rPr>
        <w:t>VII. TOCE’s Recommended Language Additions to PGRR128</w:t>
      </w:r>
    </w:p>
    <w:p w14:paraId="083B2DD5" w14:textId="122B7BE7" w:rsidR="00243374" w:rsidRPr="00243374" w:rsidRDefault="00243374" w:rsidP="00243374">
      <w:pPr>
        <w:spacing w:before="120" w:after="120"/>
        <w:jc w:val="both"/>
        <w:rPr>
          <w:rFonts w:ascii="Arial" w:hAnsi="Arial" w:cs="Arial"/>
          <w:color w:val="000000" w:themeColor="text1"/>
        </w:rPr>
      </w:pPr>
      <w:r w:rsidRPr="00243374">
        <w:rPr>
          <w:rFonts w:ascii="Arial" w:hAnsi="Arial" w:cs="Arial"/>
          <w:color w:val="000000" w:themeColor="text1"/>
        </w:rPr>
        <w:lastRenderedPageBreak/>
        <w:t>TOCE recommends the following additions to the PGRR128 language to strengthen the proposal, address stakeholder concerns, and ensure that DLR and other GETs are meaningfully — not perfunctorily — evaluated in ERCOT's planning process:</w:t>
      </w:r>
    </w:p>
    <w:p w14:paraId="6159F36F" w14:textId="6D2234D1" w:rsidR="00243374" w:rsidRPr="00243374" w:rsidRDefault="00243374" w:rsidP="004A3D9C">
      <w:pPr>
        <w:spacing w:before="120" w:after="120"/>
        <w:ind w:left="504"/>
        <w:rPr>
          <w:rFonts w:ascii="Arial" w:hAnsi="Arial" w:cs="Arial"/>
          <w:color w:val="000000" w:themeColor="text1"/>
        </w:rPr>
      </w:pPr>
      <w:r w:rsidRPr="00243374">
        <w:rPr>
          <w:rFonts w:ascii="Arial" w:hAnsi="Arial" w:cs="Arial"/>
          <w:b/>
          <w:bCs/>
          <w:color w:val="000000" w:themeColor="text1"/>
        </w:rPr>
        <w:t>1. GETs Consideration Trigger</w:t>
      </w:r>
    </w:p>
    <w:p w14:paraId="52DCC5DC" w14:textId="77777777" w:rsidR="00243374" w:rsidRPr="00243374" w:rsidRDefault="00243374" w:rsidP="00243374">
      <w:pPr>
        <w:spacing w:before="120" w:after="120"/>
        <w:ind w:left="720"/>
        <w:rPr>
          <w:rFonts w:ascii="Arial" w:hAnsi="Arial" w:cs="Arial"/>
          <w:color w:val="000000" w:themeColor="text1"/>
        </w:rPr>
      </w:pPr>
      <w:r w:rsidRPr="00243374">
        <w:rPr>
          <w:rFonts w:ascii="Arial" w:hAnsi="Arial" w:cs="Arial"/>
          <w:color w:val="000000" w:themeColor="text1"/>
        </w:rPr>
        <w:t>For each transmission need identified in the RTP that is driven in whole or in part by a thermal overload on an existing circuit, ERCOT Staff shall document in the RPG project review package whether Dynamic Line Ratings, high-performance conductors, advanced power flow control, or other Grid Enhancing Technologies were evaluated as alternatives or complements to the proposed traditional upgrade, including the technical basis for any determination that GETs are not a viable alternative.</w:t>
      </w:r>
    </w:p>
    <w:p w14:paraId="7A9F6F45" w14:textId="474936A8" w:rsidR="00243374" w:rsidRPr="00243374" w:rsidRDefault="00243374" w:rsidP="004A3D9C">
      <w:pPr>
        <w:spacing w:before="120" w:after="120"/>
        <w:ind w:left="504"/>
        <w:rPr>
          <w:rFonts w:ascii="Arial" w:hAnsi="Arial" w:cs="Arial"/>
          <w:color w:val="000000" w:themeColor="text1"/>
        </w:rPr>
      </w:pPr>
      <w:r w:rsidRPr="00243374">
        <w:rPr>
          <w:rFonts w:ascii="Arial" w:hAnsi="Arial" w:cs="Arial"/>
          <w:b/>
          <w:bCs/>
          <w:color w:val="000000" w:themeColor="text1"/>
        </w:rPr>
        <w:t>2. Large Load Interconnection Study Disclosure</w:t>
      </w:r>
    </w:p>
    <w:p w14:paraId="71F6B324" w14:textId="6CE6B8C0" w:rsidR="00243374" w:rsidRPr="00243374" w:rsidRDefault="00243374" w:rsidP="00243374">
      <w:pPr>
        <w:spacing w:before="120" w:after="120"/>
        <w:ind w:left="720"/>
        <w:rPr>
          <w:rFonts w:ascii="Arial" w:hAnsi="Arial" w:cs="Arial"/>
          <w:color w:val="000000" w:themeColor="text1"/>
        </w:rPr>
      </w:pPr>
      <w:r w:rsidRPr="00243374">
        <w:rPr>
          <w:rFonts w:ascii="Arial" w:hAnsi="Arial" w:cs="Arial"/>
          <w:color w:val="000000" w:themeColor="text1"/>
        </w:rPr>
        <w:t>Where a Large Load Interconnection Study identifies a thermal overload on an existing circuit as requiring a transmission upgrade, the study package provided to the interconnecting load entity shall include documentation of whether Dynamic Line Ratings or other applicable GETs were evaluated as alternatives to the identified upgrade, and the technical basis for any determination that GETs are not viable.</w:t>
      </w:r>
    </w:p>
    <w:p w14:paraId="20434D6A" w14:textId="32D23C29" w:rsidR="00243374" w:rsidRPr="00243374" w:rsidRDefault="00243374" w:rsidP="004A3D9C">
      <w:pPr>
        <w:spacing w:before="120" w:after="120"/>
        <w:ind w:left="504"/>
        <w:rPr>
          <w:rFonts w:ascii="Arial" w:hAnsi="Arial" w:cs="Arial"/>
          <w:color w:val="000000" w:themeColor="text1"/>
        </w:rPr>
      </w:pPr>
      <w:r w:rsidRPr="00243374">
        <w:rPr>
          <w:rFonts w:ascii="Arial" w:hAnsi="Arial" w:cs="Arial"/>
          <w:b/>
          <w:bCs/>
          <w:color w:val="000000" w:themeColor="text1"/>
        </w:rPr>
        <w:t>3. Operational Responsibility Assignment</w:t>
      </w:r>
    </w:p>
    <w:p w14:paraId="50FD8D2F" w14:textId="77777777" w:rsidR="00243374" w:rsidRPr="00243374" w:rsidRDefault="00243374" w:rsidP="00243374">
      <w:pPr>
        <w:spacing w:before="120" w:after="120"/>
        <w:ind w:left="720"/>
        <w:rPr>
          <w:rFonts w:ascii="Arial" w:hAnsi="Arial" w:cs="Arial"/>
          <w:color w:val="000000" w:themeColor="text1"/>
        </w:rPr>
      </w:pPr>
      <w:r w:rsidRPr="00243374">
        <w:rPr>
          <w:rFonts w:ascii="Arial" w:hAnsi="Arial" w:cs="Arial"/>
          <w:color w:val="000000" w:themeColor="text1"/>
        </w:rPr>
        <w:t>Any GETs solution identified as a viable alternative in the RTP or LLIS shall include, as part of the RPG project review package, a defined assignment of operational responsibility among ERCOT, the Transmission Service Provider on whose infrastructure the GETs would be deployed, and any third-party technology provider, including minimum data quality, availability, and performance review standards.</w:t>
      </w:r>
    </w:p>
    <w:p w14:paraId="2A1E2E53" w14:textId="47FBF758" w:rsidR="00243374" w:rsidRPr="00243374" w:rsidRDefault="00243374" w:rsidP="004A3D9C">
      <w:pPr>
        <w:spacing w:before="120" w:after="120"/>
        <w:ind w:left="504"/>
        <w:rPr>
          <w:rFonts w:ascii="Arial" w:hAnsi="Arial" w:cs="Arial"/>
          <w:color w:val="000000" w:themeColor="text1"/>
        </w:rPr>
      </w:pPr>
      <w:r w:rsidRPr="00243374">
        <w:rPr>
          <w:rFonts w:ascii="Arial" w:hAnsi="Arial" w:cs="Arial"/>
          <w:b/>
          <w:bCs/>
          <w:color w:val="000000" w:themeColor="text1"/>
        </w:rPr>
        <w:t>4. Seasonal Study Differentiation</w:t>
      </w:r>
    </w:p>
    <w:p w14:paraId="5D6261A7" w14:textId="6A4A92C9" w:rsidR="00243374" w:rsidRPr="00243374" w:rsidRDefault="00243374" w:rsidP="00243374">
      <w:pPr>
        <w:spacing w:before="120" w:after="120"/>
        <w:ind w:left="720"/>
        <w:rPr>
          <w:rFonts w:ascii="Arial" w:hAnsi="Arial" w:cs="Arial"/>
          <w:color w:val="000000" w:themeColor="text1"/>
        </w:rPr>
      </w:pPr>
      <w:proofErr w:type="gramStart"/>
      <w:r w:rsidRPr="00243374">
        <w:rPr>
          <w:rFonts w:ascii="Arial" w:hAnsi="Arial" w:cs="Arial"/>
          <w:color w:val="000000" w:themeColor="text1"/>
        </w:rPr>
        <w:t>GETs alternatives</w:t>
      </w:r>
      <w:proofErr w:type="gramEnd"/>
      <w:r w:rsidRPr="00243374">
        <w:rPr>
          <w:rFonts w:ascii="Arial" w:hAnsi="Arial" w:cs="Arial"/>
          <w:color w:val="000000" w:themeColor="text1"/>
        </w:rPr>
        <w:t xml:space="preserve"> shall be evaluated separately for each seasonal study period included in the RTP, ensuring that capacity uplift in non-summer seasons is captured in the planning record. DLR planning ratings shall be determined using a conservative methodology that reflects thermally constrained capacity available during stressed ambient conditions, not peak real-time capacity under ideal weather.</w:t>
      </w:r>
    </w:p>
    <w:p w14:paraId="5FDA8E22" w14:textId="77777777" w:rsidR="00243374" w:rsidRDefault="00243374" w:rsidP="00243374">
      <w:pPr>
        <w:spacing w:before="120" w:after="120"/>
        <w:rPr>
          <w:rFonts w:ascii="Arial" w:hAnsi="Arial" w:cs="Arial"/>
          <w:b/>
          <w:bCs/>
          <w:color w:val="000000" w:themeColor="text1"/>
        </w:rPr>
      </w:pPr>
    </w:p>
    <w:p w14:paraId="22493D94" w14:textId="20A11CCC" w:rsidR="00243374" w:rsidRPr="00243374" w:rsidRDefault="00243374" w:rsidP="00243374">
      <w:pPr>
        <w:spacing w:before="120" w:after="120"/>
        <w:rPr>
          <w:rFonts w:ascii="Arial" w:hAnsi="Arial" w:cs="Arial"/>
          <w:color w:val="000000" w:themeColor="text1"/>
        </w:rPr>
      </w:pPr>
      <w:r w:rsidRPr="00243374">
        <w:rPr>
          <w:rFonts w:ascii="Arial" w:hAnsi="Arial" w:cs="Arial"/>
          <w:b/>
          <w:bCs/>
          <w:color w:val="000000" w:themeColor="text1"/>
        </w:rPr>
        <w:t>VIII.  Conclusion</w:t>
      </w:r>
    </w:p>
    <w:p w14:paraId="27BCBB26" w14:textId="49EE1EBB" w:rsidR="00243374" w:rsidRPr="00243374" w:rsidRDefault="00243374" w:rsidP="00243374">
      <w:pPr>
        <w:spacing w:before="120" w:after="120"/>
        <w:jc w:val="both"/>
        <w:rPr>
          <w:rFonts w:ascii="Arial" w:hAnsi="Arial" w:cs="Arial"/>
          <w:color w:val="000000" w:themeColor="text1"/>
        </w:rPr>
      </w:pPr>
      <w:r w:rsidRPr="00243374">
        <w:rPr>
          <w:rFonts w:ascii="Arial" w:hAnsi="Arial" w:cs="Arial"/>
          <w:color w:val="000000" w:themeColor="text1"/>
        </w:rPr>
        <w:t>Treaty Oak strongly supports PGRR128 and urges the PLWG/ROS to advance the proposed language — with the additions recommended herein — to the Reliability and Operations Subcommittee for approval. The ERCOT system faces unprecedented load growth, and the tools to serve that growth faster and at lower cost than traditional transmission infrastructure already exist and are deployable today. Dynamic Line Ratings have been proven in commercial operation across multiple RTOs and are already embedded in ERCOT's real-time dispatch. The planning framework should reflect that reality.</w:t>
      </w:r>
    </w:p>
    <w:p w14:paraId="0E647600" w14:textId="77777777" w:rsidR="00243374" w:rsidRPr="00243374" w:rsidRDefault="00243374" w:rsidP="00243374">
      <w:pPr>
        <w:spacing w:before="120" w:after="120"/>
        <w:jc w:val="both"/>
      </w:pPr>
      <w:r w:rsidRPr="00243374">
        <w:rPr>
          <w:rFonts w:ascii="Arial" w:hAnsi="Arial" w:cs="Arial"/>
          <w:color w:val="000000" w:themeColor="text1"/>
        </w:rPr>
        <w:lastRenderedPageBreak/>
        <w:t>The concerns raised by Oncor and others regarding implementation — TSP responsibility, modeling methodology, availability standards — are legitimate and should be addressed through specific language additions to PGRR128, not by deferring or rejecting a proposal that the ERCOT system clearly needs. TOCE stands ready to assist the PLWG/ROS in developing implementation language that addresses these concerns while preserving the transparency and accountability that PGRR128 is designed to create</w:t>
      </w:r>
      <w:r w:rsidRPr="00243374">
        <w:t>.</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C71336" w14:paraId="2CBE30DE" w14:textId="77777777" w:rsidTr="00AE4069">
        <w:trPr>
          <w:trHeight w:val="350"/>
        </w:trPr>
        <w:tc>
          <w:tcPr>
            <w:tcW w:w="10440" w:type="dxa"/>
            <w:tcBorders>
              <w:bottom w:val="single" w:sz="4" w:space="0" w:color="auto"/>
            </w:tcBorders>
            <w:shd w:val="clear" w:color="auto" w:fill="FFFFFF"/>
            <w:vAlign w:val="center"/>
          </w:tcPr>
          <w:p w14:paraId="1C2AB067" w14:textId="77777777" w:rsidR="00C71336" w:rsidRDefault="00C71336" w:rsidP="00243374">
            <w:pPr>
              <w:pStyle w:val="Header"/>
              <w:jc w:val="center"/>
            </w:pPr>
            <w:r>
              <w:t>Revised Cover Page Language</w:t>
            </w:r>
          </w:p>
        </w:tc>
      </w:tr>
    </w:tbl>
    <w:p w14:paraId="6261B5A0" w14:textId="45EB8A88" w:rsidR="00884CEF" w:rsidRPr="00D56D61" w:rsidRDefault="00243374" w:rsidP="001117D0">
      <w:pPr>
        <w:spacing w:before="120" w:after="120"/>
        <w:rPr>
          <w:rFonts w:ascii="Arial" w:hAnsi="Arial" w:cs="Arial"/>
        </w:rPr>
      </w:pPr>
      <w:r>
        <w:rPr>
          <w:rFonts w:ascii="Arial" w:hAnsi="Arial" w:cs="Arial"/>
        </w:rP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EB62643" w14:textId="77777777">
        <w:trPr>
          <w:trHeight w:val="350"/>
        </w:trPr>
        <w:tc>
          <w:tcPr>
            <w:tcW w:w="10440" w:type="dxa"/>
            <w:tcBorders>
              <w:bottom w:val="single" w:sz="4" w:space="0" w:color="auto"/>
            </w:tcBorders>
            <w:shd w:val="clear" w:color="auto" w:fill="FFFFFF"/>
            <w:vAlign w:val="center"/>
          </w:tcPr>
          <w:p w14:paraId="2F6988E9" w14:textId="77777777" w:rsidR="009A3772" w:rsidRDefault="009A3772" w:rsidP="005E1113">
            <w:pPr>
              <w:pStyle w:val="Header"/>
              <w:jc w:val="center"/>
            </w:pPr>
            <w:r>
              <w:t xml:space="preserve">Proposed </w:t>
            </w:r>
            <w:r w:rsidR="005E1113">
              <w:t>Guide</w:t>
            </w:r>
            <w:r>
              <w:t xml:space="preserve"> Language Revision</w:t>
            </w:r>
          </w:p>
        </w:tc>
      </w:tr>
    </w:tbl>
    <w:p w14:paraId="0178EA8E" w14:textId="77777777" w:rsidR="00243374" w:rsidRPr="00D56D61" w:rsidRDefault="00243374" w:rsidP="00243374">
      <w:pPr>
        <w:spacing w:before="120" w:after="120"/>
        <w:rPr>
          <w:rFonts w:ascii="Arial" w:hAnsi="Arial" w:cs="Arial"/>
        </w:rPr>
      </w:pPr>
      <w:r>
        <w:rPr>
          <w:rFonts w:ascii="Arial" w:hAnsi="Arial" w:cs="Arial"/>
        </w:rPr>
        <w:t>None</w:t>
      </w:r>
    </w:p>
    <w:p w14:paraId="4A89C681" w14:textId="77777777" w:rsidR="00D45E00" w:rsidRPr="00CE7096" w:rsidRDefault="00D45E00" w:rsidP="00CE7096"/>
    <w:sectPr w:rsidR="00D45E00" w:rsidRPr="00CE7096">
      <w:headerReference w:type="default" r:id="rId10"/>
      <w:footerReference w:type="even" r:id="rId11"/>
      <w:footerReference w:type="default" r:id="rId12"/>
      <w:footerReference w:type="firs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1DF77" w14:textId="77777777" w:rsidR="00D30BEE" w:rsidRDefault="00D30BEE">
      <w:r>
        <w:separator/>
      </w:r>
    </w:p>
  </w:endnote>
  <w:endnote w:type="continuationSeparator" w:id="0">
    <w:p w14:paraId="12623ABE" w14:textId="77777777" w:rsidR="00D30BEE" w:rsidRDefault="00D30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C1CE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FF128" w14:textId="567D6631" w:rsidR="00D176CF" w:rsidRDefault="002D6849">
    <w:pPr>
      <w:pStyle w:val="Footer"/>
      <w:tabs>
        <w:tab w:val="clear" w:pos="4320"/>
        <w:tab w:val="clear" w:pos="8640"/>
        <w:tab w:val="right" w:pos="9360"/>
      </w:tabs>
      <w:rPr>
        <w:rFonts w:ascii="Arial" w:hAnsi="Arial" w:cs="Arial"/>
        <w:sz w:val="18"/>
      </w:rPr>
    </w:pPr>
    <w:r>
      <w:rPr>
        <w:rFonts w:ascii="Arial" w:hAnsi="Arial" w:cs="Arial"/>
        <w:sz w:val="18"/>
        <w:szCs w:val="18"/>
      </w:rPr>
      <w:t>128</w:t>
    </w:r>
    <w:r w:rsidRPr="001F4B64">
      <w:rPr>
        <w:rFonts w:ascii="Arial" w:hAnsi="Arial" w:cs="Arial"/>
        <w:sz w:val="18"/>
        <w:szCs w:val="18"/>
      </w:rPr>
      <w:t>PGRR</w:t>
    </w:r>
    <w:r w:rsidR="001117D0">
      <w:rPr>
        <w:rFonts w:ascii="Arial" w:hAnsi="Arial" w:cs="Arial"/>
        <w:sz w:val="18"/>
        <w:szCs w:val="18"/>
      </w:rPr>
      <w:t>-</w:t>
    </w:r>
    <w:r w:rsidR="00243374">
      <w:rPr>
        <w:rFonts w:ascii="Arial" w:hAnsi="Arial" w:cs="Arial"/>
        <w:sz w:val="18"/>
        <w:szCs w:val="18"/>
      </w:rPr>
      <w:t>19</w:t>
    </w:r>
    <w:r w:rsidR="00C71336">
      <w:rPr>
        <w:rFonts w:ascii="Arial" w:hAnsi="Arial" w:cs="Arial"/>
        <w:sz w:val="18"/>
        <w:szCs w:val="18"/>
      </w:rPr>
      <w:t xml:space="preserve"> </w:t>
    </w:r>
    <w:r w:rsidR="00243374">
      <w:rPr>
        <w:rFonts w:ascii="Arial" w:hAnsi="Arial" w:cs="Arial"/>
        <w:sz w:val="18"/>
        <w:szCs w:val="18"/>
      </w:rPr>
      <w:t>Treaty Oak</w:t>
    </w:r>
    <w:r w:rsidR="00C71336">
      <w:rPr>
        <w:rFonts w:ascii="Arial" w:hAnsi="Arial" w:cs="Arial"/>
        <w:sz w:val="18"/>
        <w:szCs w:val="18"/>
      </w:rPr>
      <w:t xml:space="preserve"> Comments </w:t>
    </w:r>
    <w:r w:rsidR="00243374">
      <w:rPr>
        <w:rFonts w:ascii="Arial" w:hAnsi="Arial" w:cs="Arial"/>
        <w:sz w:val="18"/>
        <w:szCs w:val="18"/>
      </w:rPr>
      <w:t>0728</w:t>
    </w:r>
    <w:r w:rsidR="002B3399">
      <w:rPr>
        <w:rFonts w:ascii="Arial" w:hAnsi="Arial" w:cs="Arial"/>
        <w:sz w:val="18"/>
        <w:szCs w:val="18"/>
      </w:rPr>
      <w:t>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7717F2">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7717F2">
      <w:rPr>
        <w:rFonts w:ascii="Arial" w:hAnsi="Arial" w:cs="Arial"/>
        <w:noProof/>
        <w:sz w:val="18"/>
      </w:rPr>
      <w:t>2</w:t>
    </w:r>
    <w:r w:rsidR="00D176CF" w:rsidRPr="00412DCA">
      <w:rPr>
        <w:rFonts w:ascii="Arial" w:hAnsi="Arial" w:cs="Arial"/>
        <w:sz w:val="18"/>
      </w:rPr>
      <w:fldChar w:fldCharType="end"/>
    </w:r>
  </w:p>
  <w:p w14:paraId="44E39327"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BC266"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2E58A" w14:textId="77777777" w:rsidR="00D30BEE" w:rsidRDefault="00D30BEE">
      <w:r>
        <w:separator/>
      </w:r>
    </w:p>
  </w:footnote>
  <w:footnote w:type="continuationSeparator" w:id="0">
    <w:p w14:paraId="4F91D1C7" w14:textId="77777777" w:rsidR="00D30BEE" w:rsidRDefault="00D30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524BD" w14:textId="3D2CC00B" w:rsidR="00D176CF" w:rsidRDefault="00C71336" w:rsidP="00CD165D">
    <w:pPr>
      <w:pStyle w:val="Header"/>
      <w:jc w:val="center"/>
      <w:rPr>
        <w:sz w:val="32"/>
      </w:rPr>
    </w:pPr>
    <w:r>
      <w:rPr>
        <w:sz w:val="32"/>
      </w:rPr>
      <w:t>PGRR Comments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206407035">
    <w:abstractNumId w:val="0"/>
  </w:num>
  <w:num w:numId="2" w16cid:durableId="1168253600">
    <w:abstractNumId w:val="11"/>
  </w:num>
  <w:num w:numId="3" w16cid:durableId="1465851006">
    <w:abstractNumId w:val="12"/>
  </w:num>
  <w:num w:numId="4" w16cid:durableId="2101876533">
    <w:abstractNumId w:val="1"/>
  </w:num>
  <w:num w:numId="5" w16cid:durableId="90930211">
    <w:abstractNumId w:val="7"/>
  </w:num>
  <w:num w:numId="6" w16cid:durableId="147064057">
    <w:abstractNumId w:val="7"/>
  </w:num>
  <w:num w:numId="7" w16cid:durableId="1755010341">
    <w:abstractNumId w:val="7"/>
  </w:num>
  <w:num w:numId="8" w16cid:durableId="1467819988">
    <w:abstractNumId w:val="7"/>
  </w:num>
  <w:num w:numId="9" w16cid:durableId="2243846">
    <w:abstractNumId w:val="7"/>
  </w:num>
  <w:num w:numId="10" w16cid:durableId="1707677871">
    <w:abstractNumId w:val="7"/>
  </w:num>
  <w:num w:numId="11" w16cid:durableId="1251043373">
    <w:abstractNumId w:val="7"/>
  </w:num>
  <w:num w:numId="12" w16cid:durableId="2116292320">
    <w:abstractNumId w:val="7"/>
  </w:num>
  <w:num w:numId="13" w16cid:durableId="1336956191">
    <w:abstractNumId w:val="7"/>
  </w:num>
  <w:num w:numId="14" w16cid:durableId="2090686666">
    <w:abstractNumId w:val="3"/>
  </w:num>
  <w:num w:numId="15" w16cid:durableId="437800973">
    <w:abstractNumId w:val="6"/>
  </w:num>
  <w:num w:numId="16" w16cid:durableId="700282402">
    <w:abstractNumId w:val="9"/>
  </w:num>
  <w:num w:numId="17" w16cid:durableId="1309476948">
    <w:abstractNumId w:val="10"/>
  </w:num>
  <w:num w:numId="18" w16cid:durableId="550963706">
    <w:abstractNumId w:val="4"/>
  </w:num>
  <w:num w:numId="19" w16cid:durableId="1284192548">
    <w:abstractNumId w:val="8"/>
  </w:num>
  <w:num w:numId="20" w16cid:durableId="856843399">
    <w:abstractNumId w:val="2"/>
  </w:num>
  <w:num w:numId="21" w16cid:durableId="4601518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45AB1"/>
    <w:rsid w:val="00047283"/>
    <w:rsid w:val="00057D95"/>
    <w:rsid w:val="00060A5A"/>
    <w:rsid w:val="00064B44"/>
    <w:rsid w:val="00067FE2"/>
    <w:rsid w:val="00073A45"/>
    <w:rsid w:val="0007682E"/>
    <w:rsid w:val="00076901"/>
    <w:rsid w:val="00090332"/>
    <w:rsid w:val="00091E02"/>
    <w:rsid w:val="000D1AEB"/>
    <w:rsid w:val="000D3E64"/>
    <w:rsid w:val="000D6078"/>
    <w:rsid w:val="000F13C5"/>
    <w:rsid w:val="00105A36"/>
    <w:rsid w:val="001117D0"/>
    <w:rsid w:val="001157E9"/>
    <w:rsid w:val="00120D72"/>
    <w:rsid w:val="001229FA"/>
    <w:rsid w:val="001313B4"/>
    <w:rsid w:val="001339B3"/>
    <w:rsid w:val="001359DB"/>
    <w:rsid w:val="0014546D"/>
    <w:rsid w:val="00145AB8"/>
    <w:rsid w:val="001500D9"/>
    <w:rsid w:val="00156DB7"/>
    <w:rsid w:val="00157228"/>
    <w:rsid w:val="00160C3C"/>
    <w:rsid w:val="0017025A"/>
    <w:rsid w:val="00175EDB"/>
    <w:rsid w:val="00177461"/>
    <w:rsid w:val="0017783C"/>
    <w:rsid w:val="00183D2E"/>
    <w:rsid w:val="0019314C"/>
    <w:rsid w:val="001C1356"/>
    <w:rsid w:val="001D6A32"/>
    <w:rsid w:val="001E00B0"/>
    <w:rsid w:val="001E060B"/>
    <w:rsid w:val="001E0948"/>
    <w:rsid w:val="001F1080"/>
    <w:rsid w:val="001F38F0"/>
    <w:rsid w:val="001F4B64"/>
    <w:rsid w:val="00237430"/>
    <w:rsid w:val="00243374"/>
    <w:rsid w:val="002709E1"/>
    <w:rsid w:val="00276A99"/>
    <w:rsid w:val="00284157"/>
    <w:rsid w:val="002860D7"/>
    <w:rsid w:val="00286AD9"/>
    <w:rsid w:val="002966F3"/>
    <w:rsid w:val="002B3399"/>
    <w:rsid w:val="002B588F"/>
    <w:rsid w:val="002B69F3"/>
    <w:rsid w:val="002B763A"/>
    <w:rsid w:val="002C65E5"/>
    <w:rsid w:val="002D382A"/>
    <w:rsid w:val="002D5E13"/>
    <w:rsid w:val="002D6849"/>
    <w:rsid w:val="002F1EDD"/>
    <w:rsid w:val="003013F2"/>
    <w:rsid w:val="0030232A"/>
    <w:rsid w:val="003065AF"/>
    <w:rsid w:val="0030694A"/>
    <w:rsid w:val="003069F4"/>
    <w:rsid w:val="00326CA3"/>
    <w:rsid w:val="00342163"/>
    <w:rsid w:val="00360920"/>
    <w:rsid w:val="0036224F"/>
    <w:rsid w:val="00384709"/>
    <w:rsid w:val="00386C35"/>
    <w:rsid w:val="003A3D77"/>
    <w:rsid w:val="003B0306"/>
    <w:rsid w:val="003B5AED"/>
    <w:rsid w:val="003C181B"/>
    <w:rsid w:val="003C6B7B"/>
    <w:rsid w:val="003D5732"/>
    <w:rsid w:val="003D5FB1"/>
    <w:rsid w:val="003F17CC"/>
    <w:rsid w:val="00412D97"/>
    <w:rsid w:val="00413527"/>
    <w:rsid w:val="004135BD"/>
    <w:rsid w:val="00417DB5"/>
    <w:rsid w:val="0042244B"/>
    <w:rsid w:val="004302A4"/>
    <w:rsid w:val="004463BA"/>
    <w:rsid w:val="00473326"/>
    <w:rsid w:val="004822D4"/>
    <w:rsid w:val="004842F6"/>
    <w:rsid w:val="0049290B"/>
    <w:rsid w:val="004A3D9C"/>
    <w:rsid w:val="004A4451"/>
    <w:rsid w:val="004B67A4"/>
    <w:rsid w:val="004D3958"/>
    <w:rsid w:val="005008DF"/>
    <w:rsid w:val="005045D0"/>
    <w:rsid w:val="00534C6C"/>
    <w:rsid w:val="005841C0"/>
    <w:rsid w:val="0059260F"/>
    <w:rsid w:val="00592CA3"/>
    <w:rsid w:val="005B16AF"/>
    <w:rsid w:val="005E1113"/>
    <w:rsid w:val="005E5074"/>
    <w:rsid w:val="00611361"/>
    <w:rsid w:val="00612E4F"/>
    <w:rsid w:val="00615D5E"/>
    <w:rsid w:val="00622E99"/>
    <w:rsid w:val="00625E5D"/>
    <w:rsid w:val="00661C34"/>
    <w:rsid w:val="0066370F"/>
    <w:rsid w:val="006A0784"/>
    <w:rsid w:val="006A697B"/>
    <w:rsid w:val="006B121B"/>
    <w:rsid w:val="006B4DDE"/>
    <w:rsid w:val="006C798F"/>
    <w:rsid w:val="006D5019"/>
    <w:rsid w:val="00723753"/>
    <w:rsid w:val="00737649"/>
    <w:rsid w:val="0074239E"/>
    <w:rsid w:val="00743968"/>
    <w:rsid w:val="007506B4"/>
    <w:rsid w:val="007717F2"/>
    <w:rsid w:val="007735BE"/>
    <w:rsid w:val="00785415"/>
    <w:rsid w:val="00787B97"/>
    <w:rsid w:val="00791CB9"/>
    <w:rsid w:val="00793130"/>
    <w:rsid w:val="007943DB"/>
    <w:rsid w:val="007A0DF3"/>
    <w:rsid w:val="007A7408"/>
    <w:rsid w:val="007B3233"/>
    <w:rsid w:val="007B5A42"/>
    <w:rsid w:val="007C199B"/>
    <w:rsid w:val="007D3073"/>
    <w:rsid w:val="007D64B9"/>
    <w:rsid w:val="007D72D4"/>
    <w:rsid w:val="007D7E44"/>
    <w:rsid w:val="007E0452"/>
    <w:rsid w:val="007F3E85"/>
    <w:rsid w:val="00803D48"/>
    <w:rsid w:val="008070C0"/>
    <w:rsid w:val="00811C12"/>
    <w:rsid w:val="00845373"/>
    <w:rsid w:val="00845778"/>
    <w:rsid w:val="00873A4D"/>
    <w:rsid w:val="00884CEF"/>
    <w:rsid w:val="00887E28"/>
    <w:rsid w:val="008A45AE"/>
    <w:rsid w:val="008D5C3A"/>
    <w:rsid w:val="008E6DA2"/>
    <w:rsid w:val="00907B1E"/>
    <w:rsid w:val="00943AFD"/>
    <w:rsid w:val="00963A51"/>
    <w:rsid w:val="00983B6E"/>
    <w:rsid w:val="009936F8"/>
    <w:rsid w:val="009A3772"/>
    <w:rsid w:val="009B131C"/>
    <w:rsid w:val="009D17F0"/>
    <w:rsid w:val="00A412D9"/>
    <w:rsid w:val="00A41A69"/>
    <w:rsid w:val="00A42796"/>
    <w:rsid w:val="00A5311D"/>
    <w:rsid w:val="00A96385"/>
    <w:rsid w:val="00AD3B58"/>
    <w:rsid w:val="00AF56C6"/>
    <w:rsid w:val="00B032E8"/>
    <w:rsid w:val="00B57F96"/>
    <w:rsid w:val="00B67892"/>
    <w:rsid w:val="00B772B1"/>
    <w:rsid w:val="00BA4D33"/>
    <w:rsid w:val="00BA5648"/>
    <w:rsid w:val="00BC2D06"/>
    <w:rsid w:val="00BC7E47"/>
    <w:rsid w:val="00C41027"/>
    <w:rsid w:val="00C67ED1"/>
    <w:rsid w:val="00C71336"/>
    <w:rsid w:val="00C723AF"/>
    <w:rsid w:val="00C744EB"/>
    <w:rsid w:val="00C76A2C"/>
    <w:rsid w:val="00C90702"/>
    <w:rsid w:val="00C917FF"/>
    <w:rsid w:val="00C9766A"/>
    <w:rsid w:val="00CA2439"/>
    <w:rsid w:val="00CA699C"/>
    <w:rsid w:val="00CC4F39"/>
    <w:rsid w:val="00CD165D"/>
    <w:rsid w:val="00CD34B0"/>
    <w:rsid w:val="00CD544C"/>
    <w:rsid w:val="00CD69F1"/>
    <w:rsid w:val="00CE7096"/>
    <w:rsid w:val="00CF4256"/>
    <w:rsid w:val="00D04FE8"/>
    <w:rsid w:val="00D176CF"/>
    <w:rsid w:val="00D27171"/>
    <w:rsid w:val="00D271E3"/>
    <w:rsid w:val="00D30BEE"/>
    <w:rsid w:val="00D30F69"/>
    <w:rsid w:val="00D449BD"/>
    <w:rsid w:val="00D45E00"/>
    <w:rsid w:val="00D47A80"/>
    <w:rsid w:val="00D61F38"/>
    <w:rsid w:val="00D85807"/>
    <w:rsid w:val="00D87349"/>
    <w:rsid w:val="00D91EE9"/>
    <w:rsid w:val="00D97220"/>
    <w:rsid w:val="00DE09C8"/>
    <w:rsid w:val="00DE6A18"/>
    <w:rsid w:val="00E14D47"/>
    <w:rsid w:val="00E1641C"/>
    <w:rsid w:val="00E26708"/>
    <w:rsid w:val="00E34958"/>
    <w:rsid w:val="00E37AB0"/>
    <w:rsid w:val="00E6244A"/>
    <w:rsid w:val="00E642EF"/>
    <w:rsid w:val="00E71C39"/>
    <w:rsid w:val="00E81EDE"/>
    <w:rsid w:val="00EA56E6"/>
    <w:rsid w:val="00EC335F"/>
    <w:rsid w:val="00EC48FB"/>
    <w:rsid w:val="00EF232A"/>
    <w:rsid w:val="00F05A69"/>
    <w:rsid w:val="00F142BA"/>
    <w:rsid w:val="00F43FFD"/>
    <w:rsid w:val="00F44236"/>
    <w:rsid w:val="00F46CE3"/>
    <w:rsid w:val="00F52517"/>
    <w:rsid w:val="00F56366"/>
    <w:rsid w:val="00F65EC8"/>
    <w:rsid w:val="00F7289C"/>
    <w:rsid w:val="00F80941"/>
    <w:rsid w:val="00FA13EB"/>
    <w:rsid w:val="00FA57B2"/>
    <w:rsid w:val="00FB509B"/>
    <w:rsid w:val="00FC0649"/>
    <w:rsid w:val="00FC3D4B"/>
    <w:rsid w:val="00FC6312"/>
    <w:rsid w:val="00FD36E2"/>
    <w:rsid w:val="00FE36E3"/>
    <w:rsid w:val="00FE6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59AC99"/>
  <w15:chartTrackingRefBased/>
  <w15:docId w15:val="{08792352-4614-4F26-83E8-19194D9D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6B121B"/>
    <w:rPr>
      <w:color w:val="605E5C"/>
      <w:shd w:val="clear" w:color="auto" w:fill="E1DFDD"/>
    </w:rPr>
  </w:style>
  <w:style w:type="character" w:customStyle="1" w:styleId="HeaderChar">
    <w:name w:val="Header Char"/>
    <w:link w:val="Header"/>
    <w:rsid w:val="001117D0"/>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PGRR128"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uj.Dixit@TreatyOakCleanEnergy.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69B4A-1A4E-4826-9FFD-E64FB156E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2434</Words>
  <Characters>14878</Characters>
  <Application>Microsoft Office Word</Application>
  <DocSecurity>0</DocSecurity>
  <Lines>280</Lines>
  <Paragraphs>91</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17221</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cp:lastModifiedBy>
  <cp:revision>4</cp:revision>
  <cp:lastPrinted>2013-11-15T22:11:00Z</cp:lastPrinted>
  <dcterms:created xsi:type="dcterms:W3CDTF">2026-07-28T20:27:00Z</dcterms:created>
  <dcterms:modified xsi:type="dcterms:W3CDTF">2026-07-28T21:17:00Z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2023-12-27T17:27:57Z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e9e24716-fa7d-469d-a341-e7747804bdba</vt:lpwstr>
  </property>
  <property fmtid="{D5CDD505-2E9C-101B-9397-08002B2CF9AE}" pid="8" name="MSIP_Label_7084cbda-52b8-46fb-a7b7-cb5bd465ed85_ContentBits">
    <vt:lpwstr>0</vt:lpwstr>
  </property>
</Properties>
</file>