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F3CA" w14:textId="77777777" w:rsidR="008F6EA7" w:rsidRDefault="008F6EA7" w:rsidP="00C71A2C">
      <w:pPr>
        <w:pStyle w:val="BodyText"/>
        <w:ind w:left="0"/>
        <w:rPr>
          <w:sz w:val="18"/>
          <w:szCs w:val="18"/>
        </w:rPr>
      </w:pPr>
    </w:p>
    <w:p w14:paraId="5C6776A1" w14:textId="77777777" w:rsidR="008F6EA7" w:rsidRDefault="008F6EA7" w:rsidP="00C71A2C">
      <w:pPr>
        <w:pStyle w:val="BodyText"/>
        <w:ind w:left="0"/>
        <w:rPr>
          <w:sz w:val="18"/>
          <w:szCs w:val="18"/>
        </w:rPr>
      </w:pPr>
    </w:p>
    <w:p w14:paraId="083EEE0F" w14:textId="77777777" w:rsidR="008F6EA7" w:rsidRDefault="008F6EA7" w:rsidP="00C71A2C">
      <w:pPr>
        <w:pStyle w:val="BodyText"/>
        <w:ind w:left="0"/>
        <w:rPr>
          <w:sz w:val="18"/>
          <w:szCs w:val="18"/>
        </w:rPr>
      </w:pPr>
    </w:p>
    <w:p w14:paraId="6D9FFAA1" w14:textId="5991F3FA" w:rsidR="00B156A0" w:rsidRPr="00B702F3" w:rsidRDefault="00B156A0" w:rsidP="00B702F3">
      <w:pPr>
        <w:pStyle w:val="Header"/>
        <w:rPr>
          <w:color w:val="FF0000"/>
        </w:rPr>
      </w:pPr>
    </w:p>
    <w:tbl>
      <w:tblPr>
        <w:tblW w:w="10914"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8394"/>
      </w:tblGrid>
      <w:tr w:rsidR="004C73B6" w:rsidRPr="00224D6D" w14:paraId="183C935E" w14:textId="77777777" w:rsidTr="00C6239B">
        <w:trPr>
          <w:trHeight w:hRule="exact" w:val="917"/>
        </w:trPr>
        <w:tc>
          <w:tcPr>
            <w:tcW w:w="10914" w:type="dxa"/>
            <w:gridSpan w:val="2"/>
            <w:vAlign w:val="center"/>
          </w:tcPr>
          <w:p w14:paraId="424ED7C3" w14:textId="77777777" w:rsidR="00224D6D" w:rsidRPr="00224D6D" w:rsidRDefault="004C73B6" w:rsidP="00B702F3">
            <w:pPr>
              <w:pStyle w:val="TableParagraph"/>
              <w:spacing w:before="6"/>
              <w:ind w:left="0"/>
              <w:jc w:val="center"/>
              <w:rPr>
                <w:b/>
                <w:sz w:val="24"/>
                <w:szCs w:val="24"/>
              </w:rPr>
            </w:pPr>
            <w:r w:rsidRPr="00224D6D">
              <w:rPr>
                <w:b/>
                <w:sz w:val="24"/>
                <w:szCs w:val="24"/>
              </w:rPr>
              <w:t xml:space="preserve">ERS Reinstatement Schedule for Resources seeking Reinstatement into the </w:t>
            </w:r>
          </w:p>
          <w:p w14:paraId="4E2C6572" w14:textId="591C84DE" w:rsidR="004C73B6" w:rsidRPr="00224D6D" w:rsidRDefault="00A6382A" w:rsidP="00B702F3">
            <w:pPr>
              <w:pStyle w:val="TableParagraph"/>
              <w:spacing w:before="6"/>
              <w:ind w:left="0"/>
              <w:jc w:val="center"/>
              <w:rPr>
                <w:b/>
                <w:sz w:val="24"/>
                <w:szCs w:val="24"/>
              </w:rPr>
            </w:pPr>
            <w:r>
              <w:rPr>
                <w:b/>
                <w:sz w:val="24"/>
                <w:szCs w:val="24"/>
              </w:rPr>
              <w:t>Dec</w:t>
            </w:r>
            <w:r w:rsidR="004C73B6" w:rsidRPr="00224D6D">
              <w:rPr>
                <w:b/>
                <w:sz w:val="24"/>
                <w:szCs w:val="24"/>
              </w:rPr>
              <w:t>2</w:t>
            </w:r>
            <w:r w:rsidR="006C5CAE">
              <w:rPr>
                <w:b/>
                <w:sz w:val="24"/>
                <w:szCs w:val="24"/>
              </w:rPr>
              <w:t>6</w:t>
            </w:r>
            <w:r>
              <w:rPr>
                <w:b/>
                <w:sz w:val="24"/>
                <w:szCs w:val="24"/>
              </w:rPr>
              <w:t>Mar2</w:t>
            </w:r>
            <w:r w:rsidR="006C5CAE">
              <w:rPr>
                <w:b/>
                <w:sz w:val="24"/>
                <w:szCs w:val="24"/>
              </w:rPr>
              <w:t>7</w:t>
            </w:r>
            <w:r w:rsidR="004C73B6" w:rsidRPr="00224D6D">
              <w:rPr>
                <w:b/>
                <w:sz w:val="24"/>
                <w:szCs w:val="24"/>
              </w:rPr>
              <w:t xml:space="preserve"> Standard Contract Term</w:t>
            </w:r>
          </w:p>
        </w:tc>
      </w:tr>
      <w:tr w:rsidR="004C73B6" w:rsidRPr="00224D6D" w14:paraId="16DC41FF" w14:textId="77777777" w:rsidTr="00AF3C19">
        <w:trPr>
          <w:trHeight w:hRule="exact" w:val="539"/>
        </w:trPr>
        <w:tc>
          <w:tcPr>
            <w:tcW w:w="2520" w:type="dxa"/>
            <w:tcBorders>
              <w:bottom w:val="single" w:sz="4" w:space="0" w:color="000000"/>
            </w:tcBorders>
            <w:vAlign w:val="center"/>
          </w:tcPr>
          <w:p w14:paraId="66EE4587" w14:textId="77777777" w:rsidR="004C73B6" w:rsidRPr="00224D6D" w:rsidRDefault="004C73B6" w:rsidP="00AF3C19">
            <w:pPr>
              <w:pStyle w:val="TableParagraph"/>
              <w:spacing w:before="0" w:line="268" w:lineRule="exact"/>
              <w:ind w:left="182" w:right="1574"/>
              <w:jc w:val="center"/>
              <w:rPr>
                <w:b/>
                <w:sz w:val="24"/>
                <w:szCs w:val="24"/>
              </w:rPr>
            </w:pPr>
            <w:r w:rsidRPr="00224D6D">
              <w:rPr>
                <w:b/>
                <w:sz w:val="24"/>
                <w:szCs w:val="24"/>
              </w:rPr>
              <w:t>Date</w:t>
            </w:r>
          </w:p>
        </w:tc>
        <w:tc>
          <w:tcPr>
            <w:tcW w:w="8394" w:type="dxa"/>
            <w:vAlign w:val="center"/>
          </w:tcPr>
          <w:p w14:paraId="5DEE37B7" w14:textId="25BD334C" w:rsidR="004C73B6" w:rsidRPr="00224D6D" w:rsidRDefault="00D42F1E" w:rsidP="00D42F1E">
            <w:pPr>
              <w:pStyle w:val="TableParagraph"/>
              <w:spacing w:before="0" w:line="268" w:lineRule="exact"/>
              <w:ind w:right="3313"/>
              <w:jc w:val="center"/>
              <w:rPr>
                <w:b/>
                <w:sz w:val="24"/>
                <w:szCs w:val="24"/>
              </w:rPr>
            </w:pPr>
            <w:r>
              <w:rPr>
                <w:b/>
                <w:sz w:val="24"/>
                <w:szCs w:val="24"/>
              </w:rPr>
              <w:t xml:space="preserve">                                         </w:t>
            </w:r>
            <w:r w:rsidR="004C73B6" w:rsidRPr="00224D6D">
              <w:rPr>
                <w:b/>
                <w:sz w:val="24"/>
                <w:szCs w:val="24"/>
              </w:rPr>
              <w:t>Action</w:t>
            </w:r>
          </w:p>
        </w:tc>
      </w:tr>
      <w:tr w:rsidR="00112868" w:rsidRPr="00224D6D" w14:paraId="47BAF8B0" w14:textId="77777777" w:rsidTr="00AF3C19">
        <w:trPr>
          <w:trHeight w:hRule="exact" w:val="559"/>
        </w:trPr>
        <w:tc>
          <w:tcPr>
            <w:tcW w:w="2520" w:type="dxa"/>
            <w:tcBorders>
              <w:bottom w:val="single" w:sz="4" w:space="0" w:color="auto"/>
            </w:tcBorders>
            <w:vAlign w:val="center"/>
          </w:tcPr>
          <w:p w14:paraId="64C1EAB5" w14:textId="60DEFB98" w:rsidR="00112868" w:rsidRPr="00224D6D" w:rsidRDefault="000708EC" w:rsidP="00AF3C19">
            <w:pPr>
              <w:pStyle w:val="TableParagraph"/>
              <w:rPr>
                <w:bCs/>
                <w:sz w:val="24"/>
                <w:szCs w:val="24"/>
              </w:rPr>
            </w:pPr>
            <w:r>
              <w:rPr>
                <w:bCs/>
                <w:sz w:val="24"/>
                <w:szCs w:val="24"/>
              </w:rPr>
              <w:t>October 1-</w:t>
            </w:r>
            <w:r w:rsidR="006C5CAE">
              <w:rPr>
                <w:bCs/>
                <w:sz w:val="24"/>
                <w:szCs w:val="24"/>
              </w:rPr>
              <w:t>5</w:t>
            </w:r>
            <w:r w:rsidR="00112868" w:rsidRPr="00224D6D">
              <w:rPr>
                <w:bCs/>
                <w:sz w:val="24"/>
                <w:szCs w:val="24"/>
              </w:rPr>
              <w:t>, 202</w:t>
            </w:r>
            <w:r w:rsidR="006C5CAE">
              <w:rPr>
                <w:bCs/>
                <w:sz w:val="24"/>
                <w:szCs w:val="24"/>
              </w:rPr>
              <w:t>6</w:t>
            </w:r>
          </w:p>
        </w:tc>
        <w:tc>
          <w:tcPr>
            <w:tcW w:w="8394" w:type="dxa"/>
            <w:vAlign w:val="center"/>
          </w:tcPr>
          <w:p w14:paraId="7E5616F0" w14:textId="25A842D7" w:rsidR="00112868" w:rsidRPr="00224D6D" w:rsidRDefault="00112868" w:rsidP="00B156A0">
            <w:pPr>
              <w:pStyle w:val="TableParagraph"/>
              <w:rPr>
                <w:bCs/>
                <w:sz w:val="24"/>
                <w:szCs w:val="24"/>
              </w:rPr>
            </w:pPr>
            <w:r w:rsidRPr="00224D6D">
              <w:rPr>
                <w:bCs/>
                <w:sz w:val="24"/>
                <w:szCs w:val="24"/>
              </w:rPr>
              <w:t>Reinstatement ERIDs submitted for Resources seeking reinstatement</w:t>
            </w:r>
          </w:p>
        </w:tc>
      </w:tr>
      <w:tr w:rsidR="000708EC" w:rsidRPr="00224D6D" w14:paraId="4E28F585" w14:textId="77777777" w:rsidTr="00AF3C19">
        <w:trPr>
          <w:trHeight w:hRule="exact" w:val="2231"/>
        </w:trPr>
        <w:tc>
          <w:tcPr>
            <w:tcW w:w="2520" w:type="dxa"/>
            <w:tcBorders>
              <w:top w:val="single" w:sz="4" w:space="0" w:color="auto"/>
              <w:left w:val="single" w:sz="4" w:space="0" w:color="auto"/>
              <w:bottom w:val="single" w:sz="4" w:space="0" w:color="auto"/>
              <w:right w:val="single" w:sz="4" w:space="0" w:color="auto"/>
            </w:tcBorders>
            <w:vAlign w:val="center"/>
          </w:tcPr>
          <w:p w14:paraId="2C831F73" w14:textId="37E077BD" w:rsidR="000708EC" w:rsidRPr="00FE2AFD" w:rsidRDefault="000708EC" w:rsidP="006C5CAE">
            <w:pPr>
              <w:pStyle w:val="TableParagraph"/>
              <w:rPr>
                <w:bCs/>
              </w:rPr>
            </w:pPr>
            <w:r w:rsidRPr="006C5CAE">
              <w:rPr>
                <w:bCs/>
                <w:sz w:val="24"/>
                <w:szCs w:val="24"/>
              </w:rPr>
              <w:t xml:space="preserve">October </w:t>
            </w:r>
            <w:r w:rsidR="00AF3C19" w:rsidRPr="006C5CAE">
              <w:rPr>
                <w:bCs/>
                <w:sz w:val="24"/>
                <w:szCs w:val="24"/>
              </w:rPr>
              <w:t>6</w:t>
            </w:r>
            <w:r w:rsidRPr="006C5CAE">
              <w:rPr>
                <w:bCs/>
                <w:sz w:val="24"/>
                <w:szCs w:val="24"/>
              </w:rPr>
              <w:t>, 202</w:t>
            </w:r>
            <w:r w:rsidR="006C5CAE" w:rsidRPr="006C5CAE">
              <w:rPr>
                <w:bCs/>
                <w:sz w:val="24"/>
                <w:szCs w:val="24"/>
              </w:rPr>
              <w:t>6</w:t>
            </w:r>
          </w:p>
        </w:tc>
        <w:tc>
          <w:tcPr>
            <w:tcW w:w="8394" w:type="dxa"/>
            <w:tcBorders>
              <w:left w:val="single" w:sz="4" w:space="0" w:color="auto"/>
            </w:tcBorders>
            <w:vAlign w:val="center"/>
          </w:tcPr>
          <w:p w14:paraId="73C37281" w14:textId="13B9080E" w:rsidR="000708EC" w:rsidRPr="00224D6D" w:rsidRDefault="000708EC" w:rsidP="00EE7FFE">
            <w:pPr>
              <w:pStyle w:val="TableParagraph"/>
              <w:spacing w:before="0"/>
              <w:ind w:right="221"/>
              <w:rPr>
                <w:bCs/>
                <w:sz w:val="24"/>
                <w:szCs w:val="24"/>
              </w:rPr>
            </w:pPr>
            <w:r w:rsidRPr="00224D6D">
              <w:rPr>
                <w:b/>
                <w:sz w:val="24"/>
                <w:szCs w:val="24"/>
              </w:rPr>
              <w:t>Reinstatement Offers</w:t>
            </w:r>
            <w:r w:rsidRPr="00224D6D">
              <w:rPr>
                <w:bCs/>
                <w:sz w:val="24"/>
                <w:szCs w:val="24"/>
              </w:rPr>
              <w:t xml:space="preserve"> submitted indicating a MW capacity offer, Maximum Base Load (MBL), and baseline selection (if a choice is available), but not price.</w:t>
            </w:r>
          </w:p>
          <w:p w14:paraId="022244C6" w14:textId="77777777" w:rsidR="000708EC" w:rsidRPr="00224D6D" w:rsidRDefault="000708EC" w:rsidP="00EE7FFE">
            <w:pPr>
              <w:pStyle w:val="TableParagraph"/>
              <w:spacing w:before="0"/>
              <w:ind w:right="221"/>
              <w:rPr>
                <w:bCs/>
                <w:sz w:val="24"/>
                <w:szCs w:val="24"/>
              </w:rPr>
            </w:pPr>
          </w:p>
          <w:p w14:paraId="3D5A5984" w14:textId="56D75882" w:rsidR="000708EC" w:rsidRPr="00224D6D" w:rsidRDefault="006C5CAE" w:rsidP="00EE7FFE">
            <w:pPr>
              <w:pStyle w:val="TableParagraph"/>
              <w:spacing w:before="0"/>
              <w:ind w:right="221"/>
              <w:rPr>
                <w:bCs/>
                <w:sz w:val="24"/>
                <w:szCs w:val="24"/>
              </w:rPr>
            </w:pPr>
            <w:r w:rsidRPr="00224D6D">
              <w:rPr>
                <w:bCs/>
                <w:sz w:val="24"/>
                <w:szCs w:val="24"/>
              </w:rPr>
              <w:t>Resources are</w:t>
            </w:r>
            <w:r w:rsidR="000708EC" w:rsidRPr="00224D6D">
              <w:rPr>
                <w:bCs/>
                <w:sz w:val="24"/>
                <w:szCs w:val="24"/>
              </w:rPr>
              <w:t xml:space="preserve"> subject to a full load-shed test as soon as the Reinstatement Offer is submitted; test procedures will be the same as an annual test.</w:t>
            </w:r>
          </w:p>
        </w:tc>
      </w:tr>
      <w:tr w:rsidR="008C3AF5" w:rsidRPr="00224D6D" w14:paraId="6D93236D" w14:textId="77777777" w:rsidTr="00C6239B">
        <w:trPr>
          <w:trHeight w:val="786"/>
        </w:trPr>
        <w:tc>
          <w:tcPr>
            <w:tcW w:w="10914" w:type="dxa"/>
            <w:gridSpan w:val="2"/>
            <w:vAlign w:val="center"/>
          </w:tcPr>
          <w:p w14:paraId="053F6F07" w14:textId="256E17E2" w:rsidR="008C3AF5" w:rsidRPr="00112868" w:rsidRDefault="008C3AF5" w:rsidP="008C3AF5">
            <w:pPr>
              <w:pStyle w:val="TableParagraph"/>
              <w:jc w:val="center"/>
              <w:rPr>
                <w:b/>
                <w:sz w:val="24"/>
                <w:szCs w:val="24"/>
              </w:rPr>
            </w:pPr>
            <w:r w:rsidRPr="00112868">
              <w:rPr>
                <w:b/>
                <w:sz w:val="24"/>
                <w:szCs w:val="24"/>
              </w:rPr>
              <w:t xml:space="preserve">Reinstatement Process merges with the </w:t>
            </w:r>
            <w:r w:rsidR="00A6382A">
              <w:rPr>
                <w:b/>
                <w:sz w:val="24"/>
                <w:szCs w:val="24"/>
              </w:rPr>
              <w:t>Dec</w:t>
            </w:r>
            <w:r w:rsidR="00A6382A" w:rsidRPr="00224D6D">
              <w:rPr>
                <w:b/>
                <w:sz w:val="24"/>
                <w:szCs w:val="24"/>
              </w:rPr>
              <w:t>2</w:t>
            </w:r>
            <w:r w:rsidR="006C5CAE">
              <w:rPr>
                <w:b/>
                <w:sz w:val="24"/>
                <w:szCs w:val="24"/>
              </w:rPr>
              <w:t>6</w:t>
            </w:r>
            <w:r w:rsidR="00A6382A">
              <w:rPr>
                <w:b/>
                <w:sz w:val="24"/>
                <w:szCs w:val="24"/>
              </w:rPr>
              <w:t>Mar2</w:t>
            </w:r>
            <w:r w:rsidR="006C5CAE">
              <w:rPr>
                <w:b/>
                <w:sz w:val="24"/>
                <w:szCs w:val="24"/>
              </w:rPr>
              <w:t>7</w:t>
            </w:r>
            <w:r w:rsidRPr="00112868">
              <w:rPr>
                <w:b/>
                <w:sz w:val="24"/>
                <w:szCs w:val="24"/>
              </w:rPr>
              <w:t xml:space="preserve"> Procurement Schedule</w:t>
            </w:r>
          </w:p>
        </w:tc>
      </w:tr>
      <w:tr w:rsidR="00AF3C19" w:rsidRPr="00224D6D" w14:paraId="04303181" w14:textId="77777777" w:rsidTr="00AF3C19">
        <w:trPr>
          <w:trHeight w:val="835"/>
        </w:trPr>
        <w:tc>
          <w:tcPr>
            <w:tcW w:w="2520" w:type="dxa"/>
            <w:vAlign w:val="center"/>
          </w:tcPr>
          <w:p w14:paraId="799BC909" w14:textId="737C44C7" w:rsidR="00AF3C19" w:rsidRPr="00224D6D" w:rsidRDefault="00AF3C19" w:rsidP="00FE2AFD">
            <w:pPr>
              <w:pStyle w:val="TableParagraph"/>
              <w:rPr>
                <w:bCs/>
                <w:sz w:val="24"/>
                <w:szCs w:val="24"/>
              </w:rPr>
            </w:pPr>
            <w:r>
              <w:rPr>
                <w:bCs/>
                <w:sz w:val="24"/>
                <w:szCs w:val="24"/>
              </w:rPr>
              <w:t>October 3</w:t>
            </w:r>
            <w:r w:rsidR="006C5CAE">
              <w:rPr>
                <w:bCs/>
                <w:sz w:val="24"/>
                <w:szCs w:val="24"/>
              </w:rPr>
              <w:t>0</w:t>
            </w:r>
            <w:r w:rsidRPr="00224D6D">
              <w:rPr>
                <w:bCs/>
                <w:sz w:val="24"/>
                <w:szCs w:val="24"/>
              </w:rPr>
              <w:t>, 202</w:t>
            </w:r>
            <w:r w:rsidR="006C5CAE">
              <w:rPr>
                <w:bCs/>
                <w:sz w:val="24"/>
                <w:szCs w:val="24"/>
              </w:rPr>
              <w:t>6</w:t>
            </w:r>
          </w:p>
        </w:tc>
        <w:tc>
          <w:tcPr>
            <w:tcW w:w="8394" w:type="dxa"/>
            <w:vAlign w:val="center"/>
          </w:tcPr>
          <w:p w14:paraId="687C50AF" w14:textId="0A38559D" w:rsidR="00AF3C19" w:rsidRPr="00224D6D" w:rsidRDefault="00AF3C19" w:rsidP="008C3AF5">
            <w:pPr>
              <w:pStyle w:val="TableParagraph"/>
              <w:ind w:right="77"/>
              <w:rPr>
                <w:bCs/>
                <w:sz w:val="24"/>
                <w:szCs w:val="24"/>
              </w:rPr>
            </w:pPr>
            <w:r w:rsidRPr="008C3AF5">
              <w:rPr>
                <w:b/>
                <w:sz w:val="24"/>
                <w:szCs w:val="24"/>
              </w:rPr>
              <w:t>Last day to submit ERIDs</w:t>
            </w:r>
            <w:r w:rsidRPr="00224D6D">
              <w:rPr>
                <w:bCs/>
                <w:sz w:val="24"/>
                <w:szCs w:val="24"/>
              </w:rPr>
              <w:t xml:space="preserve">.  If reinstatement test results are not available, QSE should not submit an ERID. </w:t>
            </w:r>
          </w:p>
        </w:tc>
      </w:tr>
      <w:tr w:rsidR="00AF3C19" w:rsidRPr="00224D6D" w14:paraId="1E3BA669" w14:textId="77777777" w:rsidTr="00AF3C19">
        <w:trPr>
          <w:trHeight w:val="524"/>
        </w:trPr>
        <w:tc>
          <w:tcPr>
            <w:tcW w:w="2520" w:type="dxa"/>
            <w:vAlign w:val="center"/>
          </w:tcPr>
          <w:p w14:paraId="6CDA43BA" w14:textId="775B3906" w:rsidR="00AF3C19" w:rsidRPr="00224D6D" w:rsidRDefault="00AF3C19" w:rsidP="00FE2AFD">
            <w:pPr>
              <w:pStyle w:val="TableParagraph"/>
              <w:rPr>
                <w:bCs/>
                <w:sz w:val="24"/>
                <w:szCs w:val="24"/>
              </w:rPr>
            </w:pPr>
            <w:r>
              <w:rPr>
                <w:sz w:val="24"/>
                <w:szCs w:val="24"/>
              </w:rPr>
              <w:t xml:space="preserve">November </w:t>
            </w:r>
            <w:r w:rsidR="006C5CAE">
              <w:rPr>
                <w:sz w:val="24"/>
                <w:szCs w:val="24"/>
              </w:rPr>
              <w:t>5</w:t>
            </w:r>
            <w:r w:rsidRPr="00224D6D">
              <w:rPr>
                <w:sz w:val="24"/>
                <w:szCs w:val="24"/>
              </w:rPr>
              <w:t>, 202</w:t>
            </w:r>
            <w:r w:rsidR="006C5CAE">
              <w:rPr>
                <w:sz w:val="24"/>
                <w:szCs w:val="24"/>
              </w:rPr>
              <w:t>6</w:t>
            </w:r>
          </w:p>
        </w:tc>
        <w:tc>
          <w:tcPr>
            <w:tcW w:w="8394" w:type="dxa"/>
            <w:vAlign w:val="center"/>
          </w:tcPr>
          <w:p w14:paraId="0C651DFA" w14:textId="045DDD04" w:rsidR="00AF3C19" w:rsidRPr="00224D6D" w:rsidRDefault="00AF3C19" w:rsidP="00EE7FFE">
            <w:pPr>
              <w:pStyle w:val="TableParagraph"/>
              <w:rPr>
                <w:bCs/>
                <w:sz w:val="24"/>
                <w:szCs w:val="24"/>
              </w:rPr>
            </w:pPr>
            <w:r w:rsidRPr="00224D6D">
              <w:rPr>
                <w:sz w:val="24"/>
                <w:szCs w:val="24"/>
              </w:rPr>
              <w:t>Deadline for resolving ERID errors (for ERIDS received prior to deadline)</w:t>
            </w:r>
          </w:p>
        </w:tc>
      </w:tr>
      <w:tr w:rsidR="00AF3C19" w:rsidRPr="00224D6D" w14:paraId="13D3E0DC" w14:textId="77777777" w:rsidTr="00AF3C19">
        <w:trPr>
          <w:trHeight w:val="1913"/>
        </w:trPr>
        <w:tc>
          <w:tcPr>
            <w:tcW w:w="2520" w:type="dxa"/>
            <w:vAlign w:val="center"/>
          </w:tcPr>
          <w:p w14:paraId="6ECFE8FB" w14:textId="15F27C76" w:rsidR="00AF3C19" w:rsidRPr="00224D6D" w:rsidRDefault="00AF3C19" w:rsidP="00FE2AFD">
            <w:pPr>
              <w:pStyle w:val="TableParagraph"/>
              <w:rPr>
                <w:bCs/>
                <w:sz w:val="24"/>
                <w:szCs w:val="24"/>
              </w:rPr>
            </w:pPr>
            <w:r>
              <w:rPr>
                <w:bCs/>
                <w:sz w:val="24"/>
                <w:szCs w:val="24"/>
              </w:rPr>
              <w:t xml:space="preserve">November </w:t>
            </w:r>
            <w:r w:rsidR="006C5CAE">
              <w:rPr>
                <w:bCs/>
                <w:sz w:val="24"/>
                <w:szCs w:val="24"/>
              </w:rPr>
              <w:t>9</w:t>
            </w:r>
            <w:r w:rsidRPr="00224D6D">
              <w:rPr>
                <w:bCs/>
                <w:sz w:val="24"/>
                <w:szCs w:val="24"/>
              </w:rPr>
              <w:t>, 202</w:t>
            </w:r>
            <w:r w:rsidR="006C5CAE">
              <w:rPr>
                <w:bCs/>
                <w:sz w:val="24"/>
                <w:szCs w:val="24"/>
              </w:rPr>
              <w:t>6</w:t>
            </w:r>
          </w:p>
        </w:tc>
        <w:tc>
          <w:tcPr>
            <w:tcW w:w="8394" w:type="dxa"/>
            <w:vAlign w:val="center"/>
          </w:tcPr>
          <w:p w14:paraId="3929CE15" w14:textId="3D09615F" w:rsidR="00AF3C19" w:rsidRPr="00224D6D" w:rsidRDefault="00AF3C19" w:rsidP="00EE7FFE">
            <w:pPr>
              <w:pStyle w:val="TableParagraph"/>
              <w:spacing w:before="0"/>
              <w:ind w:right="221"/>
              <w:rPr>
                <w:bCs/>
                <w:sz w:val="24"/>
                <w:szCs w:val="24"/>
              </w:rPr>
            </w:pPr>
            <w:r w:rsidRPr="00224D6D">
              <w:rPr>
                <w:b/>
                <w:sz w:val="24"/>
                <w:szCs w:val="24"/>
              </w:rPr>
              <w:t>Offers Due (midnight)</w:t>
            </w:r>
            <w:r w:rsidR="006C5CAE" w:rsidRPr="00224D6D">
              <w:rPr>
                <w:b/>
                <w:sz w:val="24"/>
                <w:szCs w:val="24"/>
              </w:rPr>
              <w:t>: only</w:t>
            </w:r>
            <w:r w:rsidRPr="00224D6D">
              <w:rPr>
                <w:b/>
                <w:sz w:val="24"/>
                <w:szCs w:val="24"/>
              </w:rPr>
              <w:t xml:space="preserve"> if resource was tested and notified it passed. </w:t>
            </w:r>
            <w:r w:rsidRPr="00224D6D">
              <w:rPr>
                <w:bCs/>
                <w:sz w:val="24"/>
                <w:szCs w:val="24"/>
              </w:rPr>
              <w:t>Reinstatement Offer must be in the same configuration, with the same baseline type, and limited to some or all the Time Periods selected in the Reinstatement Offer.  (can drop TP but not add)</w:t>
            </w:r>
          </w:p>
        </w:tc>
      </w:tr>
    </w:tbl>
    <w:p w14:paraId="44399FFA" w14:textId="77777777" w:rsidR="00347AB7" w:rsidRDefault="00347AB7" w:rsidP="00347AB7">
      <w:pPr>
        <w:pStyle w:val="BodyText"/>
        <w:ind w:left="630"/>
        <w:rPr>
          <w:sz w:val="18"/>
          <w:szCs w:val="18"/>
        </w:rPr>
      </w:pPr>
      <w:r>
        <w:rPr>
          <w:sz w:val="18"/>
          <w:szCs w:val="18"/>
        </w:rPr>
        <w:t>*Meter data is due 35 days after a test or event</w:t>
      </w:r>
    </w:p>
    <w:p w14:paraId="253030E4" w14:textId="352B19E5" w:rsidR="008A49B7" w:rsidRDefault="008A49B7" w:rsidP="00C71A2C">
      <w:pPr>
        <w:pStyle w:val="BodyText"/>
        <w:ind w:left="0"/>
        <w:rPr>
          <w:sz w:val="18"/>
          <w:szCs w:val="18"/>
        </w:rPr>
      </w:pPr>
    </w:p>
    <w:p w14:paraId="18E1C351" w14:textId="5E8CD0C5" w:rsidR="00B97A81" w:rsidRDefault="00B97A81" w:rsidP="00B97A81">
      <w:pPr>
        <w:pStyle w:val="BodyText"/>
        <w:rPr>
          <w:sz w:val="18"/>
          <w:szCs w:val="18"/>
        </w:rPr>
      </w:pPr>
    </w:p>
    <w:p w14:paraId="5B31FEB1" w14:textId="77777777" w:rsidR="00731666" w:rsidRDefault="00731666" w:rsidP="00B97A81">
      <w:pPr>
        <w:pStyle w:val="BodyText"/>
        <w:rPr>
          <w:sz w:val="18"/>
          <w:szCs w:val="18"/>
        </w:rPr>
      </w:pPr>
    </w:p>
    <w:p w14:paraId="55497E91" w14:textId="24554018" w:rsidR="00B97A81" w:rsidRPr="006D4A5A" w:rsidRDefault="00B97A81" w:rsidP="00B702F3">
      <w:pPr>
        <w:pStyle w:val="BodyText"/>
        <w:ind w:left="1710"/>
        <w:rPr>
          <w:sz w:val="18"/>
          <w:szCs w:val="18"/>
        </w:rPr>
      </w:pPr>
    </w:p>
    <w:sectPr w:rsidR="00B97A81" w:rsidRPr="006D4A5A" w:rsidSect="006D4A5A">
      <w:headerReference w:type="even" r:id="rId8"/>
      <w:headerReference w:type="default" r:id="rId9"/>
      <w:footerReference w:type="even" r:id="rId10"/>
      <w:footerReference w:type="default" r:id="rId11"/>
      <w:headerReference w:type="first" r:id="rId12"/>
      <w:footerReference w:type="first" r:id="rId13"/>
      <w:type w:val="continuous"/>
      <w:pgSz w:w="12240" w:h="15840"/>
      <w:pgMar w:top="0" w:right="600" w:bottom="0" w:left="50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499B" w14:textId="77777777" w:rsidR="009E504A" w:rsidRDefault="009E504A" w:rsidP="00761A12">
      <w:r>
        <w:separator/>
      </w:r>
    </w:p>
  </w:endnote>
  <w:endnote w:type="continuationSeparator" w:id="0">
    <w:p w14:paraId="181703BB" w14:textId="77777777" w:rsidR="009E504A" w:rsidRDefault="009E504A" w:rsidP="007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3661" w14:textId="77777777" w:rsidR="00374609" w:rsidRDefault="0037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15B" w14:textId="77777777" w:rsidR="00374609" w:rsidRDefault="0037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66D7" w14:textId="77777777" w:rsidR="00374609" w:rsidRDefault="0037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10F2" w14:textId="77777777" w:rsidR="009E504A" w:rsidRDefault="009E504A" w:rsidP="00761A12">
      <w:r>
        <w:separator/>
      </w:r>
    </w:p>
  </w:footnote>
  <w:footnote w:type="continuationSeparator" w:id="0">
    <w:p w14:paraId="10552BCC" w14:textId="77777777" w:rsidR="009E504A" w:rsidRDefault="009E504A" w:rsidP="0076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0EA" w14:textId="77777777" w:rsidR="00374609" w:rsidRDefault="0037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9FB" w14:textId="5ED0678B" w:rsidR="00374609" w:rsidRDefault="00374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DCD" w14:textId="77777777" w:rsidR="00374609" w:rsidRDefault="0037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962"/>
    <w:multiLevelType w:val="hybridMultilevel"/>
    <w:tmpl w:val="CC1E5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77EF63C4"/>
    <w:multiLevelType w:val="hybridMultilevel"/>
    <w:tmpl w:val="491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0049">
    <w:abstractNumId w:val="1"/>
  </w:num>
  <w:num w:numId="2" w16cid:durableId="142187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B7"/>
    <w:rsid w:val="00021363"/>
    <w:rsid w:val="000471C8"/>
    <w:rsid w:val="00066760"/>
    <w:rsid w:val="0007072F"/>
    <w:rsid w:val="000708EC"/>
    <w:rsid w:val="00112868"/>
    <w:rsid w:val="001310C6"/>
    <w:rsid w:val="00142856"/>
    <w:rsid w:val="00154B2E"/>
    <w:rsid w:val="001929A5"/>
    <w:rsid w:val="001A1AD9"/>
    <w:rsid w:val="001A24A6"/>
    <w:rsid w:val="00224D6D"/>
    <w:rsid w:val="00233B7F"/>
    <w:rsid w:val="00276875"/>
    <w:rsid w:val="00295A06"/>
    <w:rsid w:val="002A065F"/>
    <w:rsid w:val="002B0931"/>
    <w:rsid w:val="002D66BC"/>
    <w:rsid w:val="0030200A"/>
    <w:rsid w:val="00306612"/>
    <w:rsid w:val="00347AB7"/>
    <w:rsid w:val="00355E42"/>
    <w:rsid w:val="0036631E"/>
    <w:rsid w:val="00374609"/>
    <w:rsid w:val="00386F40"/>
    <w:rsid w:val="003B7F72"/>
    <w:rsid w:val="003D3E7C"/>
    <w:rsid w:val="00425C5D"/>
    <w:rsid w:val="00437F1E"/>
    <w:rsid w:val="0046631A"/>
    <w:rsid w:val="00470ADF"/>
    <w:rsid w:val="00471089"/>
    <w:rsid w:val="004B38F2"/>
    <w:rsid w:val="004C73B6"/>
    <w:rsid w:val="004E5509"/>
    <w:rsid w:val="004F2D00"/>
    <w:rsid w:val="0054100E"/>
    <w:rsid w:val="00550B8E"/>
    <w:rsid w:val="00562032"/>
    <w:rsid w:val="005740B7"/>
    <w:rsid w:val="005B4FD5"/>
    <w:rsid w:val="005D2588"/>
    <w:rsid w:val="00660C83"/>
    <w:rsid w:val="006C5CAE"/>
    <w:rsid w:val="006D4A5A"/>
    <w:rsid w:val="006D6907"/>
    <w:rsid w:val="00731666"/>
    <w:rsid w:val="007446E7"/>
    <w:rsid w:val="0074557A"/>
    <w:rsid w:val="00761A12"/>
    <w:rsid w:val="007E1733"/>
    <w:rsid w:val="007F5199"/>
    <w:rsid w:val="007F6E11"/>
    <w:rsid w:val="00825FD2"/>
    <w:rsid w:val="00835DEB"/>
    <w:rsid w:val="00844614"/>
    <w:rsid w:val="008A49B7"/>
    <w:rsid w:val="008C3AF5"/>
    <w:rsid w:val="008D0D1A"/>
    <w:rsid w:val="008D283C"/>
    <w:rsid w:val="008F4A91"/>
    <w:rsid w:val="008F6EA7"/>
    <w:rsid w:val="00924B3B"/>
    <w:rsid w:val="00960241"/>
    <w:rsid w:val="0096329D"/>
    <w:rsid w:val="00981D42"/>
    <w:rsid w:val="009B0EB2"/>
    <w:rsid w:val="009C23EA"/>
    <w:rsid w:val="009E2FEE"/>
    <w:rsid w:val="009E504A"/>
    <w:rsid w:val="009F2B05"/>
    <w:rsid w:val="00A1307B"/>
    <w:rsid w:val="00A151A0"/>
    <w:rsid w:val="00A23910"/>
    <w:rsid w:val="00A30BE6"/>
    <w:rsid w:val="00A6382A"/>
    <w:rsid w:val="00A93058"/>
    <w:rsid w:val="00AA5FE8"/>
    <w:rsid w:val="00AC76DB"/>
    <w:rsid w:val="00AE0A5E"/>
    <w:rsid w:val="00AF3C19"/>
    <w:rsid w:val="00AF7A4E"/>
    <w:rsid w:val="00AF7D09"/>
    <w:rsid w:val="00B156A0"/>
    <w:rsid w:val="00B54E6E"/>
    <w:rsid w:val="00B63202"/>
    <w:rsid w:val="00B702F3"/>
    <w:rsid w:val="00B75C9A"/>
    <w:rsid w:val="00B9334E"/>
    <w:rsid w:val="00B97A81"/>
    <w:rsid w:val="00BB0EB0"/>
    <w:rsid w:val="00BE2DC3"/>
    <w:rsid w:val="00BF252D"/>
    <w:rsid w:val="00BF49F9"/>
    <w:rsid w:val="00BF7404"/>
    <w:rsid w:val="00C15376"/>
    <w:rsid w:val="00C30D05"/>
    <w:rsid w:val="00C36727"/>
    <w:rsid w:val="00C40D1A"/>
    <w:rsid w:val="00C6239B"/>
    <w:rsid w:val="00C71A2C"/>
    <w:rsid w:val="00C7668F"/>
    <w:rsid w:val="00CB7E16"/>
    <w:rsid w:val="00CC2DDA"/>
    <w:rsid w:val="00D07ECE"/>
    <w:rsid w:val="00D1431E"/>
    <w:rsid w:val="00D35D70"/>
    <w:rsid w:val="00D42F1E"/>
    <w:rsid w:val="00D43273"/>
    <w:rsid w:val="00D55E17"/>
    <w:rsid w:val="00D84960"/>
    <w:rsid w:val="00DA0B61"/>
    <w:rsid w:val="00DB1049"/>
    <w:rsid w:val="00DE01E1"/>
    <w:rsid w:val="00DE487C"/>
    <w:rsid w:val="00E145AB"/>
    <w:rsid w:val="00E352E9"/>
    <w:rsid w:val="00E43F00"/>
    <w:rsid w:val="00E45921"/>
    <w:rsid w:val="00E503F9"/>
    <w:rsid w:val="00E65634"/>
    <w:rsid w:val="00E87251"/>
    <w:rsid w:val="00E9515F"/>
    <w:rsid w:val="00E97B72"/>
    <w:rsid w:val="00EE7FFE"/>
    <w:rsid w:val="00F14692"/>
    <w:rsid w:val="00F47A24"/>
    <w:rsid w:val="00FE2AFD"/>
    <w:rsid w:val="00FF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FFBA"/>
  <w15:docId w15:val="{C4156212-F06C-4681-86C1-93D7E04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68" w:lineRule="exact"/>
      <w:ind w:left="99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3"/>
    </w:pPr>
  </w:style>
  <w:style w:type="paragraph" w:styleId="BalloonText">
    <w:name w:val="Balloon Text"/>
    <w:basedOn w:val="Normal"/>
    <w:link w:val="BalloonTextChar"/>
    <w:uiPriority w:val="99"/>
    <w:semiHidden/>
    <w:unhideWhenUsed/>
    <w:rsid w:val="004F2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00"/>
    <w:rPr>
      <w:rFonts w:ascii="Segoe UI" w:eastAsia="Calibri" w:hAnsi="Segoe UI" w:cs="Segoe UI"/>
      <w:sz w:val="18"/>
      <w:szCs w:val="18"/>
    </w:rPr>
  </w:style>
  <w:style w:type="paragraph" w:styleId="Header">
    <w:name w:val="header"/>
    <w:basedOn w:val="Normal"/>
    <w:link w:val="HeaderChar"/>
    <w:uiPriority w:val="99"/>
    <w:unhideWhenUsed/>
    <w:rsid w:val="00761A12"/>
    <w:pPr>
      <w:tabs>
        <w:tab w:val="center" w:pos="4680"/>
        <w:tab w:val="right" w:pos="9360"/>
      </w:tabs>
    </w:pPr>
  </w:style>
  <w:style w:type="character" w:customStyle="1" w:styleId="HeaderChar">
    <w:name w:val="Header Char"/>
    <w:basedOn w:val="DefaultParagraphFont"/>
    <w:link w:val="Header"/>
    <w:uiPriority w:val="99"/>
    <w:rsid w:val="00761A12"/>
    <w:rPr>
      <w:rFonts w:ascii="Calibri" w:eastAsia="Calibri" w:hAnsi="Calibri" w:cs="Calibri"/>
    </w:rPr>
  </w:style>
  <w:style w:type="paragraph" w:styleId="Footer">
    <w:name w:val="footer"/>
    <w:basedOn w:val="Normal"/>
    <w:link w:val="FooterChar"/>
    <w:uiPriority w:val="99"/>
    <w:unhideWhenUsed/>
    <w:rsid w:val="00761A12"/>
    <w:pPr>
      <w:tabs>
        <w:tab w:val="center" w:pos="4680"/>
        <w:tab w:val="right" w:pos="9360"/>
      </w:tabs>
    </w:pPr>
  </w:style>
  <w:style w:type="character" w:customStyle="1" w:styleId="FooterChar">
    <w:name w:val="Footer Char"/>
    <w:basedOn w:val="DefaultParagraphFont"/>
    <w:link w:val="Footer"/>
    <w:uiPriority w:val="99"/>
    <w:rsid w:val="00761A12"/>
    <w:rPr>
      <w:rFonts w:ascii="Calibri" w:eastAsia="Calibri" w:hAnsi="Calibri" w:cs="Calibri"/>
    </w:rPr>
  </w:style>
  <w:style w:type="paragraph" w:styleId="Revision">
    <w:name w:val="Revision"/>
    <w:hidden/>
    <w:uiPriority w:val="99"/>
    <w:semiHidden/>
    <w:rsid w:val="00BF49F9"/>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47A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28CD-4E36-43A8-87D6-CE3C0C1F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Pages>
  <Words>188</Words>
  <Characters>1010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ERCOT Staff</dc:creator>
  <cp:lastModifiedBy>Garza, Thelma</cp:lastModifiedBy>
  <cp:revision>9</cp:revision>
  <cp:lastPrinted>2023-09-05T15:58:00Z</cp:lastPrinted>
  <dcterms:created xsi:type="dcterms:W3CDTF">2024-10-08T15:58:00Z</dcterms:created>
  <dcterms:modified xsi:type="dcterms:W3CDTF">2026-07-21T15:22:00Z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2018-07-24T00:00:00Z</vt:filetime>
  </property>
  <property fmtid="{D5CDD505-2E9C-101B-9397-08002B2CF9AE}" pid="5" name="MSIP_Label_7084cbda-52b8-46fb-a7b7-cb5bd465ed85_Enabled">
    <vt:lpwstr>true</vt:lpwstr>
  </property>
  <property fmtid="{D5CDD505-2E9C-101B-9397-08002B2CF9AE}" pid="6" name="MSIP_Label_7084cbda-52b8-46fb-a7b7-cb5bd465ed85_SetDate">
    <vt:lpwstr>2023-08-08T20:04:16Z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3a5f2e84-4d52-43cf-8f1c-3762e247d914</vt:lpwstr>
  </property>
  <property fmtid="{D5CDD505-2E9C-101B-9397-08002B2CF9AE}" pid="11" name="MSIP_Label_7084cbda-52b8-46fb-a7b7-cb5bd465ed85_ContentBits">
    <vt:lpwstr>0</vt:lpwstr>
  </property>
</Properties>
</file>