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3E4C48" w14:paraId="6578F904" w14:textId="77777777">
        <w:tc>
          <w:tcPr>
            <w:tcW w:w="1620" w:type="dxa"/>
            <w:tcBorders>
              <w:bottom w:val="single" w:sz="4" w:space="0" w:color="auto"/>
            </w:tcBorders>
            <w:shd w:val="clear" w:color="auto" w:fill="FFFFFF"/>
            <w:vAlign w:val="center"/>
          </w:tcPr>
          <w:p w14:paraId="58A9D3CE" w14:textId="77777777" w:rsidR="003E4C48" w:rsidRDefault="003E4C48" w:rsidP="003E4C48">
            <w:pPr>
              <w:pStyle w:val="Header"/>
              <w:rPr>
                <w:rFonts w:ascii="Verdana" w:hAnsi="Verdana"/>
                <w:sz w:val="22"/>
              </w:rPr>
            </w:pPr>
            <w:r>
              <w:t>NPRR Number</w:t>
            </w:r>
          </w:p>
        </w:tc>
        <w:tc>
          <w:tcPr>
            <w:tcW w:w="1260" w:type="dxa"/>
            <w:tcBorders>
              <w:bottom w:val="single" w:sz="4" w:space="0" w:color="auto"/>
            </w:tcBorders>
            <w:vAlign w:val="center"/>
          </w:tcPr>
          <w:p w14:paraId="07B12F87" w14:textId="2055B691" w:rsidR="003E4C48" w:rsidRDefault="003E4C48" w:rsidP="003E4C48">
            <w:pPr>
              <w:pStyle w:val="Header"/>
            </w:pPr>
            <w:hyperlink r:id="rId9" w:history="1">
              <w:r w:rsidRPr="005A3E8F">
                <w:rPr>
                  <w:rStyle w:val="Hyperlink"/>
                </w:rPr>
                <w:t>1340</w:t>
              </w:r>
            </w:hyperlink>
          </w:p>
        </w:tc>
        <w:tc>
          <w:tcPr>
            <w:tcW w:w="900" w:type="dxa"/>
            <w:tcBorders>
              <w:bottom w:val="single" w:sz="4" w:space="0" w:color="auto"/>
            </w:tcBorders>
            <w:shd w:val="clear" w:color="auto" w:fill="FFFFFF"/>
            <w:vAlign w:val="center"/>
          </w:tcPr>
          <w:p w14:paraId="6C969CE7" w14:textId="77777777" w:rsidR="003E4C48" w:rsidRPr="000C18AF" w:rsidRDefault="003E4C48" w:rsidP="003E4C48">
            <w:pPr>
              <w:pStyle w:val="Header"/>
              <w:rPr>
                <w:rFonts w:cs="Arial"/>
              </w:rPr>
            </w:pPr>
            <w:r w:rsidRPr="000C18AF">
              <w:rPr>
                <w:rFonts w:cs="Arial"/>
              </w:rPr>
              <w:t>NPRR Title</w:t>
            </w:r>
          </w:p>
        </w:tc>
        <w:tc>
          <w:tcPr>
            <w:tcW w:w="6660" w:type="dxa"/>
            <w:tcBorders>
              <w:bottom w:val="single" w:sz="4" w:space="0" w:color="auto"/>
            </w:tcBorders>
            <w:vAlign w:val="center"/>
          </w:tcPr>
          <w:p w14:paraId="5CDD9EEE" w14:textId="365E65F8" w:rsidR="003E4C48" w:rsidRPr="000C18AF" w:rsidRDefault="003E4C48" w:rsidP="003E4C48">
            <w:pPr>
              <w:pStyle w:val="Header"/>
              <w:rPr>
                <w:rFonts w:cs="Arial"/>
              </w:rPr>
            </w:pPr>
            <w:r w:rsidRPr="00FF70C2">
              <w:t>Dispatchable Reliability Reserve Service Ancillary Service</w:t>
            </w:r>
            <w:r>
              <w:t xml:space="preserve"> with Energy Storage Resource Participation</w:t>
            </w:r>
          </w:p>
        </w:tc>
      </w:tr>
      <w:tr w:rsidR="003E4C48" w14:paraId="672A6659" w14:textId="77777777">
        <w:trPr>
          <w:trHeight w:val="413"/>
        </w:trPr>
        <w:tc>
          <w:tcPr>
            <w:tcW w:w="2880" w:type="dxa"/>
            <w:gridSpan w:val="2"/>
            <w:tcBorders>
              <w:top w:val="nil"/>
              <w:left w:val="nil"/>
              <w:bottom w:val="single" w:sz="4" w:space="0" w:color="auto"/>
              <w:right w:val="nil"/>
            </w:tcBorders>
            <w:vAlign w:val="center"/>
          </w:tcPr>
          <w:p w14:paraId="0A37501D" w14:textId="77777777" w:rsidR="003E4C48" w:rsidRDefault="003E4C48" w:rsidP="003E4C48">
            <w:pPr>
              <w:pStyle w:val="NormalArial"/>
            </w:pPr>
          </w:p>
        </w:tc>
        <w:tc>
          <w:tcPr>
            <w:tcW w:w="7560" w:type="dxa"/>
            <w:gridSpan w:val="2"/>
            <w:tcBorders>
              <w:top w:val="single" w:sz="4" w:space="0" w:color="auto"/>
              <w:left w:val="nil"/>
              <w:bottom w:val="nil"/>
              <w:right w:val="nil"/>
            </w:tcBorders>
            <w:vAlign w:val="center"/>
          </w:tcPr>
          <w:p w14:paraId="5DAB6C7B" w14:textId="77777777" w:rsidR="003E4C48" w:rsidRDefault="003E4C48" w:rsidP="003E4C48">
            <w:pPr>
              <w:pStyle w:val="NormalArial"/>
            </w:pPr>
          </w:p>
        </w:tc>
      </w:tr>
      <w:tr w:rsidR="003E4C48" w14:paraId="052D39F5" w14:textId="77777777">
        <w:trPr>
          <w:trHeight w:val="440"/>
        </w:trPr>
        <w:tc>
          <w:tcPr>
            <w:tcW w:w="2880" w:type="dxa"/>
            <w:gridSpan w:val="2"/>
            <w:tcBorders>
              <w:top w:val="single" w:sz="4" w:space="0" w:color="auto"/>
              <w:left w:val="single" w:sz="4" w:space="0" w:color="auto"/>
              <w:bottom w:val="single" w:sz="4" w:space="0" w:color="auto"/>
              <w:right w:val="single" w:sz="4" w:space="0" w:color="auto"/>
            </w:tcBorders>
            <w:vAlign w:val="center"/>
          </w:tcPr>
          <w:p w14:paraId="491072FA" w14:textId="77777777" w:rsidR="003E4C48" w:rsidRDefault="003E4C48" w:rsidP="003E4C48">
            <w:pPr>
              <w:pStyle w:val="Header"/>
            </w:pPr>
            <w:r>
              <w:t>Date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7A576333" w14:textId="3B35AC7F" w:rsidR="003E4C48" w:rsidRDefault="00045721" w:rsidP="003E4C48">
            <w:pPr>
              <w:pStyle w:val="NormalArial"/>
            </w:pPr>
            <w:r>
              <w:t>July 21</w:t>
            </w:r>
            <w:r w:rsidR="003E4C48">
              <w:t>, 2026</w:t>
            </w:r>
          </w:p>
        </w:tc>
      </w:tr>
      <w:tr w:rsidR="003E4C48" w14:paraId="02EB378F" w14:textId="77777777">
        <w:trPr>
          <w:trHeight w:val="467"/>
        </w:trPr>
        <w:tc>
          <w:tcPr>
            <w:tcW w:w="2880" w:type="dxa"/>
            <w:gridSpan w:val="2"/>
            <w:tcBorders>
              <w:top w:val="single" w:sz="4" w:space="0" w:color="auto"/>
              <w:left w:val="nil"/>
              <w:bottom w:val="nil"/>
              <w:right w:val="nil"/>
            </w:tcBorders>
            <w:shd w:val="clear" w:color="auto" w:fill="FFFFFF"/>
            <w:vAlign w:val="center"/>
          </w:tcPr>
          <w:p w14:paraId="6A05A809" w14:textId="77777777" w:rsidR="003E4C48" w:rsidRDefault="003E4C48" w:rsidP="003E4C48">
            <w:pPr>
              <w:pStyle w:val="NormalArial"/>
            </w:pPr>
          </w:p>
        </w:tc>
        <w:tc>
          <w:tcPr>
            <w:tcW w:w="7560" w:type="dxa"/>
            <w:gridSpan w:val="2"/>
            <w:tcBorders>
              <w:top w:val="nil"/>
              <w:left w:val="nil"/>
              <w:bottom w:val="nil"/>
              <w:right w:val="nil"/>
            </w:tcBorders>
            <w:vAlign w:val="center"/>
          </w:tcPr>
          <w:p w14:paraId="5A39BBE3" w14:textId="77777777" w:rsidR="003E4C48" w:rsidRDefault="003E4C48" w:rsidP="003E4C48">
            <w:pPr>
              <w:pStyle w:val="NormalArial"/>
            </w:pPr>
          </w:p>
        </w:tc>
      </w:tr>
      <w:tr w:rsidR="003E4C48" w14:paraId="28E03B88" w14:textId="77777777">
        <w:trPr>
          <w:trHeight w:val="440"/>
        </w:trPr>
        <w:tc>
          <w:tcPr>
            <w:tcW w:w="10440" w:type="dxa"/>
            <w:gridSpan w:val="4"/>
            <w:tcBorders>
              <w:top w:val="single" w:sz="4" w:space="0" w:color="auto"/>
            </w:tcBorders>
            <w:shd w:val="clear" w:color="auto" w:fill="FFFFFF"/>
            <w:vAlign w:val="center"/>
          </w:tcPr>
          <w:p w14:paraId="7A73DE3C" w14:textId="77777777" w:rsidR="003E4C48" w:rsidRDefault="003E4C48" w:rsidP="003E4C48">
            <w:pPr>
              <w:pStyle w:val="Header"/>
              <w:jc w:val="center"/>
            </w:pPr>
            <w:r>
              <w:t>Submitter’s Information</w:t>
            </w:r>
          </w:p>
        </w:tc>
      </w:tr>
      <w:tr w:rsidR="003E4C48" w14:paraId="3B2643C9" w14:textId="77777777">
        <w:trPr>
          <w:trHeight w:val="350"/>
        </w:trPr>
        <w:tc>
          <w:tcPr>
            <w:tcW w:w="2880" w:type="dxa"/>
            <w:gridSpan w:val="2"/>
            <w:shd w:val="clear" w:color="auto" w:fill="FFFFFF"/>
            <w:vAlign w:val="center"/>
          </w:tcPr>
          <w:p w14:paraId="0D909AED" w14:textId="77777777" w:rsidR="003E4C48" w:rsidRPr="00EC55B3" w:rsidRDefault="003E4C48" w:rsidP="003E4C48">
            <w:pPr>
              <w:pStyle w:val="Header"/>
            </w:pPr>
            <w:r w:rsidRPr="00EC55B3">
              <w:t>Name</w:t>
            </w:r>
          </w:p>
        </w:tc>
        <w:tc>
          <w:tcPr>
            <w:tcW w:w="7560" w:type="dxa"/>
            <w:gridSpan w:val="2"/>
            <w:vAlign w:val="center"/>
          </w:tcPr>
          <w:p w14:paraId="27591295" w14:textId="77777777" w:rsidR="003E4C48" w:rsidRDefault="003E4C48" w:rsidP="003E4C48">
            <w:pPr>
              <w:pStyle w:val="NormalArial"/>
            </w:pPr>
            <w:r>
              <w:t>Anita Sharma</w:t>
            </w:r>
          </w:p>
        </w:tc>
      </w:tr>
      <w:tr w:rsidR="003E4C48" w14:paraId="6507FFC9" w14:textId="77777777">
        <w:trPr>
          <w:trHeight w:val="350"/>
        </w:trPr>
        <w:tc>
          <w:tcPr>
            <w:tcW w:w="2880" w:type="dxa"/>
            <w:gridSpan w:val="2"/>
            <w:shd w:val="clear" w:color="auto" w:fill="FFFFFF"/>
            <w:vAlign w:val="center"/>
          </w:tcPr>
          <w:p w14:paraId="6E9EF7E7" w14:textId="77777777" w:rsidR="003E4C48" w:rsidRPr="00EC55B3" w:rsidRDefault="003E4C48" w:rsidP="003E4C48">
            <w:pPr>
              <w:pStyle w:val="Header"/>
            </w:pPr>
            <w:r w:rsidRPr="00EC55B3">
              <w:t>E-mail Address</w:t>
            </w:r>
          </w:p>
        </w:tc>
        <w:tc>
          <w:tcPr>
            <w:tcW w:w="7560" w:type="dxa"/>
            <w:gridSpan w:val="2"/>
            <w:vAlign w:val="center"/>
          </w:tcPr>
          <w:p w14:paraId="33F810CF" w14:textId="77777777" w:rsidR="003E4C48" w:rsidRDefault="003E4C48" w:rsidP="003E4C48">
            <w:pPr>
              <w:pStyle w:val="NormalArial"/>
            </w:pPr>
            <w:hyperlink r:id="rId10" w:history="1">
              <w:r w:rsidRPr="00B41138">
                <w:rPr>
                  <w:rStyle w:val="Hyperlink"/>
                </w:rPr>
                <w:t>anitsharma@tesla.com</w:t>
              </w:r>
            </w:hyperlink>
          </w:p>
        </w:tc>
      </w:tr>
      <w:tr w:rsidR="003E4C48" w14:paraId="02A521A9" w14:textId="77777777">
        <w:trPr>
          <w:trHeight w:val="350"/>
        </w:trPr>
        <w:tc>
          <w:tcPr>
            <w:tcW w:w="2880" w:type="dxa"/>
            <w:gridSpan w:val="2"/>
            <w:shd w:val="clear" w:color="auto" w:fill="FFFFFF"/>
            <w:vAlign w:val="center"/>
          </w:tcPr>
          <w:p w14:paraId="0594955B" w14:textId="77777777" w:rsidR="003E4C48" w:rsidRPr="00EC55B3" w:rsidRDefault="003E4C48" w:rsidP="003E4C48">
            <w:pPr>
              <w:pStyle w:val="Header"/>
            </w:pPr>
            <w:r w:rsidRPr="00EC55B3">
              <w:t>Company</w:t>
            </w:r>
          </w:p>
        </w:tc>
        <w:tc>
          <w:tcPr>
            <w:tcW w:w="7560" w:type="dxa"/>
            <w:gridSpan w:val="2"/>
            <w:vAlign w:val="center"/>
          </w:tcPr>
          <w:p w14:paraId="479C1C14" w14:textId="77777777" w:rsidR="003E4C48" w:rsidRDefault="003E4C48" w:rsidP="003E4C48">
            <w:pPr>
              <w:pStyle w:val="NormalArial"/>
            </w:pPr>
            <w:r>
              <w:t>Tesla Inc.</w:t>
            </w:r>
          </w:p>
        </w:tc>
      </w:tr>
      <w:tr w:rsidR="003E4C48" w14:paraId="79AFB717" w14:textId="77777777">
        <w:trPr>
          <w:trHeight w:val="350"/>
        </w:trPr>
        <w:tc>
          <w:tcPr>
            <w:tcW w:w="2880" w:type="dxa"/>
            <w:gridSpan w:val="2"/>
            <w:tcBorders>
              <w:bottom w:val="single" w:sz="4" w:space="0" w:color="auto"/>
            </w:tcBorders>
            <w:shd w:val="clear" w:color="auto" w:fill="FFFFFF"/>
            <w:vAlign w:val="center"/>
          </w:tcPr>
          <w:p w14:paraId="666378F9" w14:textId="77777777" w:rsidR="003E4C48" w:rsidRPr="00EC55B3" w:rsidRDefault="003E4C48" w:rsidP="003E4C48">
            <w:pPr>
              <w:pStyle w:val="Header"/>
            </w:pPr>
            <w:r w:rsidRPr="00EC55B3">
              <w:t>Phone Number</w:t>
            </w:r>
          </w:p>
        </w:tc>
        <w:tc>
          <w:tcPr>
            <w:tcW w:w="7560" w:type="dxa"/>
            <w:gridSpan w:val="2"/>
            <w:tcBorders>
              <w:bottom w:val="single" w:sz="4" w:space="0" w:color="auto"/>
            </w:tcBorders>
            <w:vAlign w:val="center"/>
          </w:tcPr>
          <w:p w14:paraId="41C8F396" w14:textId="77777777" w:rsidR="003E4C48" w:rsidRDefault="003E4C48" w:rsidP="003E4C48">
            <w:pPr>
              <w:pStyle w:val="NormalArial"/>
            </w:pPr>
          </w:p>
        </w:tc>
      </w:tr>
      <w:tr w:rsidR="003E4C48" w14:paraId="1018F226" w14:textId="77777777">
        <w:trPr>
          <w:trHeight w:val="350"/>
        </w:trPr>
        <w:tc>
          <w:tcPr>
            <w:tcW w:w="2880" w:type="dxa"/>
            <w:gridSpan w:val="2"/>
            <w:shd w:val="clear" w:color="auto" w:fill="FFFFFF"/>
            <w:vAlign w:val="center"/>
          </w:tcPr>
          <w:p w14:paraId="3AFD0C5D" w14:textId="77777777" w:rsidR="003E4C48" w:rsidRPr="00EC55B3" w:rsidRDefault="003E4C48" w:rsidP="003E4C48">
            <w:pPr>
              <w:pStyle w:val="Header"/>
            </w:pPr>
            <w:r>
              <w:t>Cell</w:t>
            </w:r>
            <w:r w:rsidRPr="00EC55B3">
              <w:t xml:space="preserve"> Number</w:t>
            </w:r>
          </w:p>
        </w:tc>
        <w:tc>
          <w:tcPr>
            <w:tcW w:w="7560" w:type="dxa"/>
            <w:gridSpan w:val="2"/>
            <w:vAlign w:val="center"/>
          </w:tcPr>
          <w:p w14:paraId="20F1B633" w14:textId="77777777" w:rsidR="003E4C48" w:rsidRDefault="003E4C48" w:rsidP="003E4C48">
            <w:pPr>
              <w:pStyle w:val="NormalArial"/>
            </w:pPr>
            <w:r w:rsidRPr="003308E1">
              <w:t>(408) 940-2786</w:t>
            </w:r>
          </w:p>
        </w:tc>
      </w:tr>
      <w:tr w:rsidR="003E4C48" w14:paraId="6CCED409" w14:textId="77777777">
        <w:trPr>
          <w:trHeight w:val="350"/>
        </w:trPr>
        <w:tc>
          <w:tcPr>
            <w:tcW w:w="2880" w:type="dxa"/>
            <w:gridSpan w:val="2"/>
            <w:tcBorders>
              <w:bottom w:val="single" w:sz="4" w:space="0" w:color="auto"/>
            </w:tcBorders>
            <w:shd w:val="clear" w:color="auto" w:fill="FFFFFF"/>
            <w:vAlign w:val="center"/>
          </w:tcPr>
          <w:p w14:paraId="6238101C" w14:textId="77777777" w:rsidR="003E4C48" w:rsidRPr="00EC55B3" w:rsidDel="00075A94" w:rsidRDefault="003E4C48" w:rsidP="003E4C48">
            <w:pPr>
              <w:pStyle w:val="Header"/>
            </w:pPr>
            <w:r>
              <w:t>Market Segment</w:t>
            </w:r>
          </w:p>
        </w:tc>
        <w:tc>
          <w:tcPr>
            <w:tcW w:w="7560" w:type="dxa"/>
            <w:gridSpan w:val="2"/>
            <w:tcBorders>
              <w:bottom w:val="single" w:sz="4" w:space="0" w:color="auto"/>
            </w:tcBorders>
            <w:vAlign w:val="center"/>
          </w:tcPr>
          <w:p w14:paraId="553BADA4" w14:textId="4331A927" w:rsidR="003E4C48" w:rsidRDefault="003E4C48" w:rsidP="003E4C48">
            <w:pPr>
              <w:pStyle w:val="NormalArial"/>
            </w:pPr>
            <w:r>
              <w:t>Independent Generator</w:t>
            </w:r>
          </w:p>
        </w:tc>
      </w:tr>
    </w:tbl>
    <w:p w14:paraId="7999B0A9" w14:textId="77777777" w:rsidR="0030495A" w:rsidRDefault="0030495A">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323102" w14:paraId="47543942" w14:textId="77777777">
        <w:trPr>
          <w:trHeight w:val="350"/>
        </w:trPr>
        <w:tc>
          <w:tcPr>
            <w:tcW w:w="10440" w:type="dxa"/>
            <w:tcBorders>
              <w:bottom w:val="single" w:sz="4" w:space="0" w:color="auto"/>
            </w:tcBorders>
            <w:shd w:val="clear" w:color="auto" w:fill="FFFFFF"/>
            <w:vAlign w:val="center"/>
          </w:tcPr>
          <w:p w14:paraId="1DE3CDA0" w14:textId="66AD9BE2" w:rsidR="00323102" w:rsidRDefault="00323102">
            <w:pPr>
              <w:pStyle w:val="Header"/>
              <w:jc w:val="center"/>
            </w:pPr>
            <w:r>
              <w:t>Comments</w:t>
            </w:r>
          </w:p>
        </w:tc>
      </w:tr>
    </w:tbl>
    <w:p w14:paraId="38DA78A0" w14:textId="633314D5" w:rsidR="003E4C48" w:rsidRDefault="001E430A" w:rsidP="003E4C48">
      <w:pPr>
        <w:pStyle w:val="NormalWeb"/>
        <w:spacing w:before="120" w:beforeAutospacing="0" w:after="120" w:afterAutospacing="0" w:line="259" w:lineRule="auto"/>
        <w:jc w:val="both"/>
        <w:rPr>
          <w:rFonts w:ascii="Arial" w:hAnsi="Arial" w:cs="Arial"/>
        </w:rPr>
      </w:pPr>
      <w:r>
        <w:rPr>
          <w:rFonts w:ascii="Arial" w:hAnsi="Arial" w:cs="Arial"/>
        </w:rPr>
        <w:t xml:space="preserve">Tesla appreciates the opportunity to comment on </w:t>
      </w:r>
      <w:r w:rsidR="003E4C48">
        <w:rPr>
          <w:rFonts w:ascii="Arial" w:hAnsi="Arial" w:cs="Arial"/>
        </w:rPr>
        <w:t>Nodal</w:t>
      </w:r>
      <w:r w:rsidR="00576BA9">
        <w:rPr>
          <w:rFonts w:ascii="Arial" w:hAnsi="Arial" w:cs="Arial"/>
        </w:rPr>
        <w:t xml:space="preserve"> </w:t>
      </w:r>
      <w:r w:rsidR="003E4C48">
        <w:rPr>
          <w:rFonts w:ascii="Arial" w:hAnsi="Arial" w:cs="Arial"/>
        </w:rPr>
        <w:t xml:space="preserve">Protocol Revision Request </w:t>
      </w:r>
      <w:r w:rsidR="00576BA9">
        <w:rPr>
          <w:rFonts w:ascii="Arial" w:hAnsi="Arial" w:cs="Arial"/>
        </w:rPr>
        <w:t>(</w:t>
      </w:r>
      <w:r w:rsidR="003E4C48">
        <w:rPr>
          <w:rFonts w:ascii="Arial" w:hAnsi="Arial" w:cs="Arial"/>
        </w:rPr>
        <w:t>NP</w:t>
      </w:r>
      <w:r>
        <w:rPr>
          <w:rFonts w:ascii="Arial" w:hAnsi="Arial" w:cs="Arial"/>
        </w:rPr>
        <w:t>RR</w:t>
      </w:r>
      <w:r w:rsidR="00576BA9">
        <w:rPr>
          <w:rFonts w:ascii="Arial" w:hAnsi="Arial" w:cs="Arial"/>
        </w:rPr>
        <w:t xml:space="preserve">) </w:t>
      </w:r>
      <w:r w:rsidR="00202A54">
        <w:rPr>
          <w:rFonts w:ascii="Arial" w:hAnsi="Arial" w:cs="Arial"/>
        </w:rPr>
        <w:t>1</w:t>
      </w:r>
      <w:r w:rsidR="003E4C48">
        <w:rPr>
          <w:rFonts w:ascii="Arial" w:hAnsi="Arial" w:cs="Arial"/>
        </w:rPr>
        <w:t>3</w:t>
      </w:r>
      <w:r w:rsidR="00202A54">
        <w:rPr>
          <w:rFonts w:ascii="Arial" w:hAnsi="Arial" w:cs="Arial"/>
        </w:rPr>
        <w:t>4</w:t>
      </w:r>
      <w:r w:rsidR="003E4C48">
        <w:rPr>
          <w:rFonts w:ascii="Arial" w:hAnsi="Arial" w:cs="Arial"/>
        </w:rPr>
        <w:t>0</w:t>
      </w:r>
      <w:r w:rsidR="002470D5">
        <w:rPr>
          <w:rFonts w:ascii="Arial" w:hAnsi="Arial" w:cs="Arial"/>
        </w:rPr>
        <w:t>,</w:t>
      </w:r>
      <w:r>
        <w:rPr>
          <w:rFonts w:ascii="Arial" w:hAnsi="Arial" w:cs="Arial"/>
        </w:rPr>
        <w:t xml:space="preserve"> </w:t>
      </w:r>
      <w:r w:rsidR="002470D5">
        <w:rPr>
          <w:rFonts w:ascii="Arial" w:hAnsi="Arial" w:cs="Arial"/>
        </w:rPr>
        <w:t xml:space="preserve">which establishes a framework for </w:t>
      </w:r>
      <w:r w:rsidR="003E4C48" w:rsidRPr="003E4C48">
        <w:rPr>
          <w:rFonts w:ascii="Arial" w:hAnsi="Arial" w:cs="Arial"/>
        </w:rPr>
        <w:t xml:space="preserve">Energy Storage Resource (ESR) </w:t>
      </w:r>
      <w:r w:rsidR="002470D5">
        <w:rPr>
          <w:rFonts w:ascii="Arial" w:hAnsi="Arial" w:cs="Arial"/>
        </w:rPr>
        <w:t>participation in the Dispatchable Reliability Reserve Service (DRRS)</w:t>
      </w:r>
      <w:r w:rsidR="003E4C48" w:rsidRPr="003E4C48">
        <w:rPr>
          <w:rFonts w:ascii="Arial" w:hAnsi="Arial" w:cs="Arial"/>
        </w:rPr>
        <w:t>.</w:t>
      </w:r>
      <w:r w:rsidR="009E3FBD">
        <w:rPr>
          <w:rFonts w:ascii="Arial" w:hAnsi="Arial" w:cs="Arial"/>
        </w:rPr>
        <w:t xml:space="preserve"> Tesla supports NPRR1340 and believes the i</w:t>
      </w:r>
      <w:r w:rsidR="003E4C48" w:rsidRPr="003E4C48">
        <w:rPr>
          <w:rFonts w:ascii="Arial" w:hAnsi="Arial" w:cs="Arial"/>
        </w:rPr>
        <w:t xml:space="preserve">nclusion of ESRs is consistent with both the intent of the underlying legislation and the </w:t>
      </w:r>
      <w:r w:rsidR="009E3FBD">
        <w:rPr>
          <w:rFonts w:ascii="Arial" w:hAnsi="Arial" w:cs="Arial"/>
        </w:rPr>
        <w:t>objective</w:t>
      </w:r>
      <w:r w:rsidR="009E3FBD" w:rsidRPr="003E4C48">
        <w:rPr>
          <w:rFonts w:ascii="Arial" w:hAnsi="Arial" w:cs="Arial"/>
        </w:rPr>
        <w:t xml:space="preserve"> </w:t>
      </w:r>
      <w:r w:rsidR="003E4C48" w:rsidRPr="003E4C48">
        <w:rPr>
          <w:rFonts w:ascii="Arial" w:hAnsi="Arial" w:cs="Arial"/>
        </w:rPr>
        <w:t xml:space="preserve">of </w:t>
      </w:r>
      <w:r w:rsidR="00784904">
        <w:rPr>
          <w:rFonts w:ascii="Arial" w:hAnsi="Arial" w:cs="Arial"/>
        </w:rPr>
        <w:t xml:space="preserve">providing </w:t>
      </w:r>
      <w:r w:rsidR="009E3FBD">
        <w:rPr>
          <w:rFonts w:ascii="Arial" w:hAnsi="Arial" w:cs="Arial"/>
        </w:rPr>
        <w:t>reliability services in a cost-effective manner</w:t>
      </w:r>
      <w:r w:rsidR="00F27DD1">
        <w:rPr>
          <w:rFonts w:ascii="Arial" w:hAnsi="Arial" w:cs="Arial"/>
        </w:rPr>
        <w:t>.</w:t>
      </w:r>
    </w:p>
    <w:p w14:paraId="354E6C8B" w14:textId="755F1068" w:rsidR="00A15CB7" w:rsidRPr="00760F8A" w:rsidRDefault="00A15CB7" w:rsidP="00760F8A">
      <w:pPr>
        <w:pStyle w:val="NormalWeb"/>
        <w:spacing w:before="120" w:beforeAutospacing="0" w:after="0" w:afterAutospacing="0" w:line="259" w:lineRule="auto"/>
        <w:jc w:val="both"/>
        <w:rPr>
          <w:rFonts w:ascii="Arial" w:hAnsi="Arial" w:cs="Arial"/>
          <w:b/>
          <w:bCs/>
        </w:rPr>
      </w:pPr>
      <w:r w:rsidRPr="00760F8A">
        <w:rPr>
          <w:rFonts w:ascii="Arial" w:hAnsi="Arial" w:cs="Arial"/>
          <w:b/>
          <w:bCs/>
        </w:rPr>
        <w:t>Technology-Neutral Eligibility</w:t>
      </w:r>
    </w:p>
    <w:p w14:paraId="3209C777" w14:textId="32BA133D" w:rsidR="006E6273" w:rsidRDefault="006E6273" w:rsidP="003E4C48">
      <w:pPr>
        <w:pStyle w:val="NormalWeb"/>
        <w:spacing w:before="120" w:beforeAutospacing="0" w:after="120" w:afterAutospacing="0" w:line="259" w:lineRule="auto"/>
        <w:jc w:val="both"/>
        <w:rPr>
          <w:rFonts w:ascii="Arial" w:hAnsi="Arial" w:cs="Arial"/>
        </w:rPr>
      </w:pPr>
      <w:r>
        <w:rPr>
          <w:rFonts w:ascii="Arial" w:hAnsi="Arial" w:cs="Arial"/>
        </w:rPr>
        <w:t xml:space="preserve">Tesla supports a technology-neutral approach to DRRS eligibility. Eligibility should be based on whether a resource can satisfy the applicable statutory duration, availability, and dispatchability requirement of the service, rather than the technology used to provide it. This approach provides a clear and consistent framework for participation while ensuring </w:t>
      </w:r>
      <w:r w:rsidR="00784904">
        <w:rPr>
          <w:rFonts w:ascii="Arial" w:hAnsi="Arial" w:cs="Arial"/>
        </w:rPr>
        <w:t xml:space="preserve">that </w:t>
      </w:r>
      <w:r>
        <w:rPr>
          <w:rFonts w:ascii="Arial" w:hAnsi="Arial" w:cs="Arial"/>
        </w:rPr>
        <w:t>resources capable of meeting the applicable service requirements are eligible to provide DRRS.</w:t>
      </w:r>
    </w:p>
    <w:p w14:paraId="75800EA5" w14:textId="399551B5" w:rsidR="00A15CB7" w:rsidRPr="00760F8A" w:rsidRDefault="00A15CB7" w:rsidP="00760F8A">
      <w:pPr>
        <w:pStyle w:val="NormalWeb"/>
        <w:spacing w:before="120" w:beforeAutospacing="0" w:after="0" w:afterAutospacing="0" w:line="259" w:lineRule="auto"/>
        <w:jc w:val="both"/>
        <w:rPr>
          <w:rFonts w:ascii="Arial" w:hAnsi="Arial" w:cs="Arial"/>
          <w:b/>
          <w:bCs/>
        </w:rPr>
      </w:pPr>
      <w:r w:rsidRPr="00760F8A">
        <w:rPr>
          <w:rFonts w:ascii="Arial" w:hAnsi="Arial" w:cs="Arial"/>
          <w:b/>
          <w:bCs/>
        </w:rPr>
        <w:t xml:space="preserve">Timely Implementation and </w:t>
      </w:r>
      <w:r w:rsidR="00760F8A" w:rsidRPr="00760F8A">
        <w:rPr>
          <w:rFonts w:ascii="Arial" w:hAnsi="Arial" w:cs="Arial"/>
          <w:b/>
          <w:bCs/>
        </w:rPr>
        <w:t>Maintaining the Four-Hour Duration</w:t>
      </w:r>
    </w:p>
    <w:p w14:paraId="2B70B53C" w14:textId="15B03041" w:rsidR="00202A54" w:rsidRDefault="003E4C48" w:rsidP="00344AAF">
      <w:pPr>
        <w:pStyle w:val="NormalWeb"/>
        <w:spacing w:before="120" w:beforeAutospacing="0" w:after="120" w:afterAutospacing="0" w:line="259" w:lineRule="auto"/>
        <w:jc w:val="both"/>
        <w:rPr>
          <w:rFonts w:ascii="Arial" w:hAnsi="Arial" w:cs="Arial"/>
        </w:rPr>
      </w:pPr>
      <w:r w:rsidRPr="00812DD8">
        <w:rPr>
          <w:rFonts w:ascii="Arial" w:hAnsi="Arial" w:cs="Arial"/>
        </w:rPr>
        <w:t xml:space="preserve">Tesla emphasizes that </w:t>
      </w:r>
      <w:r w:rsidR="00FE43D7">
        <w:rPr>
          <w:rFonts w:ascii="Arial" w:hAnsi="Arial" w:cs="Arial"/>
        </w:rPr>
        <w:t xml:space="preserve">the </w:t>
      </w:r>
      <w:r w:rsidRPr="00812DD8">
        <w:rPr>
          <w:rFonts w:ascii="Arial" w:hAnsi="Arial" w:cs="Arial"/>
        </w:rPr>
        <w:t xml:space="preserve">inclusion of ESRs in DRRS </w:t>
      </w:r>
      <w:r w:rsidR="00FE43D7">
        <w:rPr>
          <w:rFonts w:ascii="Arial" w:hAnsi="Arial" w:cs="Arial"/>
        </w:rPr>
        <w:t xml:space="preserve">should </w:t>
      </w:r>
      <w:r w:rsidRPr="00812DD8">
        <w:rPr>
          <w:rFonts w:ascii="Arial" w:hAnsi="Arial" w:cs="Arial"/>
        </w:rPr>
        <w:t xml:space="preserve">continue to </w:t>
      </w:r>
      <w:r w:rsidR="00FE43D7">
        <w:rPr>
          <w:rFonts w:ascii="Arial" w:hAnsi="Arial" w:cs="Arial"/>
        </w:rPr>
        <w:t>advance</w:t>
      </w:r>
      <w:r w:rsidRPr="00812DD8">
        <w:rPr>
          <w:rFonts w:ascii="Arial" w:hAnsi="Arial" w:cs="Arial"/>
        </w:rPr>
        <w:t xml:space="preserve"> through </w:t>
      </w:r>
      <w:r w:rsidR="00812DD8" w:rsidRPr="00812DD8">
        <w:rPr>
          <w:rFonts w:ascii="Arial" w:hAnsi="Arial" w:cs="Arial"/>
        </w:rPr>
        <w:t xml:space="preserve">the </w:t>
      </w:r>
      <w:r w:rsidRPr="00812DD8">
        <w:rPr>
          <w:rFonts w:ascii="Arial" w:hAnsi="Arial" w:cs="Arial"/>
        </w:rPr>
        <w:t>ERCOT</w:t>
      </w:r>
      <w:r w:rsidR="00812DD8" w:rsidRPr="00812DD8">
        <w:rPr>
          <w:rFonts w:ascii="Arial" w:hAnsi="Arial" w:cs="Arial"/>
        </w:rPr>
        <w:t xml:space="preserve"> stakeholder process</w:t>
      </w:r>
      <w:r w:rsidRPr="00812DD8">
        <w:rPr>
          <w:rFonts w:ascii="Arial" w:hAnsi="Arial" w:cs="Arial"/>
        </w:rPr>
        <w:t xml:space="preserve"> with urgency to ensure that NPRR</w:t>
      </w:r>
      <w:r w:rsidR="00784904">
        <w:rPr>
          <w:rFonts w:ascii="Arial" w:hAnsi="Arial" w:cs="Arial"/>
        </w:rPr>
        <w:t xml:space="preserve"> 1340</w:t>
      </w:r>
      <w:r w:rsidRPr="00812DD8">
        <w:rPr>
          <w:rFonts w:ascii="Arial" w:hAnsi="Arial" w:cs="Arial"/>
        </w:rPr>
        <w:t xml:space="preserve"> is ready to be implemented in </w:t>
      </w:r>
      <w:r w:rsidR="00812DD8" w:rsidRPr="00812DD8">
        <w:rPr>
          <w:rFonts w:ascii="Arial" w:hAnsi="Arial" w:cs="Arial"/>
        </w:rPr>
        <w:t>tandem</w:t>
      </w:r>
      <w:r w:rsidRPr="00812DD8">
        <w:rPr>
          <w:rFonts w:ascii="Arial" w:hAnsi="Arial" w:cs="Arial"/>
        </w:rPr>
        <w:t xml:space="preserve"> with NPRR1309. </w:t>
      </w:r>
      <w:r w:rsidR="003D3E6A">
        <w:rPr>
          <w:rFonts w:ascii="Arial" w:hAnsi="Arial" w:cs="Arial"/>
        </w:rPr>
        <w:t xml:space="preserve">During the Public Utility Commission of Texas (PUCT) </w:t>
      </w:r>
      <w:r w:rsidR="00344AAF">
        <w:rPr>
          <w:rFonts w:ascii="Arial" w:hAnsi="Arial" w:cs="Arial"/>
        </w:rPr>
        <w:t>Open</w:t>
      </w:r>
      <w:r w:rsidR="003D3E6A">
        <w:rPr>
          <w:rFonts w:ascii="Arial" w:hAnsi="Arial" w:cs="Arial"/>
        </w:rPr>
        <w:t xml:space="preserve"> </w:t>
      </w:r>
      <w:r w:rsidR="00344AAF">
        <w:rPr>
          <w:rFonts w:ascii="Arial" w:hAnsi="Arial" w:cs="Arial"/>
        </w:rPr>
        <w:t>M</w:t>
      </w:r>
      <w:r w:rsidR="003D3E6A">
        <w:rPr>
          <w:rFonts w:ascii="Arial" w:hAnsi="Arial" w:cs="Arial"/>
        </w:rPr>
        <w:t>eeting on March 26, 2026, the Commission supported advancing ESR participatio</w:t>
      </w:r>
      <w:r w:rsidR="00344AAF">
        <w:rPr>
          <w:rFonts w:ascii="Arial" w:hAnsi="Arial" w:cs="Arial"/>
        </w:rPr>
        <w:t>n</w:t>
      </w:r>
      <w:r w:rsidR="003D3E6A">
        <w:rPr>
          <w:rFonts w:ascii="Arial" w:hAnsi="Arial" w:cs="Arial"/>
        </w:rPr>
        <w:t xml:space="preserve"> through a separate NPRR to enable ESR part</w:t>
      </w:r>
      <w:r w:rsidR="00344AAF">
        <w:rPr>
          <w:rFonts w:ascii="Arial" w:hAnsi="Arial" w:cs="Arial"/>
        </w:rPr>
        <w:t xml:space="preserve">icipation upon implementation of DRRS. Consistent with </w:t>
      </w:r>
      <w:r w:rsidR="00E03F82">
        <w:rPr>
          <w:rFonts w:ascii="Arial" w:hAnsi="Arial" w:cs="Arial"/>
        </w:rPr>
        <w:t>the Commission’s</w:t>
      </w:r>
      <w:r w:rsidR="00344AAF">
        <w:rPr>
          <w:rFonts w:ascii="Arial" w:hAnsi="Arial" w:cs="Arial"/>
        </w:rPr>
        <w:t xml:space="preserve"> approach, timely approval of NPRR 1340 is essential to ensure that eligible ESRs </w:t>
      </w:r>
      <w:proofErr w:type="gramStart"/>
      <w:r w:rsidR="00344AAF">
        <w:rPr>
          <w:rFonts w:ascii="Arial" w:hAnsi="Arial" w:cs="Arial"/>
        </w:rPr>
        <w:t>are able to</w:t>
      </w:r>
      <w:proofErr w:type="gramEnd"/>
      <w:r w:rsidR="00344AAF">
        <w:rPr>
          <w:rFonts w:ascii="Arial" w:hAnsi="Arial" w:cs="Arial"/>
        </w:rPr>
        <w:t xml:space="preserve"> participate in DRRS from the initial implementation of the new ancillary service, rather than through a subsequent implementation effort. </w:t>
      </w:r>
      <w:r w:rsidR="005A7D80">
        <w:rPr>
          <w:rFonts w:ascii="Arial" w:hAnsi="Arial" w:cs="Arial"/>
        </w:rPr>
        <w:t xml:space="preserve">Similarly, NPRR 1340 should continue to advance under the </w:t>
      </w:r>
      <w:r w:rsidR="005A7D80">
        <w:rPr>
          <w:rFonts w:ascii="Arial" w:hAnsi="Arial" w:cs="Arial"/>
        </w:rPr>
        <w:lastRenderedPageBreak/>
        <w:t xml:space="preserve">existing statutory framework without expanding the scope of DRRS beyond its four-hour product. As reflected in the Commission Staff Memorandum dated March 19, 2026, there is insufficient basis at this time to increase the duration requirement beyond the statutory minimum. Maintaining this approach will </w:t>
      </w:r>
      <w:r w:rsidR="00784904">
        <w:rPr>
          <w:rFonts w:ascii="Arial" w:hAnsi="Arial" w:cs="Arial"/>
        </w:rPr>
        <w:t xml:space="preserve">also </w:t>
      </w:r>
      <w:r w:rsidR="005A7D80">
        <w:rPr>
          <w:rFonts w:ascii="Arial" w:hAnsi="Arial" w:cs="Arial"/>
        </w:rPr>
        <w:t>ensure that consideration of a longer-duration product does not delay implementation or the timely inclusion of ESRs in DRRS.</w:t>
      </w:r>
    </w:p>
    <w:p w14:paraId="48337BF9" w14:textId="5FE43B3C" w:rsidR="00760F8A" w:rsidRPr="00760F8A" w:rsidRDefault="00760F8A" w:rsidP="00760F8A">
      <w:pPr>
        <w:pStyle w:val="NormalWeb"/>
        <w:spacing w:before="120" w:beforeAutospacing="0" w:after="0" w:afterAutospacing="0" w:line="259" w:lineRule="auto"/>
        <w:jc w:val="both"/>
        <w:rPr>
          <w:rFonts w:ascii="Arial" w:hAnsi="Arial" w:cs="Arial"/>
          <w:b/>
          <w:bCs/>
        </w:rPr>
      </w:pPr>
      <w:r w:rsidRPr="00760F8A">
        <w:rPr>
          <w:rFonts w:ascii="Arial" w:hAnsi="Arial" w:cs="Arial"/>
          <w:b/>
          <w:bCs/>
        </w:rPr>
        <w:t>Program Transparency and Procurement Methodology</w:t>
      </w:r>
    </w:p>
    <w:p w14:paraId="1E810072" w14:textId="463D8DE6" w:rsidR="00BC2ECE" w:rsidRDefault="00BC2ECE" w:rsidP="00202A54">
      <w:pPr>
        <w:pStyle w:val="NormalWeb"/>
        <w:spacing w:before="120" w:beforeAutospacing="0" w:after="120" w:afterAutospacing="0" w:line="259" w:lineRule="auto"/>
        <w:jc w:val="both"/>
        <w:rPr>
          <w:rFonts w:ascii="Arial" w:hAnsi="Arial" w:cs="Arial"/>
        </w:rPr>
      </w:pPr>
      <w:r>
        <w:rPr>
          <w:rFonts w:ascii="Arial" w:hAnsi="Arial" w:cs="Arial"/>
        </w:rPr>
        <w:t xml:space="preserve">Tesla </w:t>
      </w:r>
      <w:r w:rsidR="00BC1081">
        <w:rPr>
          <w:rFonts w:ascii="Arial" w:hAnsi="Arial" w:cs="Arial"/>
        </w:rPr>
        <w:t>encourages</w:t>
      </w:r>
      <w:r>
        <w:rPr>
          <w:rFonts w:ascii="Arial" w:hAnsi="Arial" w:cs="Arial"/>
        </w:rPr>
        <w:t xml:space="preserve"> ERCOT to provide</w:t>
      </w:r>
      <w:r w:rsidR="00BC1081">
        <w:rPr>
          <w:rFonts w:ascii="Arial" w:hAnsi="Arial" w:cs="Arial"/>
        </w:rPr>
        <w:t xml:space="preserve"> stakeholders with</w:t>
      </w:r>
      <w:r>
        <w:rPr>
          <w:rFonts w:ascii="Arial" w:hAnsi="Arial" w:cs="Arial"/>
        </w:rPr>
        <w:t xml:space="preserve"> transparency </w:t>
      </w:r>
      <w:r w:rsidR="00BC1081">
        <w:rPr>
          <w:rFonts w:ascii="Arial" w:hAnsi="Arial" w:cs="Arial"/>
        </w:rPr>
        <w:t xml:space="preserve">regarding </w:t>
      </w:r>
      <w:r>
        <w:rPr>
          <w:rFonts w:ascii="Arial" w:hAnsi="Arial" w:cs="Arial"/>
        </w:rPr>
        <w:t>the planned</w:t>
      </w:r>
      <w:r w:rsidR="00812DD8" w:rsidRPr="00812DD8">
        <w:rPr>
          <w:rFonts w:ascii="Arial" w:hAnsi="Arial" w:cs="Arial"/>
        </w:rPr>
        <w:t xml:space="preserve"> size of th</w:t>
      </w:r>
      <w:r w:rsidR="00BC1081">
        <w:rPr>
          <w:rFonts w:ascii="Arial" w:hAnsi="Arial" w:cs="Arial"/>
        </w:rPr>
        <w:t>e DRRS</w:t>
      </w:r>
      <w:r w:rsidR="00812DD8" w:rsidRPr="00812DD8">
        <w:rPr>
          <w:rFonts w:ascii="Arial" w:hAnsi="Arial" w:cs="Arial"/>
        </w:rPr>
        <w:t xml:space="preserve"> program. </w:t>
      </w:r>
      <w:r w:rsidR="00714286">
        <w:rPr>
          <w:rFonts w:ascii="Arial" w:hAnsi="Arial" w:cs="Arial"/>
        </w:rPr>
        <w:t xml:space="preserve">Key </w:t>
      </w:r>
      <w:r>
        <w:rPr>
          <w:rFonts w:ascii="Arial" w:hAnsi="Arial" w:cs="Arial"/>
        </w:rPr>
        <w:t>o</w:t>
      </w:r>
      <w:r w:rsidR="00812DD8" w:rsidRPr="00812DD8">
        <w:rPr>
          <w:rFonts w:ascii="Arial" w:hAnsi="Arial" w:cs="Arial"/>
        </w:rPr>
        <w:t xml:space="preserve">utstanding questions include </w:t>
      </w:r>
      <w:r>
        <w:rPr>
          <w:rFonts w:ascii="Arial" w:hAnsi="Arial" w:cs="Arial"/>
        </w:rPr>
        <w:t>the volume of</w:t>
      </w:r>
      <w:r w:rsidR="00812DD8" w:rsidRPr="00812DD8">
        <w:rPr>
          <w:rFonts w:ascii="Arial" w:hAnsi="Arial" w:cs="Arial"/>
        </w:rPr>
        <w:t xml:space="preserve"> </w:t>
      </w:r>
      <w:r>
        <w:rPr>
          <w:rFonts w:ascii="Arial" w:hAnsi="Arial" w:cs="Arial"/>
        </w:rPr>
        <w:t>DRRS</w:t>
      </w:r>
      <w:r w:rsidR="00812DD8" w:rsidRPr="00812DD8">
        <w:rPr>
          <w:rFonts w:ascii="Arial" w:hAnsi="Arial" w:cs="Arial"/>
        </w:rPr>
        <w:t xml:space="preserve"> ERCOT </w:t>
      </w:r>
      <w:r w:rsidR="00714286">
        <w:rPr>
          <w:rFonts w:ascii="Arial" w:hAnsi="Arial" w:cs="Arial"/>
        </w:rPr>
        <w:t>expects</w:t>
      </w:r>
      <w:r w:rsidR="00812DD8" w:rsidRPr="00812DD8">
        <w:rPr>
          <w:rFonts w:ascii="Arial" w:hAnsi="Arial" w:cs="Arial"/>
        </w:rPr>
        <w:t xml:space="preserve"> to procure</w:t>
      </w:r>
      <w:r>
        <w:rPr>
          <w:rFonts w:ascii="Arial" w:hAnsi="Arial" w:cs="Arial"/>
        </w:rPr>
        <w:t xml:space="preserve"> </w:t>
      </w:r>
      <w:r w:rsidR="00812DD8" w:rsidRPr="00812DD8">
        <w:rPr>
          <w:rFonts w:ascii="Arial" w:hAnsi="Arial" w:cs="Arial"/>
        </w:rPr>
        <w:t xml:space="preserve">and </w:t>
      </w:r>
      <w:r>
        <w:rPr>
          <w:rFonts w:ascii="Arial" w:hAnsi="Arial" w:cs="Arial"/>
        </w:rPr>
        <w:t>the</w:t>
      </w:r>
      <w:r w:rsidR="00812DD8" w:rsidRPr="00812DD8">
        <w:rPr>
          <w:rFonts w:ascii="Arial" w:hAnsi="Arial" w:cs="Arial"/>
        </w:rPr>
        <w:t xml:space="preserve"> methodology</w:t>
      </w:r>
      <w:r w:rsidR="00E03F82">
        <w:rPr>
          <w:rFonts w:ascii="Arial" w:hAnsi="Arial" w:cs="Arial"/>
        </w:rPr>
        <w:t xml:space="preserve"> and key planning </w:t>
      </w:r>
      <w:r w:rsidR="00714286">
        <w:rPr>
          <w:rFonts w:ascii="Arial" w:hAnsi="Arial" w:cs="Arial"/>
        </w:rPr>
        <w:t>assumptions that will inform procurement volumes.</w:t>
      </w:r>
      <w:r w:rsidR="00812DD8" w:rsidRPr="00812DD8">
        <w:rPr>
          <w:rFonts w:ascii="Arial" w:hAnsi="Arial" w:cs="Arial"/>
        </w:rPr>
        <w:t xml:space="preserve"> </w:t>
      </w:r>
      <w:r w:rsidR="00B96AE9">
        <w:rPr>
          <w:rFonts w:ascii="Arial" w:hAnsi="Arial" w:cs="Arial"/>
        </w:rPr>
        <w:t xml:space="preserve">Recognizing that these discussions are in the early stages, </w:t>
      </w:r>
      <w:r w:rsidR="00F27DD1">
        <w:rPr>
          <w:rFonts w:ascii="Arial" w:hAnsi="Arial" w:cs="Arial"/>
        </w:rPr>
        <w:t>T</w:t>
      </w:r>
      <w:r w:rsidR="00B96AE9">
        <w:rPr>
          <w:rFonts w:ascii="Arial" w:hAnsi="Arial" w:cs="Arial"/>
        </w:rPr>
        <w:t xml:space="preserve">esla encourages ERCOT to provide stakeholders with early visibility into the development approach. Early transparency will help market participants better understand the potential scale of the DRRS program and support investment planning for energy storage developers. </w:t>
      </w:r>
      <w:r>
        <w:rPr>
          <w:rFonts w:ascii="Arial" w:hAnsi="Arial" w:cs="Arial"/>
        </w:rPr>
        <w:t>It is in</w:t>
      </w:r>
      <w:r w:rsidR="00B96AE9">
        <w:rPr>
          <w:rFonts w:ascii="Arial" w:hAnsi="Arial" w:cs="Arial"/>
        </w:rPr>
        <w:t xml:space="preserve"> the best interest of</w:t>
      </w:r>
      <w:r>
        <w:rPr>
          <w:rFonts w:ascii="Arial" w:hAnsi="Arial" w:cs="Arial"/>
        </w:rPr>
        <w:t xml:space="preserve"> market participants for ERCOT’s procurement approach to be clearly communicated as the program design advances. </w:t>
      </w:r>
    </w:p>
    <w:p w14:paraId="042C61AC" w14:textId="29BB061D" w:rsidR="00812DD8" w:rsidRDefault="00C87DD0" w:rsidP="00202A54">
      <w:pPr>
        <w:pStyle w:val="NormalWeb"/>
        <w:spacing w:before="120" w:beforeAutospacing="0" w:after="120" w:afterAutospacing="0" w:line="259" w:lineRule="auto"/>
        <w:jc w:val="both"/>
        <w:rPr>
          <w:rFonts w:ascii="Arial" w:hAnsi="Arial" w:cs="Arial"/>
        </w:rPr>
      </w:pPr>
      <w:r>
        <w:rPr>
          <w:rFonts w:ascii="Arial" w:hAnsi="Arial" w:cs="Arial"/>
        </w:rPr>
        <w:t xml:space="preserve">Tesla appreciates ERCOT’s consideration of these comments and </w:t>
      </w:r>
      <w:r w:rsidR="00057784">
        <w:rPr>
          <w:rFonts w:ascii="Arial" w:hAnsi="Arial" w:cs="Arial"/>
        </w:rPr>
        <w:t>believes the recommendations outline</w:t>
      </w:r>
      <w:r w:rsidR="00F27DD1">
        <w:rPr>
          <w:rFonts w:ascii="Arial" w:hAnsi="Arial" w:cs="Arial"/>
        </w:rPr>
        <w:t>d</w:t>
      </w:r>
      <w:r w:rsidR="00057784">
        <w:rPr>
          <w:rFonts w:ascii="Arial" w:hAnsi="Arial" w:cs="Arial"/>
        </w:rPr>
        <w:t xml:space="preserve"> above will help ensure that eligible ESRs are able to participate in DRRS upon implementation of the new ancillary service while </w:t>
      </w:r>
      <w:r w:rsidR="00956E65">
        <w:rPr>
          <w:rFonts w:ascii="Arial" w:hAnsi="Arial" w:cs="Arial"/>
        </w:rPr>
        <w:t>advancing a more transparent and cost-effective approach to procuring reliability services.</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BD7258" w14:paraId="3C7E06ED" w14:textId="77777777" w:rsidTr="00B5080A">
        <w:trPr>
          <w:trHeight w:val="350"/>
        </w:trPr>
        <w:tc>
          <w:tcPr>
            <w:tcW w:w="10440" w:type="dxa"/>
            <w:tcBorders>
              <w:bottom w:val="single" w:sz="4" w:space="0" w:color="auto"/>
            </w:tcBorders>
            <w:shd w:val="clear" w:color="auto" w:fill="FFFFFF"/>
            <w:vAlign w:val="center"/>
          </w:tcPr>
          <w:p w14:paraId="18ADC2BC" w14:textId="3BE85DCA" w:rsidR="00BD7258" w:rsidRDefault="00BD7258" w:rsidP="00B5080A">
            <w:pPr>
              <w:pStyle w:val="Header"/>
              <w:jc w:val="center"/>
            </w:pPr>
            <w:r>
              <w:t>Revised Cover Page Language</w:t>
            </w:r>
          </w:p>
        </w:tc>
      </w:tr>
    </w:tbl>
    <w:p w14:paraId="4C7E1614" w14:textId="4CA7D018" w:rsidR="00EF1F5D" w:rsidRDefault="0030495A" w:rsidP="00451190">
      <w:pPr>
        <w:pStyle w:val="NormalArial"/>
        <w:spacing w:before="120" w:after="120"/>
      </w:pPr>
      <w: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2C30C5DF" w14:textId="77777777">
        <w:trPr>
          <w:trHeight w:val="350"/>
        </w:trPr>
        <w:tc>
          <w:tcPr>
            <w:tcW w:w="10440" w:type="dxa"/>
            <w:tcBorders>
              <w:bottom w:val="single" w:sz="4" w:space="0" w:color="auto"/>
            </w:tcBorders>
            <w:shd w:val="clear" w:color="auto" w:fill="FFFFFF"/>
            <w:vAlign w:val="center"/>
          </w:tcPr>
          <w:p w14:paraId="505CA36E" w14:textId="77777777" w:rsidR="00152993" w:rsidRDefault="00152993">
            <w:pPr>
              <w:pStyle w:val="Header"/>
              <w:jc w:val="center"/>
            </w:pPr>
            <w:r>
              <w:t>Revised Proposed Protocol Language</w:t>
            </w:r>
          </w:p>
        </w:tc>
      </w:tr>
    </w:tbl>
    <w:p w14:paraId="2089BFFA" w14:textId="303C90B9" w:rsidR="0063041F" w:rsidRDefault="00451190" w:rsidP="00B83454">
      <w:pPr>
        <w:pStyle w:val="NormalArial"/>
        <w:spacing w:before="120" w:after="120"/>
      </w:pPr>
      <w:r>
        <w:t>None</w:t>
      </w:r>
    </w:p>
    <w:sectPr w:rsidR="0063041F" w:rsidSect="0074209E">
      <w:headerReference w:type="default" r:id="rId11"/>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DC87" w14:textId="77777777" w:rsidR="005B017E" w:rsidRDefault="005B017E">
      <w:r>
        <w:separator/>
      </w:r>
    </w:p>
  </w:endnote>
  <w:endnote w:type="continuationSeparator" w:id="0">
    <w:p w14:paraId="6B5FE083" w14:textId="77777777" w:rsidR="005B017E" w:rsidRDefault="005B0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E61D4" w14:textId="735200BD" w:rsidR="00EE6681" w:rsidRDefault="00604512" w:rsidP="0074209E">
    <w:pPr>
      <w:pStyle w:val="Footer"/>
      <w:tabs>
        <w:tab w:val="clear" w:pos="4320"/>
        <w:tab w:val="clear" w:pos="8640"/>
        <w:tab w:val="right" w:pos="9360"/>
      </w:tabs>
      <w:rPr>
        <w:rFonts w:ascii="Arial" w:hAnsi="Arial"/>
        <w:sz w:val="18"/>
      </w:rPr>
    </w:pPr>
    <w:r>
      <w:rPr>
        <w:rFonts w:ascii="Arial" w:hAnsi="Arial"/>
        <w:sz w:val="18"/>
      </w:rPr>
      <w:fldChar w:fldCharType="begin"/>
    </w:r>
    <w:r>
      <w:rPr>
        <w:rFonts w:ascii="Arial" w:hAnsi="Arial"/>
        <w:sz w:val="18"/>
      </w:rPr>
      <w:instrText xml:space="preserve"> FILENAME   \* MERGEFORMAT </w:instrText>
    </w:r>
    <w:r>
      <w:rPr>
        <w:rFonts w:ascii="Arial" w:hAnsi="Arial"/>
        <w:sz w:val="18"/>
      </w:rPr>
      <w:fldChar w:fldCharType="separate"/>
    </w:r>
    <w:r w:rsidR="00451190">
      <w:rPr>
        <w:rFonts w:ascii="Arial" w:hAnsi="Arial"/>
        <w:noProof/>
        <w:sz w:val="18"/>
      </w:rPr>
      <w:t>1340NPRR-09 Tesla Comments 072126</w:t>
    </w:r>
    <w:r>
      <w:rPr>
        <w:rFonts w:ascii="Arial" w:hAnsi="Arial"/>
        <w:sz w:val="18"/>
      </w:rPr>
      <w:fldChar w:fldCharType="end"/>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Pr>
        <w:rFonts w:ascii="Arial" w:hAnsi="Arial"/>
        <w:noProof/>
        <w:sz w:val="18"/>
      </w:rPr>
      <w:t>1</w:t>
    </w:r>
    <w:r w:rsidR="00EE6681">
      <w:rPr>
        <w:rFonts w:ascii="Arial" w:hAnsi="Arial"/>
        <w:sz w:val="18"/>
      </w:rPr>
      <w:fldChar w:fldCharType="end"/>
    </w:r>
  </w:p>
  <w:p w14:paraId="56FA19BD"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59660" w14:textId="77777777" w:rsidR="005B017E" w:rsidRDefault="005B017E">
      <w:r>
        <w:separator/>
      </w:r>
    </w:p>
  </w:footnote>
  <w:footnote w:type="continuationSeparator" w:id="0">
    <w:p w14:paraId="44F87505" w14:textId="77777777" w:rsidR="005B017E" w:rsidRDefault="005B0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758C" w14:textId="77777777" w:rsidR="00EE6681" w:rsidRDefault="00EE6681">
    <w:pPr>
      <w:pStyle w:val="Header"/>
      <w:jc w:val="center"/>
      <w:rPr>
        <w:sz w:val="32"/>
      </w:rPr>
    </w:pPr>
    <w:r>
      <w:rPr>
        <w:sz w:val="32"/>
      </w:rPr>
      <w:t>NPRR Comments</w:t>
    </w:r>
  </w:p>
  <w:p w14:paraId="62486C05" w14:textId="77777777" w:rsidR="00EE6681" w:rsidRDefault="00EE6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5CA278A"/>
    <w:multiLevelType w:val="hybridMultilevel"/>
    <w:tmpl w:val="10A86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37064"/>
    <w:multiLevelType w:val="hybridMultilevel"/>
    <w:tmpl w:val="D40EB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161655335">
    <w:abstractNumId w:val="0"/>
  </w:num>
  <w:num w:numId="2" w16cid:durableId="1384518674">
    <w:abstractNumId w:val="3"/>
  </w:num>
  <w:num w:numId="3" w16cid:durableId="1490905916">
    <w:abstractNumId w:val="2"/>
  </w:num>
  <w:num w:numId="4" w16cid:durableId="1618176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150AD"/>
    <w:rsid w:val="00037668"/>
    <w:rsid w:val="00045721"/>
    <w:rsid w:val="00057784"/>
    <w:rsid w:val="00075A94"/>
    <w:rsid w:val="00095EF6"/>
    <w:rsid w:val="000C0EA0"/>
    <w:rsid w:val="000C18AF"/>
    <w:rsid w:val="000D24D5"/>
    <w:rsid w:val="000E6BCE"/>
    <w:rsid w:val="00101BA1"/>
    <w:rsid w:val="001130FC"/>
    <w:rsid w:val="00132855"/>
    <w:rsid w:val="00136346"/>
    <w:rsid w:val="00152993"/>
    <w:rsid w:val="00170297"/>
    <w:rsid w:val="00192572"/>
    <w:rsid w:val="001A227D"/>
    <w:rsid w:val="001B36F5"/>
    <w:rsid w:val="001B49A4"/>
    <w:rsid w:val="001E2032"/>
    <w:rsid w:val="001E430A"/>
    <w:rsid w:val="00202A54"/>
    <w:rsid w:val="00214FF2"/>
    <w:rsid w:val="002470D5"/>
    <w:rsid w:val="002852D5"/>
    <w:rsid w:val="002A2DA2"/>
    <w:rsid w:val="002B2897"/>
    <w:rsid w:val="003010C0"/>
    <w:rsid w:val="0030495A"/>
    <w:rsid w:val="003102E5"/>
    <w:rsid w:val="0031219F"/>
    <w:rsid w:val="003154A2"/>
    <w:rsid w:val="00323102"/>
    <w:rsid w:val="00332A97"/>
    <w:rsid w:val="00344AAF"/>
    <w:rsid w:val="00350C00"/>
    <w:rsid w:val="00350E50"/>
    <w:rsid w:val="003573D6"/>
    <w:rsid w:val="00366113"/>
    <w:rsid w:val="00385123"/>
    <w:rsid w:val="00385738"/>
    <w:rsid w:val="003B58EC"/>
    <w:rsid w:val="003C26AC"/>
    <w:rsid w:val="003C270C"/>
    <w:rsid w:val="003D0994"/>
    <w:rsid w:val="003D3E6A"/>
    <w:rsid w:val="003E4C48"/>
    <w:rsid w:val="00423824"/>
    <w:rsid w:val="0043567D"/>
    <w:rsid w:val="00442159"/>
    <w:rsid w:val="00451190"/>
    <w:rsid w:val="00466A3C"/>
    <w:rsid w:val="0048416A"/>
    <w:rsid w:val="004951AA"/>
    <w:rsid w:val="00496A08"/>
    <w:rsid w:val="004B6C6C"/>
    <w:rsid w:val="004B7B90"/>
    <w:rsid w:val="004E2C19"/>
    <w:rsid w:val="00521F39"/>
    <w:rsid w:val="00533A56"/>
    <w:rsid w:val="0054263D"/>
    <w:rsid w:val="00576BA9"/>
    <w:rsid w:val="005A7D80"/>
    <w:rsid w:val="005B017E"/>
    <w:rsid w:val="005D284C"/>
    <w:rsid w:val="005E447E"/>
    <w:rsid w:val="00604512"/>
    <w:rsid w:val="0062204B"/>
    <w:rsid w:val="006262BC"/>
    <w:rsid w:val="0063041F"/>
    <w:rsid w:val="00632412"/>
    <w:rsid w:val="00633E23"/>
    <w:rsid w:val="0063469A"/>
    <w:rsid w:val="00657F2C"/>
    <w:rsid w:val="00670751"/>
    <w:rsid w:val="00673B94"/>
    <w:rsid w:val="00680AC6"/>
    <w:rsid w:val="006835D8"/>
    <w:rsid w:val="00694555"/>
    <w:rsid w:val="006B3392"/>
    <w:rsid w:val="006C2DF9"/>
    <w:rsid w:val="006C316E"/>
    <w:rsid w:val="006D0F7C"/>
    <w:rsid w:val="006D3B5E"/>
    <w:rsid w:val="006E6273"/>
    <w:rsid w:val="00714286"/>
    <w:rsid w:val="007269C4"/>
    <w:rsid w:val="0074209E"/>
    <w:rsid w:val="00747AC6"/>
    <w:rsid w:val="0075700B"/>
    <w:rsid w:val="00760F8A"/>
    <w:rsid w:val="007723E2"/>
    <w:rsid w:val="00784904"/>
    <w:rsid w:val="0079394F"/>
    <w:rsid w:val="007C6211"/>
    <w:rsid w:val="007E00CE"/>
    <w:rsid w:val="007F2CA8"/>
    <w:rsid w:val="007F7161"/>
    <w:rsid w:val="00812DD8"/>
    <w:rsid w:val="008329F8"/>
    <w:rsid w:val="0085559E"/>
    <w:rsid w:val="008771BC"/>
    <w:rsid w:val="00896B1B"/>
    <w:rsid w:val="008B612F"/>
    <w:rsid w:val="008B62DB"/>
    <w:rsid w:val="008E3026"/>
    <w:rsid w:val="008E559E"/>
    <w:rsid w:val="00916080"/>
    <w:rsid w:val="00921A68"/>
    <w:rsid w:val="00951B36"/>
    <w:rsid w:val="00956E65"/>
    <w:rsid w:val="0098526B"/>
    <w:rsid w:val="009B1101"/>
    <w:rsid w:val="009E24C9"/>
    <w:rsid w:val="009E3FBD"/>
    <w:rsid w:val="00A015C4"/>
    <w:rsid w:val="00A15172"/>
    <w:rsid w:val="00A15CB7"/>
    <w:rsid w:val="00A22C36"/>
    <w:rsid w:val="00A5425F"/>
    <w:rsid w:val="00A80905"/>
    <w:rsid w:val="00AA1839"/>
    <w:rsid w:val="00AD1357"/>
    <w:rsid w:val="00B20345"/>
    <w:rsid w:val="00B25FE0"/>
    <w:rsid w:val="00B37B16"/>
    <w:rsid w:val="00B427F9"/>
    <w:rsid w:val="00B47C93"/>
    <w:rsid w:val="00B5080A"/>
    <w:rsid w:val="00B6650D"/>
    <w:rsid w:val="00B83454"/>
    <w:rsid w:val="00B93538"/>
    <w:rsid w:val="00B943AE"/>
    <w:rsid w:val="00B96AE9"/>
    <w:rsid w:val="00BB5628"/>
    <w:rsid w:val="00BC1081"/>
    <w:rsid w:val="00BC2ECE"/>
    <w:rsid w:val="00BD1A5E"/>
    <w:rsid w:val="00BD7258"/>
    <w:rsid w:val="00BE0DF2"/>
    <w:rsid w:val="00C04E94"/>
    <w:rsid w:val="00C0598D"/>
    <w:rsid w:val="00C11956"/>
    <w:rsid w:val="00C22429"/>
    <w:rsid w:val="00C57FB5"/>
    <w:rsid w:val="00C602E5"/>
    <w:rsid w:val="00C748FD"/>
    <w:rsid w:val="00C82185"/>
    <w:rsid w:val="00C87DD0"/>
    <w:rsid w:val="00CA371A"/>
    <w:rsid w:val="00D4046E"/>
    <w:rsid w:val="00D421EB"/>
    <w:rsid w:val="00D4362F"/>
    <w:rsid w:val="00D60FD8"/>
    <w:rsid w:val="00DD4739"/>
    <w:rsid w:val="00DE5F33"/>
    <w:rsid w:val="00E03F82"/>
    <w:rsid w:val="00E07B54"/>
    <w:rsid w:val="00E11F78"/>
    <w:rsid w:val="00E40035"/>
    <w:rsid w:val="00E41D86"/>
    <w:rsid w:val="00E621E1"/>
    <w:rsid w:val="00E678D9"/>
    <w:rsid w:val="00E86F46"/>
    <w:rsid w:val="00EB2BCA"/>
    <w:rsid w:val="00EC350C"/>
    <w:rsid w:val="00EC55B3"/>
    <w:rsid w:val="00EC5E0B"/>
    <w:rsid w:val="00EE6681"/>
    <w:rsid w:val="00EF1F5D"/>
    <w:rsid w:val="00EF5529"/>
    <w:rsid w:val="00F11290"/>
    <w:rsid w:val="00F27DD1"/>
    <w:rsid w:val="00F43DE0"/>
    <w:rsid w:val="00F82BD4"/>
    <w:rsid w:val="00F96FB2"/>
    <w:rsid w:val="00FB51D8"/>
    <w:rsid w:val="00FD08E8"/>
    <w:rsid w:val="00FE43D7"/>
    <w:rsid w:val="02E909F0"/>
    <w:rsid w:val="0579B569"/>
    <w:rsid w:val="08AABD15"/>
    <w:rsid w:val="0FA6ABBC"/>
    <w:rsid w:val="0FFCC63A"/>
    <w:rsid w:val="151CFE6E"/>
    <w:rsid w:val="17ED123A"/>
    <w:rsid w:val="1981FF2E"/>
    <w:rsid w:val="1AC22607"/>
    <w:rsid w:val="1E222D1C"/>
    <w:rsid w:val="20FA05F6"/>
    <w:rsid w:val="2340729F"/>
    <w:rsid w:val="2554FC0E"/>
    <w:rsid w:val="25816F80"/>
    <w:rsid w:val="25D48936"/>
    <w:rsid w:val="26C75348"/>
    <w:rsid w:val="29ABE0EF"/>
    <w:rsid w:val="2B5B05BF"/>
    <w:rsid w:val="2BD4C5A3"/>
    <w:rsid w:val="2D1D6425"/>
    <w:rsid w:val="30553845"/>
    <w:rsid w:val="30C36423"/>
    <w:rsid w:val="31E7B61D"/>
    <w:rsid w:val="31F491A1"/>
    <w:rsid w:val="32ACA52F"/>
    <w:rsid w:val="3EA7CACF"/>
    <w:rsid w:val="3F7363CB"/>
    <w:rsid w:val="46031A1C"/>
    <w:rsid w:val="480D9A65"/>
    <w:rsid w:val="4B8A6FAE"/>
    <w:rsid w:val="4C53B80A"/>
    <w:rsid w:val="4D6CC101"/>
    <w:rsid w:val="4F92208A"/>
    <w:rsid w:val="5200102D"/>
    <w:rsid w:val="5232F558"/>
    <w:rsid w:val="52E5CE77"/>
    <w:rsid w:val="572C108F"/>
    <w:rsid w:val="5778C160"/>
    <w:rsid w:val="5840D11A"/>
    <w:rsid w:val="5A2DFEBC"/>
    <w:rsid w:val="5A3B8F03"/>
    <w:rsid w:val="5D28C84B"/>
    <w:rsid w:val="5DB45C92"/>
    <w:rsid w:val="60774455"/>
    <w:rsid w:val="60A45565"/>
    <w:rsid w:val="61289359"/>
    <w:rsid w:val="6383353D"/>
    <w:rsid w:val="678755FB"/>
    <w:rsid w:val="67A1E4C5"/>
    <w:rsid w:val="68BFE7CA"/>
    <w:rsid w:val="6D1914D9"/>
    <w:rsid w:val="7387BE38"/>
    <w:rsid w:val="7811CD40"/>
    <w:rsid w:val="782F418C"/>
    <w:rsid w:val="7AA77A76"/>
    <w:rsid w:val="7BB3F351"/>
    <w:rsid w:val="7BC65475"/>
    <w:rsid w:val="7BE2A98E"/>
    <w:rsid w:val="7EC12E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AB924E"/>
  <w15:chartTrackingRefBased/>
  <w15:docId w15:val="{4FB913FC-A5EE-4AE7-A0CE-F6F943A1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3102"/>
    <w:rPr>
      <w:sz w:val="24"/>
      <w:szCs w:val="24"/>
      <w:lang w:eastAsia="en-US"/>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rPr>
      <w:lang w:eastAsia="en-US"/>
    </w:r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paragraph" w:styleId="NormalWeb">
    <w:name w:val="Normal (Web)"/>
    <w:basedOn w:val="Normal"/>
    <w:uiPriority w:val="99"/>
    <w:unhideWhenUsed/>
    <w:rsid w:val="0075700B"/>
    <w:pPr>
      <w:spacing w:before="100" w:beforeAutospacing="1" w:after="100" w:afterAutospacing="1"/>
    </w:pPr>
  </w:style>
  <w:style w:type="character" w:styleId="UnresolvedMention">
    <w:name w:val="Unresolved Mention"/>
    <w:uiPriority w:val="99"/>
    <w:semiHidden/>
    <w:unhideWhenUsed/>
    <w:rsid w:val="009E24C9"/>
    <w:rPr>
      <w:color w:val="605E5C"/>
      <w:shd w:val="clear" w:color="auto" w:fill="E1DFDD"/>
    </w:rPr>
  </w:style>
  <w:style w:type="paragraph" w:styleId="Revision">
    <w:name w:val="Revision"/>
    <w:hidden/>
    <w:uiPriority w:val="99"/>
    <w:semiHidden/>
    <w:rsid w:val="00747AC6"/>
    <w:rPr>
      <w:sz w:val="24"/>
      <w:szCs w:val="24"/>
      <w:lang w:eastAsia="en-US"/>
    </w:rPr>
  </w:style>
  <w:style w:type="character" w:customStyle="1" w:styleId="HeaderChar">
    <w:name w:val="Header Char"/>
    <w:basedOn w:val="DefaultParagraphFont"/>
    <w:link w:val="Header"/>
    <w:rsid w:val="00323102"/>
    <w:rPr>
      <w:rFonts w:ascii="Arial" w:hAnsi="Arial"/>
      <w:b/>
      <w:bCs/>
      <w:sz w:val="24"/>
      <w:szCs w:val="24"/>
      <w:lang w:eastAsia="en-US"/>
    </w:rPr>
  </w:style>
  <w:style w:type="character" w:styleId="Strong">
    <w:name w:val="Strong"/>
    <w:basedOn w:val="DefaultParagraphFont"/>
    <w:uiPriority w:val="22"/>
    <w:qFormat/>
    <w:rsid w:val="000C18AF"/>
    <w:rPr>
      <w:b/>
      <w:bCs/>
    </w:rPr>
  </w:style>
  <w:style w:type="paragraph" w:styleId="List">
    <w:name w:val="List"/>
    <w:aliases w:val=" Char2 Char Char Char Char, Char2 Char"/>
    <w:basedOn w:val="Normal"/>
    <w:link w:val="ListChar"/>
    <w:rsid w:val="00101BA1"/>
    <w:pPr>
      <w:spacing w:after="240"/>
      <w:ind w:left="720" w:hanging="720"/>
    </w:pPr>
    <w:rPr>
      <w:szCs w:val="20"/>
    </w:rPr>
  </w:style>
  <w:style w:type="character" w:customStyle="1" w:styleId="ListChar">
    <w:name w:val="List Char"/>
    <w:aliases w:val=" Char2 Char Char Char Char Char, Char2 Char Char"/>
    <w:link w:val="List"/>
    <w:rsid w:val="00101BA1"/>
    <w:rPr>
      <w:sz w:val="24"/>
      <w:lang w:eastAsia="en-US"/>
    </w:rPr>
  </w:style>
  <w:style w:type="character" w:customStyle="1" w:styleId="NormalArialChar">
    <w:name w:val="Normal+Arial Char"/>
    <w:link w:val="NormalArial"/>
    <w:rsid w:val="00EF1F5D"/>
    <w:rPr>
      <w:rFonts w:ascii="Arial" w:hAnsi="Arial"/>
      <w:sz w:val="24"/>
      <w:szCs w:val="24"/>
      <w:lang w:eastAsia="en-US"/>
    </w:rPr>
  </w:style>
  <w:style w:type="paragraph" w:customStyle="1" w:styleId="H4">
    <w:name w:val="H4"/>
    <w:basedOn w:val="Heading4"/>
    <w:next w:val="BodyText"/>
    <w:link w:val="H4Char"/>
    <w:rsid w:val="00EF5529"/>
    <w:pPr>
      <w:numPr>
        <w:ilvl w:val="0"/>
        <w:numId w:val="0"/>
      </w:numPr>
      <w:tabs>
        <w:tab w:val="left" w:pos="1260"/>
      </w:tabs>
      <w:spacing w:before="240"/>
      <w:ind w:left="1260" w:hanging="1260"/>
    </w:pPr>
  </w:style>
  <w:style w:type="character" w:customStyle="1" w:styleId="H4Char">
    <w:name w:val="H4 Char"/>
    <w:link w:val="H4"/>
    <w:rsid w:val="00EF5529"/>
    <w:rPr>
      <w:b/>
      <w:bCs/>
      <w:snapToGrid w:val="0"/>
      <w:sz w:val="24"/>
      <w:lang w:eastAsia="en-US"/>
    </w:rPr>
  </w:style>
  <w:style w:type="paragraph" w:customStyle="1" w:styleId="p1">
    <w:name w:val="p1"/>
    <w:basedOn w:val="Normal"/>
    <w:rsid w:val="003E4C48"/>
    <w:rPr>
      <w:rFonts w:ascii="Courier" w:hAnsi="Courier"/>
      <w:color w:val="000000"/>
      <w:sz w:val="15"/>
      <w:szCs w:val="15"/>
    </w:rPr>
  </w:style>
  <w:style w:type="character" w:customStyle="1" w:styleId="s1">
    <w:name w:val="s1"/>
    <w:basedOn w:val="DefaultParagraphFont"/>
    <w:rsid w:val="003E4C48"/>
    <w:rPr>
      <w:rFonts w:ascii="Courier" w:hAnsi="Courier" w:hint="default"/>
      <w:sz w:val="15"/>
      <w:szCs w:val="15"/>
    </w:rPr>
  </w:style>
  <w:style w:type="paragraph" w:customStyle="1" w:styleId="p2">
    <w:name w:val="p2"/>
    <w:basedOn w:val="Normal"/>
    <w:rsid w:val="003E4C48"/>
    <w:rPr>
      <w:rFonts w:ascii="Helvetica" w:hAnsi="Helvetica"/>
      <w:color w:val="000000"/>
      <w:sz w:val="19"/>
      <w:szCs w:val="19"/>
    </w:rPr>
  </w:style>
  <w:style w:type="character" w:customStyle="1" w:styleId="s3">
    <w:name w:val="s3"/>
    <w:basedOn w:val="DefaultParagraphFont"/>
    <w:rsid w:val="003E4C48"/>
    <w:rPr>
      <w:rFonts w:ascii="Courier" w:hAnsi="Courier" w:hint="default"/>
      <w:sz w:val="15"/>
      <w:szCs w:val="15"/>
    </w:rPr>
  </w:style>
  <w:style w:type="character" w:customStyle="1" w:styleId="s4">
    <w:name w:val="s4"/>
    <w:basedOn w:val="DefaultParagraphFont"/>
    <w:rsid w:val="003E4C48"/>
    <w:rPr>
      <w:rFonts w:ascii="Courier" w:hAnsi="Courier" w:hint="default"/>
      <w:sz w:val="14"/>
      <w:szCs w:val="14"/>
    </w:rPr>
  </w:style>
  <w:style w:type="paragraph" w:customStyle="1" w:styleId="p3">
    <w:name w:val="p3"/>
    <w:basedOn w:val="Normal"/>
    <w:rsid w:val="003E4C48"/>
    <w:rPr>
      <w:rFonts w:ascii="Arial" w:hAnsi="Arial" w:cs="Arial"/>
      <w:color w:val="000000"/>
      <w:sz w:val="17"/>
      <w:szCs w:val="17"/>
    </w:rPr>
  </w:style>
  <w:style w:type="character" w:customStyle="1" w:styleId="s2">
    <w:name w:val="s2"/>
    <w:basedOn w:val="DefaultParagraphFont"/>
    <w:rsid w:val="003E4C48"/>
    <w:rPr>
      <w:rFonts w:ascii="Arial" w:hAnsi="Arial" w:cs="Arial" w:hint="default"/>
      <w:sz w:val="17"/>
      <w:szCs w:val="17"/>
    </w:rPr>
  </w:style>
  <w:style w:type="character" w:customStyle="1" w:styleId="s5">
    <w:name w:val="s5"/>
    <w:basedOn w:val="DefaultParagraphFont"/>
    <w:rsid w:val="003E4C48"/>
    <w:rPr>
      <w:rFonts w:ascii="Arial" w:hAnsi="Arial" w:cs="Arial" w:hint="default"/>
      <w:sz w:val="17"/>
      <w:szCs w:val="17"/>
    </w:rPr>
  </w:style>
  <w:style w:type="character" w:customStyle="1" w:styleId="s6">
    <w:name w:val="s6"/>
    <w:basedOn w:val="DefaultParagraphFont"/>
    <w:rsid w:val="003E4C48"/>
    <w:rPr>
      <w:rFonts w:ascii="Arial" w:hAnsi="Arial" w:cs="Arial" w:hint="default"/>
      <w:sz w:val="16"/>
      <w:szCs w:val="16"/>
    </w:rPr>
  </w:style>
  <w:style w:type="character" w:customStyle="1" w:styleId="s7">
    <w:name w:val="s7"/>
    <w:basedOn w:val="DefaultParagraphFont"/>
    <w:rsid w:val="003E4C48"/>
    <w:rPr>
      <w:rFonts w:ascii="Arial" w:hAnsi="Arial" w:cs="Arial" w:hint="default"/>
      <w:sz w:val="15"/>
      <w:szCs w:val="15"/>
    </w:rPr>
  </w:style>
  <w:style w:type="character" w:customStyle="1" w:styleId="s8">
    <w:name w:val="s8"/>
    <w:basedOn w:val="DefaultParagraphFont"/>
    <w:rsid w:val="003E4C48"/>
    <w:rPr>
      <w:rFonts w:ascii="Arial" w:hAnsi="Arial" w:cs="Arial" w:hint="default"/>
      <w:sz w:val="16"/>
      <w:szCs w:val="16"/>
    </w:rPr>
  </w:style>
  <w:style w:type="character" w:customStyle="1" w:styleId="s9">
    <w:name w:val="s9"/>
    <w:basedOn w:val="DefaultParagraphFont"/>
    <w:rsid w:val="003E4C48"/>
    <w:rPr>
      <w:rFonts w:ascii="Arial" w:hAnsi="Arial" w:cs="Arial" w:hint="default"/>
      <w:sz w:val="16"/>
      <w:szCs w:val="16"/>
    </w:rPr>
  </w:style>
  <w:style w:type="character" w:customStyle="1" w:styleId="s10">
    <w:name w:val="s10"/>
    <w:basedOn w:val="DefaultParagraphFont"/>
    <w:rsid w:val="003E4C48"/>
    <w:rPr>
      <w:rFonts w:ascii="Arial" w:hAnsi="Arial" w:cs="Arial" w:hint="default"/>
      <w:sz w:val="18"/>
      <w:szCs w:val="18"/>
    </w:rPr>
  </w:style>
  <w:style w:type="character" w:customStyle="1" w:styleId="s11">
    <w:name w:val="s11"/>
    <w:basedOn w:val="DefaultParagraphFont"/>
    <w:rsid w:val="003E4C48"/>
    <w:rPr>
      <w:rFonts w:ascii="Arial" w:hAnsi="Arial" w:cs="Arial" w:hint="default"/>
      <w:sz w:val="17"/>
      <w:szCs w:val="17"/>
    </w:rPr>
  </w:style>
  <w:style w:type="character" w:customStyle="1" w:styleId="s12">
    <w:name w:val="s12"/>
    <w:basedOn w:val="DefaultParagraphFont"/>
    <w:rsid w:val="003E4C48"/>
    <w:rPr>
      <w:rFonts w:ascii="Arial" w:hAnsi="Arial" w:cs="Arial" w:hint="default"/>
      <w:sz w:val="17"/>
      <w:szCs w:val="17"/>
    </w:rPr>
  </w:style>
  <w:style w:type="character" w:customStyle="1" w:styleId="s13">
    <w:name w:val="s13"/>
    <w:basedOn w:val="DefaultParagraphFont"/>
    <w:rsid w:val="003E4C48"/>
    <w:rPr>
      <w:rFonts w:ascii="Arial" w:hAnsi="Arial" w:cs="Arial" w:hint="default"/>
      <w:sz w:val="15"/>
      <w:szCs w:val="15"/>
    </w:rPr>
  </w:style>
  <w:style w:type="character" w:customStyle="1" w:styleId="s14">
    <w:name w:val="s14"/>
    <w:basedOn w:val="DefaultParagraphFont"/>
    <w:rsid w:val="003E4C48"/>
    <w:rPr>
      <w:rFonts w:ascii="Arial" w:hAnsi="Arial" w:cs="Arial" w:hint="default"/>
      <w:sz w:val="18"/>
      <w:szCs w:val="18"/>
    </w:rPr>
  </w:style>
  <w:style w:type="character" w:customStyle="1" w:styleId="s15">
    <w:name w:val="s15"/>
    <w:basedOn w:val="DefaultParagraphFont"/>
    <w:rsid w:val="003E4C48"/>
    <w:rPr>
      <w:rFonts w:ascii="Arial" w:hAnsi="Arial" w:cs="Arial"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nitsharma@tesla.com" TargetMode="External"/><Relationship Id="rId4" Type="http://schemas.openxmlformats.org/officeDocument/2006/relationships/styles" Target="styles.xml"/><Relationship Id="rId9" Type="http://schemas.openxmlformats.org/officeDocument/2006/relationships/hyperlink" Target="https://www.ercot.com/mktrules/issues/NPRR13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2A9CB798961440A109882571769110" ma:contentTypeVersion="3" ma:contentTypeDescription="Create a new document." ma:contentTypeScope="" ma:versionID="e25a33d12f62706d07a6c4cf1cd71485">
  <xsd:schema xmlns:xsd="http://www.w3.org/2001/XMLSchema" xmlns:xs="http://www.w3.org/2001/XMLSchema" xmlns:p="http://schemas.microsoft.com/office/2006/metadata/properties" xmlns:ns2="fd9cd378-c451-449f-8857-5d42b51d8de5" targetNamespace="http://schemas.microsoft.com/office/2006/metadata/properties" ma:root="true" ma:fieldsID="70abbcebaeb80bbeedbf0532abc11c7f" ns2:_="">
    <xsd:import namespace="fd9cd378-c451-449f-8857-5d42b51d8de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9cd378-c451-449f-8857-5d42b51d8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6FC47C-1E34-4701-89A4-1C440E2854F2}">
  <ds:schemaRefs>
    <ds:schemaRef ds:uri="http://schemas.microsoft.com/sharepoint/v3/contenttype/forms"/>
  </ds:schemaRefs>
</ds:datastoreItem>
</file>

<file path=customXml/itemProps2.xml><?xml version="1.0" encoding="utf-8"?>
<ds:datastoreItem xmlns:ds="http://schemas.openxmlformats.org/officeDocument/2006/customXml" ds:itemID="{B8946345-9C65-4429-B6C3-875320F6B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9cd378-c451-449f-8857-5d42b51d8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536</Words>
  <Characters>3282</Characters>
  <Application>Microsoft Office Word</Application>
  <DocSecurity>0</DocSecurity>
  <Lines>78</Lines>
  <Paragraphs>36</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C Phillips</cp:lastModifiedBy>
  <cp:revision>3</cp:revision>
  <cp:lastPrinted>2001-06-20T18:28:00Z</cp:lastPrinted>
  <dcterms:created xsi:type="dcterms:W3CDTF">2026-07-21T20:58:00Z</dcterms:created>
  <dcterms:modified xsi:type="dcterms:W3CDTF">2026-07-21T20:59:00Z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d06e56-1756-4005-87f1-1edc72dd4bdf_Enabled">
    <vt:lpwstr>true</vt:lpwstr>
  </property>
  <property fmtid="{D5CDD505-2E9C-101B-9397-08002B2CF9AE}" pid="3" name="MSIP_Label_52d06e56-1756-4005-87f1-1edc72dd4bdf_SetDate">
    <vt:lpwstr>2026-03-04T16:45:24Z</vt:lpwstr>
  </property>
  <property fmtid="{D5CDD505-2E9C-101B-9397-08002B2CF9AE}" pid="4" name="MSIP_Label_52d06e56-1756-4005-87f1-1edc72dd4bdf_Method">
    <vt:lpwstr>Standard</vt:lpwstr>
  </property>
  <property fmtid="{D5CDD505-2E9C-101B-9397-08002B2CF9AE}" pid="5" name="MSIP_Label_52d06e56-1756-4005-87f1-1edc72dd4bdf_Name">
    <vt:lpwstr>General</vt:lpwstr>
  </property>
  <property fmtid="{D5CDD505-2E9C-101B-9397-08002B2CF9AE}" pid="6" name="MSIP_Label_52d06e56-1756-4005-87f1-1edc72dd4bdf_SiteId">
    <vt:lpwstr>9026c5f4-86d0-4b9f-bd39-b7d4d0fb4674</vt:lpwstr>
  </property>
  <property fmtid="{D5CDD505-2E9C-101B-9397-08002B2CF9AE}" pid="7" name="MSIP_Label_52d06e56-1756-4005-87f1-1edc72dd4bdf_ActionId">
    <vt:lpwstr>dd08b6fa-ca9f-4387-a1a6-83d4890fa7a5</vt:lpwstr>
  </property>
  <property fmtid="{D5CDD505-2E9C-101B-9397-08002B2CF9AE}" pid="8" name="MSIP_Label_52d06e56-1756-4005-87f1-1edc72dd4bdf_ContentBits">
    <vt:lpwstr>0</vt:lpwstr>
  </property>
  <property fmtid="{D5CDD505-2E9C-101B-9397-08002B2CF9AE}" pid="9" name="MSIP_Label_52d06e56-1756-4005-87f1-1edc72dd4bdf_Tag">
    <vt:lpwstr>10, 3, 0, 2</vt:lpwstr>
  </property>
  <property fmtid="{D5CDD505-2E9C-101B-9397-08002B2CF9AE}" pid="10" name="MSIP_Label_7084cbda-52b8-46fb-a7b7-cb5bd465ed85_Enabled">
    <vt:lpwstr>true</vt:lpwstr>
  </property>
  <property fmtid="{D5CDD505-2E9C-101B-9397-08002B2CF9AE}" pid="11" name="MSIP_Label_7084cbda-52b8-46fb-a7b7-cb5bd465ed85_SetDate">
    <vt:lpwstr>2026-03-05T19:25:29Z</vt:lpwstr>
  </property>
  <property fmtid="{D5CDD505-2E9C-101B-9397-08002B2CF9AE}" pid="12" name="MSIP_Label_7084cbda-52b8-46fb-a7b7-cb5bd465ed85_Method">
    <vt:lpwstr>Standard</vt:lpwstr>
  </property>
  <property fmtid="{D5CDD505-2E9C-101B-9397-08002B2CF9AE}" pid="13" name="MSIP_Label_7084cbda-52b8-46fb-a7b7-cb5bd465ed85_Name">
    <vt:lpwstr>Internal</vt:lpwstr>
  </property>
  <property fmtid="{D5CDD505-2E9C-101B-9397-08002B2CF9AE}" pid="14" name="MSIP_Label_7084cbda-52b8-46fb-a7b7-cb5bd465ed85_SiteId">
    <vt:lpwstr>0afb747d-bff7-4596-a9fc-950ef9e0ec45</vt:lpwstr>
  </property>
  <property fmtid="{D5CDD505-2E9C-101B-9397-08002B2CF9AE}" pid="15" name="MSIP_Label_7084cbda-52b8-46fb-a7b7-cb5bd465ed85_ActionId">
    <vt:lpwstr>0c7eb11f-3f53-45fe-9b1b-e56f4b7e28f4</vt:lpwstr>
  </property>
  <property fmtid="{D5CDD505-2E9C-101B-9397-08002B2CF9AE}" pid="16" name="MSIP_Label_7084cbda-52b8-46fb-a7b7-cb5bd465ed85_ContentBits">
    <vt:lpwstr>0</vt:lpwstr>
  </property>
  <property fmtid="{D5CDD505-2E9C-101B-9397-08002B2CF9AE}" pid="17" name="MSIP_Label_7084cbda-52b8-46fb-a7b7-cb5bd465ed85_Tag">
    <vt:lpwstr>10, 3, 0, 1</vt:lpwstr>
  </property>
</Properties>
</file>