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40"/>
        <w:gridCol w:w="6120"/>
      </w:tblGrid>
      <w:tr w:rsidR="00152993" w14:paraId="0559E031" w14:textId="77777777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59E02D" w14:textId="77777777" w:rsidR="00152993" w:rsidRDefault="00170E84" w:rsidP="00991EFE">
            <w:pPr>
              <w:pStyle w:val="Header"/>
              <w:spacing w:before="120" w:after="120"/>
              <w:rPr>
                <w:rFonts w:ascii="Verdana" w:hAnsi="Verdana"/>
                <w:sz w:val="22"/>
              </w:rPr>
            </w:pPr>
            <w:r>
              <w:t>P</w:t>
            </w:r>
            <w:r w:rsidR="00C158EE">
              <w:t xml:space="preserve">GRR </w:t>
            </w:r>
            <w:r w:rsidR="00152993">
              <w:t>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559E02E" w14:textId="77777777" w:rsidR="00152993" w:rsidRDefault="00CD015E" w:rsidP="00991EFE">
            <w:pPr>
              <w:pStyle w:val="Header"/>
              <w:spacing w:before="120" w:after="120"/>
              <w:jc w:val="center"/>
            </w:pPr>
            <w:hyperlink r:id="rId10" w:history="1">
              <w:r w:rsidRPr="00A90837">
                <w:rPr>
                  <w:rStyle w:val="Hyperlink"/>
                </w:rPr>
                <w:t>147</w:t>
              </w:r>
            </w:hyperlink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59E02F" w14:textId="77777777" w:rsidR="00152993" w:rsidRDefault="00170E84" w:rsidP="00991EFE">
            <w:pPr>
              <w:pStyle w:val="Header"/>
              <w:spacing w:before="120" w:after="120"/>
            </w:pPr>
            <w:r>
              <w:t>P</w:t>
            </w:r>
            <w:r w:rsidR="00C158EE">
              <w:t xml:space="preserve">GRR </w:t>
            </w:r>
            <w:r w:rsidR="00152993">
              <w:t>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0559E030" w14:textId="77777777" w:rsidR="00152993" w:rsidRDefault="00CD015E" w:rsidP="00991EFE">
            <w:pPr>
              <w:pStyle w:val="Header"/>
              <w:spacing w:before="120" w:after="120"/>
            </w:pPr>
            <w:r>
              <w:t>Allowable Non-Consequential Load Loss Alignment</w:t>
            </w:r>
          </w:p>
        </w:tc>
      </w:tr>
    </w:tbl>
    <w:p w14:paraId="0559E033" w14:textId="77777777" w:rsidR="002771E6" w:rsidRDefault="002771E6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152993" w14:paraId="0559E036" w14:textId="77777777">
        <w:trPr>
          <w:trHeight w:val="4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E034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E035" w14:textId="60C34882" w:rsidR="00152993" w:rsidRDefault="009577E1">
            <w:pPr>
              <w:pStyle w:val="NormalArial"/>
            </w:pPr>
            <w:r>
              <w:t>July 14, 2026</w:t>
            </w:r>
          </w:p>
        </w:tc>
      </w:tr>
    </w:tbl>
    <w:p w14:paraId="0559E038" w14:textId="77777777" w:rsidR="002771E6" w:rsidRDefault="002771E6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152993" w14:paraId="0559E03A" w14:textId="77777777">
        <w:trPr>
          <w:trHeight w:val="440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59E039" w14:textId="77777777" w:rsidR="00152993" w:rsidRDefault="00152993">
            <w:pPr>
              <w:pStyle w:val="Header"/>
              <w:jc w:val="center"/>
            </w:pPr>
            <w:r>
              <w:t>Submitter’s Information</w:t>
            </w:r>
          </w:p>
        </w:tc>
      </w:tr>
      <w:tr w:rsidR="00152993" w14:paraId="0559E03D" w14:textId="77777777">
        <w:trPr>
          <w:trHeight w:val="350"/>
        </w:trPr>
        <w:tc>
          <w:tcPr>
            <w:tcW w:w="2880" w:type="dxa"/>
            <w:shd w:val="clear" w:color="auto" w:fill="FFFFFF"/>
            <w:vAlign w:val="center"/>
          </w:tcPr>
          <w:p w14:paraId="0559E03B" w14:textId="77777777" w:rsidR="00152993" w:rsidRPr="00EC55B3" w:rsidRDefault="00152993" w:rsidP="00EC55B3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vAlign w:val="center"/>
          </w:tcPr>
          <w:p w14:paraId="0559E03C" w14:textId="565829BE" w:rsidR="00152993" w:rsidRDefault="009577E1">
            <w:pPr>
              <w:pStyle w:val="NormalArial"/>
            </w:pPr>
            <w:r>
              <w:t>Blake Holt</w:t>
            </w:r>
            <w:r w:rsidR="00991EFE">
              <w:t>;</w:t>
            </w:r>
            <w:r>
              <w:t xml:space="preserve"> Dylan Preas</w:t>
            </w:r>
          </w:p>
        </w:tc>
      </w:tr>
      <w:tr w:rsidR="00152993" w14:paraId="0559E040" w14:textId="77777777">
        <w:trPr>
          <w:trHeight w:val="350"/>
        </w:trPr>
        <w:tc>
          <w:tcPr>
            <w:tcW w:w="2880" w:type="dxa"/>
            <w:shd w:val="clear" w:color="auto" w:fill="FFFFFF"/>
            <w:vAlign w:val="center"/>
          </w:tcPr>
          <w:p w14:paraId="0559E03E" w14:textId="77777777" w:rsidR="00152993" w:rsidRPr="00EC55B3" w:rsidRDefault="00152993" w:rsidP="00EC55B3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vAlign w:val="center"/>
          </w:tcPr>
          <w:p w14:paraId="0559E03F" w14:textId="637A2387" w:rsidR="00152993" w:rsidRDefault="009577E1">
            <w:pPr>
              <w:pStyle w:val="NormalArial"/>
            </w:pPr>
            <w:hyperlink r:id="rId11" w:history="1">
              <w:r w:rsidRPr="001216B8">
                <w:rPr>
                  <w:rStyle w:val="Hyperlink"/>
                </w:rPr>
                <w:t>blake.holt@lcra.org</w:t>
              </w:r>
            </w:hyperlink>
            <w:r w:rsidR="00991EFE">
              <w:t>;</w:t>
            </w:r>
            <w:r>
              <w:t xml:space="preserve"> </w:t>
            </w:r>
            <w:hyperlink r:id="rId12" w:history="1">
              <w:r w:rsidRPr="001216B8">
                <w:rPr>
                  <w:rStyle w:val="Hyperlink"/>
                </w:rPr>
                <w:t>dylan.preas@lcra.org</w:t>
              </w:r>
            </w:hyperlink>
          </w:p>
        </w:tc>
      </w:tr>
      <w:tr w:rsidR="00152993" w14:paraId="0559E043" w14:textId="77777777">
        <w:trPr>
          <w:trHeight w:val="350"/>
        </w:trPr>
        <w:tc>
          <w:tcPr>
            <w:tcW w:w="2880" w:type="dxa"/>
            <w:shd w:val="clear" w:color="auto" w:fill="FFFFFF"/>
            <w:vAlign w:val="center"/>
          </w:tcPr>
          <w:p w14:paraId="0559E041" w14:textId="77777777" w:rsidR="00152993" w:rsidRPr="00EC55B3" w:rsidRDefault="00152993" w:rsidP="00EC55B3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vAlign w:val="center"/>
          </w:tcPr>
          <w:p w14:paraId="0559E042" w14:textId="19AB082A" w:rsidR="00152993" w:rsidRDefault="009577E1">
            <w:pPr>
              <w:pStyle w:val="NormalArial"/>
            </w:pPr>
            <w:r>
              <w:t>Lower Colorado River Authority (LCRA)</w:t>
            </w:r>
          </w:p>
        </w:tc>
      </w:tr>
      <w:tr w:rsidR="00152993" w14:paraId="0559E046" w14:textId="77777777">
        <w:trPr>
          <w:trHeight w:val="350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59E044" w14:textId="77777777" w:rsidR="00152993" w:rsidRPr="00EC55B3" w:rsidRDefault="00152993" w:rsidP="00EC55B3">
            <w:pPr>
              <w:pStyle w:val="Header"/>
            </w:pPr>
            <w:r w:rsidRPr="00EC55B3"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0559E045" w14:textId="0E76126A" w:rsidR="00152993" w:rsidRDefault="009577E1">
            <w:pPr>
              <w:pStyle w:val="NormalArial"/>
            </w:pPr>
            <w:r>
              <w:t xml:space="preserve">512-578-2003, </w:t>
            </w:r>
            <w:r w:rsidR="00FA1D28">
              <w:t>512-578-4514</w:t>
            </w:r>
          </w:p>
        </w:tc>
      </w:tr>
      <w:tr w:rsidR="00152993" w14:paraId="0559E049" w14:textId="77777777">
        <w:trPr>
          <w:trHeight w:val="350"/>
        </w:trPr>
        <w:tc>
          <w:tcPr>
            <w:tcW w:w="2880" w:type="dxa"/>
            <w:shd w:val="clear" w:color="auto" w:fill="FFFFFF"/>
            <w:vAlign w:val="center"/>
          </w:tcPr>
          <w:p w14:paraId="0559E047" w14:textId="77777777" w:rsidR="00152993" w:rsidRPr="00EC55B3" w:rsidRDefault="00075A94" w:rsidP="00EC55B3">
            <w:pPr>
              <w:pStyle w:val="Header"/>
            </w:pPr>
            <w:r>
              <w:t>Cell</w:t>
            </w:r>
            <w:r w:rsidRPr="00EC55B3">
              <w:t xml:space="preserve"> </w:t>
            </w:r>
            <w:r w:rsidR="00152993" w:rsidRPr="00EC55B3">
              <w:t>Number</w:t>
            </w:r>
          </w:p>
        </w:tc>
        <w:tc>
          <w:tcPr>
            <w:tcW w:w="7560" w:type="dxa"/>
            <w:vAlign w:val="center"/>
          </w:tcPr>
          <w:p w14:paraId="0559E048" w14:textId="77777777" w:rsidR="00152993" w:rsidRDefault="00152993">
            <w:pPr>
              <w:pStyle w:val="NormalArial"/>
            </w:pPr>
          </w:p>
        </w:tc>
      </w:tr>
      <w:tr w:rsidR="00075A94" w14:paraId="0559E04C" w14:textId="77777777">
        <w:trPr>
          <w:trHeight w:val="350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59E04A" w14:textId="77777777" w:rsidR="00075A94" w:rsidRPr="00EC55B3" w:rsidDel="00075A94" w:rsidRDefault="00075A94" w:rsidP="00EC55B3">
            <w:pPr>
              <w:pStyle w:val="Header"/>
            </w:pPr>
            <w: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0559E04B" w14:textId="6401440B" w:rsidR="00075A94" w:rsidRDefault="00FA1D28">
            <w:pPr>
              <w:pStyle w:val="NormalArial"/>
            </w:pPr>
            <w:r>
              <w:t>Cooperative</w:t>
            </w:r>
          </w:p>
        </w:tc>
      </w:tr>
    </w:tbl>
    <w:p w14:paraId="0559E04E" w14:textId="77777777" w:rsidR="00075A94" w:rsidRDefault="00075A94">
      <w:pPr>
        <w:pStyle w:val="NormalArial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075A94" w:rsidRPr="00F038EC" w14:paraId="0559E050" w14:textId="77777777" w:rsidTr="00F038EC">
        <w:trPr>
          <w:trHeight w:val="422"/>
          <w:jc w:val="center"/>
        </w:trPr>
        <w:tc>
          <w:tcPr>
            <w:tcW w:w="10440" w:type="dxa"/>
            <w:vAlign w:val="center"/>
          </w:tcPr>
          <w:p w14:paraId="0559E04F" w14:textId="77777777" w:rsidR="00075A94" w:rsidRPr="00075A94" w:rsidRDefault="00075A94" w:rsidP="00F038EC">
            <w:pPr>
              <w:pStyle w:val="Header"/>
              <w:jc w:val="center"/>
            </w:pPr>
            <w:r w:rsidRPr="00075A94">
              <w:t>Comments</w:t>
            </w:r>
          </w:p>
        </w:tc>
      </w:tr>
    </w:tbl>
    <w:p w14:paraId="0559E053" w14:textId="0F464A5F" w:rsidR="00357183" w:rsidRDefault="00CD015E" w:rsidP="00991EFE">
      <w:pPr>
        <w:pStyle w:val="NormalArial"/>
        <w:spacing w:before="120" w:after="120"/>
      </w:pPr>
      <w:r>
        <w:t xml:space="preserve">LCRA appreciates the opportunity to file comments </w:t>
      </w:r>
      <w:r w:rsidR="00795D7A">
        <w:t xml:space="preserve">on </w:t>
      </w:r>
      <w:r>
        <w:t xml:space="preserve">Planning Guide Revision Request (PGRR) 147. </w:t>
      </w:r>
      <w:r w:rsidR="00F23BB0">
        <w:t>This PGRR seeks to undo longstanding</w:t>
      </w:r>
      <w:r w:rsidR="00724C9E">
        <w:t xml:space="preserve"> and well-vetted</w:t>
      </w:r>
      <w:r w:rsidR="00F23BB0">
        <w:t xml:space="preserve"> requirements and is a step backwards from where ERCOT is today.</w:t>
      </w:r>
    </w:p>
    <w:p w14:paraId="0559E059" w14:textId="63D2D8C4" w:rsidR="00357183" w:rsidRDefault="00B1138C" w:rsidP="00991EFE">
      <w:pPr>
        <w:pStyle w:val="NormalArial"/>
        <w:spacing w:before="120" w:after="120"/>
      </w:pPr>
      <w:r>
        <w:t>North American Electric Reliability (</w:t>
      </w:r>
      <w:r w:rsidR="00761F87">
        <w:t>NERC</w:t>
      </w:r>
      <w:r>
        <w:t>)</w:t>
      </w:r>
      <w:r w:rsidR="00761F87">
        <w:t xml:space="preserve"> Reliability Standards serve as the floor for system performance and </w:t>
      </w:r>
      <w:r w:rsidR="00E0223F">
        <w:t xml:space="preserve">notably </w:t>
      </w:r>
      <w:r w:rsidR="00761F87">
        <w:t xml:space="preserve">don’t take into account any distinct regional needs.  ERCOT has a long history of appropriately identifying necessary enhancements </w:t>
      </w:r>
      <w:r w:rsidR="00E36237">
        <w:t xml:space="preserve">that go </w:t>
      </w:r>
      <w:r w:rsidR="00761F87">
        <w:t xml:space="preserve">above and beyond the base NERC </w:t>
      </w:r>
      <w:r w:rsidR="008E3A86">
        <w:t xml:space="preserve">Transmission Planning </w:t>
      </w:r>
      <w:r>
        <w:t>Performance R</w:t>
      </w:r>
      <w:r w:rsidR="00761F87">
        <w:t>equirements.  These enhancements improve service reliability and resiliency in the ERCOT region and have been developed and refined via the collaborative stakeholder process.</w:t>
      </w:r>
      <w:r w:rsidR="00AA6525">
        <w:t xml:space="preserve"> </w:t>
      </w:r>
      <w:r w:rsidR="00357183">
        <w:t xml:space="preserve">To </w:t>
      </w:r>
      <w:r w:rsidR="00761F87">
        <w:t>elaborate further</w:t>
      </w:r>
      <w:r w:rsidR="00357183">
        <w:t xml:space="preserve">, ERCOT can </w:t>
      </w:r>
      <w:r w:rsidR="00761F87">
        <w:t xml:space="preserve">– and should – </w:t>
      </w:r>
      <w:r w:rsidR="00357183">
        <w:t xml:space="preserve">include Planning Guide criteria that are more stringent than what is provided in the NERC Reliability Standards when </w:t>
      </w:r>
      <w:r w:rsidR="00761F87">
        <w:t>regional needs are identified and</w:t>
      </w:r>
      <w:r w:rsidR="00DF2686">
        <w:t xml:space="preserve"> the application of the </w:t>
      </w:r>
      <w:r w:rsidR="00723108">
        <w:t>criteria</w:t>
      </w:r>
      <w:r w:rsidR="00357183">
        <w:t xml:space="preserve"> improves</w:t>
      </w:r>
      <w:r w:rsidR="00723108">
        <w:t xml:space="preserve"> the</w:t>
      </w:r>
      <w:r w:rsidR="00357183">
        <w:t xml:space="preserve"> reliability </w:t>
      </w:r>
      <w:r w:rsidR="006511A6">
        <w:t>of</w:t>
      </w:r>
      <w:r w:rsidR="00357183">
        <w:t xml:space="preserve"> </w:t>
      </w:r>
      <w:r w:rsidR="00891BB3">
        <w:t xml:space="preserve">the </w:t>
      </w:r>
      <w:r w:rsidR="00357183">
        <w:t xml:space="preserve">transmission </w:t>
      </w:r>
      <w:r w:rsidR="00891BB3">
        <w:t>system</w:t>
      </w:r>
      <w:r w:rsidR="00761F87">
        <w:t xml:space="preserve">. In this </w:t>
      </w:r>
      <w:r w:rsidR="00357183">
        <w:t>specific</w:t>
      </w:r>
      <w:r w:rsidR="00761F87">
        <w:t xml:space="preserve"> case,</w:t>
      </w:r>
      <w:r w:rsidR="00357183">
        <w:t xml:space="preserve"> the criteria </w:t>
      </w:r>
      <w:r w:rsidR="006127A6">
        <w:t>reduce</w:t>
      </w:r>
      <w:r w:rsidR="00357183">
        <w:t xml:space="preserve"> </w:t>
      </w:r>
      <w:r>
        <w:t>L</w:t>
      </w:r>
      <w:r w:rsidR="00357183">
        <w:t>oad</w:t>
      </w:r>
      <w:r w:rsidR="006127A6">
        <w:t xml:space="preserve"> loss</w:t>
      </w:r>
      <w:r w:rsidR="00357183">
        <w:t xml:space="preserve"> during periods of extended outages and </w:t>
      </w:r>
      <w:r w:rsidR="006127A6">
        <w:t xml:space="preserve">under </w:t>
      </w:r>
      <w:r w:rsidR="00357183">
        <w:t>maintenance outage conditions.</w:t>
      </w:r>
    </w:p>
    <w:p w14:paraId="0559E05D" w14:textId="696A3F90" w:rsidR="00357183" w:rsidRDefault="00357183" w:rsidP="00991EFE">
      <w:pPr>
        <w:pStyle w:val="NormalArial"/>
        <w:spacing w:before="120" w:after="120"/>
      </w:pPr>
      <w:r>
        <w:t xml:space="preserve">To </w:t>
      </w:r>
      <w:r w:rsidR="003618B5">
        <w:t xml:space="preserve">aid the discussion, it </w:t>
      </w:r>
      <w:r w:rsidR="00D847D5">
        <w:t>is</w:t>
      </w:r>
      <w:r w:rsidR="003618B5">
        <w:t xml:space="preserve"> helpful to </w:t>
      </w:r>
      <w:r w:rsidR="00891BB3">
        <w:t>have</w:t>
      </w:r>
      <w:r w:rsidR="003618B5">
        <w:t xml:space="preserve"> a mutual understanding of the term “</w:t>
      </w:r>
      <w:r w:rsidR="000F7734">
        <w:t>N</w:t>
      </w:r>
      <w:r w:rsidR="003618B5">
        <w:t>on-</w:t>
      </w:r>
      <w:r w:rsidR="000F7734">
        <w:t>C</w:t>
      </w:r>
      <w:r w:rsidR="003618B5">
        <w:t xml:space="preserve">onsequential </w:t>
      </w:r>
      <w:r w:rsidR="000F7734">
        <w:t>L</w:t>
      </w:r>
      <w:r w:rsidR="003618B5">
        <w:t xml:space="preserve">oad </w:t>
      </w:r>
      <w:r w:rsidR="000F7734">
        <w:t>L</w:t>
      </w:r>
      <w:r w:rsidR="003618B5">
        <w:t xml:space="preserve">oss” as defined by NERC. </w:t>
      </w:r>
      <w:r w:rsidR="000F7734">
        <w:t xml:space="preserve"> NERC defines Non-Consequential Load Loss as </w:t>
      </w:r>
      <w:r w:rsidR="00B1138C">
        <w:t>N</w:t>
      </w:r>
      <w:r w:rsidR="000F7734" w:rsidRPr="000F7734">
        <w:t xml:space="preserve">on-Interruptible Load loss that does not include: (1) Consequential Load Loss, (2) the response of voltage sensitive Load, or (3) Load that is disconnected from the </w:t>
      </w:r>
      <w:r w:rsidR="00C362AA">
        <w:t>s</w:t>
      </w:r>
      <w:r w:rsidR="00C362AA" w:rsidRPr="000F7734">
        <w:t xml:space="preserve">ystem </w:t>
      </w:r>
      <w:r w:rsidR="000F7734" w:rsidRPr="000F7734">
        <w:t>by end-user equipment.</w:t>
      </w:r>
      <w:r w:rsidR="000F7734">
        <w:t xml:space="preserve"> To provide</w:t>
      </w:r>
      <w:r w:rsidR="00536FBF">
        <w:t xml:space="preserve"> further</w:t>
      </w:r>
      <w:r w:rsidR="000F7734">
        <w:t xml:space="preserve"> context, NERC defin</w:t>
      </w:r>
      <w:r w:rsidR="00416B86">
        <w:t>es</w:t>
      </w:r>
      <w:r w:rsidR="000F7734">
        <w:t xml:space="preserve"> “Consequential Load Loss” </w:t>
      </w:r>
      <w:r w:rsidR="00416B86">
        <w:t>as</w:t>
      </w:r>
      <w:r w:rsidR="00416B86" w:rsidRPr="000F7734">
        <w:rPr>
          <w:rFonts w:cs="Arial"/>
          <w:color w:val="374151"/>
          <w:spacing w:val="3"/>
        </w:rPr>
        <w:t xml:space="preserve"> </w:t>
      </w:r>
      <w:r w:rsidR="000F7734">
        <w:t>a</w:t>
      </w:r>
      <w:r w:rsidR="000F7734" w:rsidRPr="000F7734">
        <w:t xml:space="preserve">ll Load that is no longer served by the </w:t>
      </w:r>
      <w:r w:rsidR="006D0415">
        <w:t>t</w:t>
      </w:r>
      <w:r w:rsidR="006D0415" w:rsidRPr="000F7734">
        <w:t xml:space="preserve">ransmission </w:t>
      </w:r>
      <w:r w:rsidR="000F7734" w:rsidRPr="000F7734">
        <w:t xml:space="preserve">system as a result of Transmission Facilities being removed from service by a </w:t>
      </w:r>
      <w:r w:rsidR="00A15976">
        <w:t>p</w:t>
      </w:r>
      <w:r w:rsidR="000F7734" w:rsidRPr="000F7734">
        <w:t xml:space="preserve">rotection </w:t>
      </w:r>
      <w:r w:rsidR="00A15976">
        <w:t>s</w:t>
      </w:r>
      <w:r w:rsidR="000F7734" w:rsidRPr="000F7734">
        <w:t>ystem operation designed to isolate the fault.</w:t>
      </w:r>
      <w:r w:rsidR="009D28DB">
        <w:t xml:space="preserve"> </w:t>
      </w:r>
      <w:r w:rsidR="000F7734">
        <w:t xml:space="preserve">To provide a simplified understanding of what these terms mean; </w:t>
      </w:r>
      <w:r w:rsidR="006D6A30">
        <w:t xml:space="preserve">consequential </w:t>
      </w:r>
      <w:r w:rsidR="00B1138C">
        <w:t>L</w:t>
      </w:r>
      <w:r w:rsidR="006D6A30">
        <w:t xml:space="preserve">oad loss is </w:t>
      </w:r>
      <w:r w:rsidR="00B24DF0">
        <w:t>L</w:t>
      </w:r>
      <w:r w:rsidR="006D6A30">
        <w:t xml:space="preserve">oad that is </w:t>
      </w:r>
      <w:r w:rsidR="00416B86">
        <w:t>disconnected</w:t>
      </w:r>
      <w:r w:rsidR="006D6A30">
        <w:t xml:space="preserve"> due to a protection system that is clearing a fault</w:t>
      </w:r>
      <w:r w:rsidR="009A4DB6">
        <w:t xml:space="preserve">. An example of this </w:t>
      </w:r>
      <w:r w:rsidR="00BE110B">
        <w:t>would be</w:t>
      </w:r>
      <w:r w:rsidR="009A4DB6">
        <w:t xml:space="preserve"> a</w:t>
      </w:r>
      <w:r w:rsidR="006D6A30">
        <w:t xml:space="preserve"> radially connected </w:t>
      </w:r>
      <w:r w:rsidR="00B24DF0">
        <w:t>L</w:t>
      </w:r>
      <w:r w:rsidR="006D6A30">
        <w:t xml:space="preserve">oad that is tapped to a line, where the </w:t>
      </w:r>
      <w:r w:rsidR="00B24DF0">
        <w:t>L</w:t>
      </w:r>
      <w:r w:rsidR="006D6A30">
        <w:t xml:space="preserve">oad is lost when the line trips due to a fault.  Non-consequential </w:t>
      </w:r>
      <w:r w:rsidR="00B24DF0">
        <w:t>L</w:t>
      </w:r>
      <w:r w:rsidR="006D6A30">
        <w:t xml:space="preserve">oad loss </w:t>
      </w:r>
      <w:r w:rsidR="00416B86">
        <w:t>is</w:t>
      </w:r>
      <w:r w:rsidR="006D6A30">
        <w:t xml:space="preserve"> </w:t>
      </w:r>
      <w:r w:rsidR="00B24DF0">
        <w:t>L</w:t>
      </w:r>
      <w:r w:rsidR="006D6A30">
        <w:t xml:space="preserve">oad that is </w:t>
      </w:r>
      <w:r w:rsidR="00416B86">
        <w:t xml:space="preserve">intentionally </w:t>
      </w:r>
      <w:r w:rsidR="00416B86">
        <w:lastRenderedPageBreak/>
        <w:t xml:space="preserve">interrupted, or </w:t>
      </w:r>
      <w:r w:rsidR="006D6A30">
        <w:t xml:space="preserve">shed, by a system operator </w:t>
      </w:r>
      <w:r w:rsidR="00416B86">
        <w:t xml:space="preserve">or automated </w:t>
      </w:r>
      <w:r w:rsidR="00B24DF0">
        <w:t>L</w:t>
      </w:r>
      <w:r w:rsidR="00416B86">
        <w:t>oad shedding program (</w:t>
      </w:r>
      <w:r w:rsidR="00755FBB">
        <w:t>i.e</w:t>
      </w:r>
      <w:r w:rsidR="00416B86">
        <w:t xml:space="preserve">., </w:t>
      </w:r>
      <w:r w:rsidR="00B24DF0">
        <w:t>u</w:t>
      </w:r>
      <w:r w:rsidR="009D29D6">
        <w:t>nder</w:t>
      </w:r>
      <w:r w:rsidR="006A1B96">
        <w:t>-</w:t>
      </w:r>
      <w:r w:rsidR="00B24DF0">
        <w:t>f</w:t>
      </w:r>
      <w:r w:rsidR="009D29D6">
        <w:t xml:space="preserve">requency </w:t>
      </w:r>
      <w:r w:rsidR="00416B86">
        <w:t>L</w:t>
      </w:r>
      <w:r w:rsidR="009D29D6">
        <w:t xml:space="preserve">oad </w:t>
      </w:r>
      <w:r w:rsidR="00B24DF0">
        <w:t>s</w:t>
      </w:r>
      <w:r w:rsidR="009D29D6">
        <w:t>hed</w:t>
      </w:r>
      <w:r w:rsidR="00A31EC7">
        <w:t>ding</w:t>
      </w:r>
      <w:r w:rsidR="00416B86">
        <w:t xml:space="preserve">) </w:t>
      </w:r>
      <w:r w:rsidR="006D6A30">
        <w:t xml:space="preserve">in response to a system event.  A broader definition of non-consequential </w:t>
      </w:r>
      <w:r w:rsidR="00CF0040">
        <w:t>L</w:t>
      </w:r>
      <w:r w:rsidR="006D6A30">
        <w:t xml:space="preserve">oad loss is </w:t>
      </w:r>
      <w:r w:rsidR="00CF0040">
        <w:t>L</w:t>
      </w:r>
      <w:r w:rsidR="006D6A30">
        <w:t xml:space="preserve">oad that is taken out of service </w:t>
      </w:r>
      <w:proofErr w:type="gramStart"/>
      <w:r w:rsidR="006D6A30">
        <w:t>in order to</w:t>
      </w:r>
      <w:proofErr w:type="gramEnd"/>
      <w:r w:rsidR="006D6A30">
        <w:t xml:space="preserve"> maintain system reliability.  </w:t>
      </w:r>
    </w:p>
    <w:p w14:paraId="0559E05F" w14:textId="274BBF5C" w:rsidR="00B31920" w:rsidRDefault="00952893" w:rsidP="00991EFE">
      <w:pPr>
        <w:pStyle w:val="NormalArial"/>
        <w:spacing w:before="120" w:after="120"/>
      </w:pPr>
      <w:r>
        <w:t>The ERCOT Planning Guide Section 4</w:t>
      </w:r>
      <w:r w:rsidR="00034036">
        <w:t>,</w:t>
      </w:r>
      <w:r>
        <w:t xml:space="preserve"> Transmission Planning Criteria</w:t>
      </w:r>
      <w:r w:rsidR="00034036">
        <w:t>,</w:t>
      </w:r>
      <w:r>
        <w:t xml:space="preserve"> protects</w:t>
      </w:r>
      <w:r w:rsidR="006127A6">
        <w:t xml:space="preserve"> </w:t>
      </w:r>
      <w:r w:rsidR="00CF0040">
        <w:t>L</w:t>
      </w:r>
      <w:r w:rsidR="006127A6">
        <w:t>oad from</w:t>
      </w:r>
      <w:r w:rsidR="00891BB3">
        <w:t xml:space="preserve"> non-consequential</w:t>
      </w:r>
      <w:r>
        <w:t xml:space="preserve"> </w:t>
      </w:r>
      <w:r w:rsidR="00CF0040">
        <w:t>L</w:t>
      </w:r>
      <w:r>
        <w:t>oad</w:t>
      </w:r>
      <w:r w:rsidR="006127A6">
        <w:t xml:space="preserve"> loss</w:t>
      </w:r>
      <w:r>
        <w:t xml:space="preserve"> in two ways. The ERCOT planning event 3 (often referred to </w:t>
      </w:r>
      <w:r w:rsidR="00EB4DE6">
        <w:t>as “</w:t>
      </w:r>
      <w:r>
        <w:t>ERCOT3</w:t>
      </w:r>
      <w:r w:rsidR="00EB4DE6">
        <w:t>”</w:t>
      </w:r>
      <w:r>
        <w:t xml:space="preserve">) does not allow non-consequential </w:t>
      </w:r>
      <w:r w:rsidR="009D5B74">
        <w:t>L</w:t>
      </w:r>
      <w:r>
        <w:t xml:space="preserve">oad loss due to the unavailability of extra high-voltage autotransformers followed by </w:t>
      </w:r>
      <w:r w:rsidR="007F2697">
        <w:t xml:space="preserve">a defined contingency event.  </w:t>
      </w:r>
      <w:r w:rsidR="00B31920">
        <w:t>This criterion</w:t>
      </w:r>
      <w:r w:rsidR="007F2697">
        <w:t xml:space="preserve"> is important to maintain grid reliability while keeping </w:t>
      </w:r>
      <w:r w:rsidR="009D5B74">
        <w:t>L</w:t>
      </w:r>
      <w:r w:rsidR="007F2697">
        <w:t xml:space="preserve">oad connected to the grid.  Specific to the ERCOT3 criteria, autotransformers are long-lead time equipment, </w:t>
      </w:r>
      <w:r w:rsidR="00B642C2">
        <w:t>where</w:t>
      </w:r>
      <w:r w:rsidR="007F2697">
        <w:t xml:space="preserve"> replacement unit</w:t>
      </w:r>
      <w:r w:rsidR="00B642C2">
        <w:t>s</w:t>
      </w:r>
      <w:r w:rsidR="007F2697">
        <w:t xml:space="preserve"> </w:t>
      </w:r>
      <w:r w:rsidR="00B642C2">
        <w:t>are</w:t>
      </w:r>
      <w:r w:rsidR="00D14865">
        <w:t xml:space="preserve"> often</w:t>
      </w:r>
      <w:r w:rsidR="007F2697">
        <w:t xml:space="preserve"> many years out,</w:t>
      </w:r>
      <w:r>
        <w:t xml:space="preserve"> </w:t>
      </w:r>
      <w:r w:rsidR="00D14865">
        <w:t xml:space="preserve">and </w:t>
      </w:r>
      <w:r w:rsidR="009D5B74">
        <w:t>L</w:t>
      </w:r>
      <w:r w:rsidR="00D14865">
        <w:t xml:space="preserve">oads impacted by this </w:t>
      </w:r>
      <w:r w:rsidR="00B642C2">
        <w:t>outage</w:t>
      </w:r>
      <w:r w:rsidR="00D14865">
        <w:t xml:space="preserve"> may require extended </w:t>
      </w:r>
      <w:r w:rsidR="00B642C2">
        <w:t>loss</w:t>
      </w:r>
      <w:r w:rsidR="00D14865">
        <w:t xml:space="preserve"> to maintain grid reliability.  </w:t>
      </w:r>
      <w:r w:rsidR="00416B86">
        <w:t xml:space="preserve">For this reason, planning for this extended outage without allowing non-consequential </w:t>
      </w:r>
      <w:r w:rsidR="009D5B74">
        <w:t>L</w:t>
      </w:r>
      <w:r w:rsidR="00416B86">
        <w:t xml:space="preserve">oad loss is important to maintaining reliable transmission service.  </w:t>
      </w:r>
      <w:r w:rsidR="00061AFD">
        <w:t>Additionally,</w:t>
      </w:r>
      <w:r w:rsidR="00D14865">
        <w:t xml:space="preserve"> Section 4.1.1.8</w:t>
      </w:r>
      <w:r w:rsidR="00980F4D">
        <w:t>,</w:t>
      </w:r>
      <w:r w:rsidR="00D14865">
        <w:t xml:space="preserve"> Maintenance Outage Reliability Criteria</w:t>
      </w:r>
      <w:r w:rsidR="00980F4D">
        <w:t>,</w:t>
      </w:r>
      <w:r w:rsidR="00D14865">
        <w:t xml:space="preserve"> </w:t>
      </w:r>
      <w:r w:rsidR="00061AFD">
        <w:t>ensures</w:t>
      </w:r>
      <w:r w:rsidR="00894470">
        <w:t xml:space="preserve"> that</w:t>
      </w:r>
      <w:r w:rsidR="00D14865">
        <w:t xml:space="preserve"> </w:t>
      </w:r>
      <w:r w:rsidR="009D5B74">
        <w:t>L</w:t>
      </w:r>
      <w:r w:rsidR="00D14865">
        <w:t xml:space="preserve">oad loss is not </w:t>
      </w:r>
      <w:r w:rsidR="00B31920">
        <w:t>used as</w:t>
      </w:r>
      <w:r w:rsidR="00D14865">
        <w:t xml:space="preserve"> a tool to maintain reliability and must remain connected during</w:t>
      </w:r>
      <w:r w:rsidR="00B642C2">
        <w:t xml:space="preserve"> a</w:t>
      </w:r>
      <w:r w:rsidR="00D14865">
        <w:t xml:space="preserve"> maintenance outage evaluated in </w:t>
      </w:r>
      <w:r w:rsidR="00B642C2">
        <w:t xml:space="preserve">a </w:t>
      </w:r>
      <w:r w:rsidR="00D14865">
        <w:t>planning stud</w:t>
      </w:r>
      <w:r w:rsidR="00B642C2">
        <w:t>y</w:t>
      </w:r>
      <w:r w:rsidR="00D14865">
        <w:t xml:space="preserve">. </w:t>
      </w:r>
      <w:proofErr w:type="gramStart"/>
      <w:r w:rsidR="00B31920">
        <w:t>Th</w:t>
      </w:r>
      <w:r w:rsidR="00061AFD">
        <w:t>is criteria</w:t>
      </w:r>
      <w:proofErr w:type="gramEnd"/>
      <w:r w:rsidR="00061AFD">
        <w:t xml:space="preserve"> </w:t>
      </w:r>
      <w:r w:rsidR="00B31920">
        <w:t xml:space="preserve">applies to the off-peak season, when </w:t>
      </w:r>
      <w:r w:rsidR="009D5B74">
        <w:t>L</w:t>
      </w:r>
      <w:r w:rsidR="00B31920">
        <w:t>oads are typically at their lowest</w:t>
      </w:r>
      <w:r w:rsidR="00024A7E">
        <w:t>.</w:t>
      </w:r>
      <w:r w:rsidR="00B31920">
        <w:t xml:space="preserve"> </w:t>
      </w:r>
      <w:r w:rsidR="00024A7E">
        <w:t>O</w:t>
      </w:r>
      <w:r w:rsidR="00B31920">
        <w:t>utages occurring during the peak</w:t>
      </w:r>
      <w:r w:rsidR="00416B86">
        <w:t xml:space="preserve"> (summer)</w:t>
      </w:r>
      <w:r w:rsidR="00B31920">
        <w:t xml:space="preserve"> season</w:t>
      </w:r>
      <w:r w:rsidR="00024A7E">
        <w:t xml:space="preserve"> do</w:t>
      </w:r>
      <w:r w:rsidR="00B31920">
        <w:t xml:space="preserve"> still allow </w:t>
      </w:r>
      <w:r w:rsidR="009D5B74">
        <w:t>L</w:t>
      </w:r>
      <w:r w:rsidR="00B31920">
        <w:t>oad loss to meet reliability criteria in planning studies.</w:t>
      </w:r>
      <w:r w:rsidR="00B642C2">
        <w:t xml:space="preserve">  </w:t>
      </w:r>
      <w:r w:rsidR="0001749B">
        <w:t>W</w:t>
      </w:r>
      <w:r w:rsidR="00C41A08">
        <w:t>hen paired with</w:t>
      </w:r>
      <w:r w:rsidR="00C97C2F">
        <w:t xml:space="preserve"> ERCOT</w:t>
      </w:r>
      <w:r w:rsidR="00C41A08">
        <w:t>’s</w:t>
      </w:r>
      <w:r w:rsidR="00C97C2F">
        <w:t xml:space="preserve"> outage restrictions, t</w:t>
      </w:r>
      <w:r w:rsidR="00B642C2">
        <w:t>he Maintenance Outage Reliability Criteria</w:t>
      </w:r>
      <w:r w:rsidR="00C41A08">
        <w:t xml:space="preserve"> is complimentary as it</w:t>
      </w:r>
      <w:r w:rsidR="00B642C2">
        <w:t xml:space="preserve"> </w:t>
      </w:r>
      <w:r w:rsidR="00C97C2F">
        <w:t>helps to ensure that much needed transmission outages can occur while reducing the impact to load.</w:t>
      </w:r>
    </w:p>
    <w:p w14:paraId="149FC229" w14:textId="5BF42DF5" w:rsidR="00B94405" w:rsidRDefault="00B31920" w:rsidP="00991EFE">
      <w:pPr>
        <w:pStyle w:val="NormalArial"/>
        <w:spacing w:before="120" w:after="120"/>
      </w:pPr>
      <w:r>
        <w:t xml:space="preserve">Both Planning Guide ERCOT3 and Section 4.1.1.8 </w:t>
      </w:r>
      <w:r w:rsidR="005A6ADD">
        <w:t>improve</w:t>
      </w:r>
      <w:r>
        <w:t xml:space="preserve"> grid reliability across ERCOT for the reasons stated above.  These criteria are evaluated in planning </w:t>
      </w:r>
      <w:r w:rsidR="005A6ADD">
        <w:t>studies and</w:t>
      </w:r>
      <w:r>
        <w:t xml:space="preserve"> provide system planners with guidelines for improving grid reliability.</w:t>
      </w:r>
      <w:r w:rsidR="005A6ADD">
        <w:t xml:space="preserve">  A planning study evaluates n-1 and n-1-1 (outage) scenarios, based on NERC and ERCOT Planning Guide Criteria, where “n” is the total population of elements (i.e., lines, autotransformers, shunt/dynamic reactive support equipment, etc.) in the system.</w:t>
      </w:r>
      <w:r w:rsidR="00AD762E">
        <w:t xml:space="preserve">  </w:t>
      </w:r>
      <w:r w:rsidR="00C129D1">
        <w:t xml:space="preserve">On the other hand, </w:t>
      </w:r>
      <w:r w:rsidR="00AD762E">
        <w:t xml:space="preserve">a </w:t>
      </w:r>
      <w:r w:rsidR="009D5B74">
        <w:t>R</w:t>
      </w:r>
      <w:r w:rsidR="00556144">
        <w:t>eal-</w:t>
      </w:r>
      <w:r w:rsidR="009D5B74">
        <w:t>T</w:t>
      </w:r>
      <w:r w:rsidR="00556144">
        <w:t xml:space="preserve">ime </w:t>
      </w:r>
      <w:r w:rsidR="00AD762E">
        <w:t>system operator is tasked with maintaining grid reliability with numerous outages on the system</w:t>
      </w:r>
      <w:r w:rsidR="003E51DC">
        <w:t xml:space="preserve"> – often, hundreds</w:t>
      </w:r>
      <w:r w:rsidR="00B444BA">
        <w:t xml:space="preserve"> – </w:t>
      </w:r>
      <w:r w:rsidR="001043F0">
        <w:t>on a given day.  If a planner cannot perform a maintenance outage study</w:t>
      </w:r>
      <w:r w:rsidR="00C56BC3">
        <w:t xml:space="preserve"> </w:t>
      </w:r>
      <w:r w:rsidR="001043F0">
        <w:t xml:space="preserve">in accordance with the ERCOT Planning Guide Transmission Planning Criteria without implementing </w:t>
      </w:r>
      <w:r w:rsidR="009D5B74">
        <w:t>L</w:t>
      </w:r>
      <w:r w:rsidR="001043F0">
        <w:t xml:space="preserve">oad loss to maintain grid reliability, how can we expect a system operator </w:t>
      </w:r>
      <w:r w:rsidR="00556144">
        <w:t xml:space="preserve">to </w:t>
      </w:r>
      <w:r w:rsidR="00174B33">
        <w:t xml:space="preserve">accomplish this </w:t>
      </w:r>
      <w:r w:rsidR="00AB7430">
        <w:t xml:space="preserve">task </w:t>
      </w:r>
      <w:r w:rsidR="00174B33">
        <w:t xml:space="preserve">in </w:t>
      </w:r>
      <w:r w:rsidR="009D5B74">
        <w:t>R</w:t>
      </w:r>
      <w:r w:rsidR="00174B33">
        <w:t>eal-</w:t>
      </w:r>
      <w:r w:rsidR="009D5B74">
        <w:t>T</w:t>
      </w:r>
      <w:r w:rsidR="00174B33">
        <w:t>ime</w:t>
      </w:r>
      <w:r w:rsidR="00556144">
        <w:t>?</w:t>
      </w:r>
      <w:r w:rsidR="008F0617">
        <w:t xml:space="preserve"> </w:t>
      </w:r>
      <w:r w:rsidR="008F0617" w:rsidRPr="008F0617">
        <w:t xml:space="preserve">Ultimately, the reliable </w:t>
      </w:r>
      <w:r w:rsidR="009D5B74">
        <w:t>R</w:t>
      </w:r>
      <w:r w:rsidR="008F0617" w:rsidRPr="008F0617">
        <w:t>eal-</w:t>
      </w:r>
      <w:r w:rsidR="009D5B74">
        <w:t>T</w:t>
      </w:r>
      <w:r w:rsidR="008F0617" w:rsidRPr="008F0617">
        <w:t>ime operation of the grid is dependent on a system that is well-planned.</w:t>
      </w:r>
    </w:p>
    <w:p w14:paraId="646DAD85" w14:textId="224B9B41" w:rsidR="000D2B04" w:rsidRDefault="00111FCD" w:rsidP="000D2B04">
      <w:pPr>
        <w:pStyle w:val="NormalArial"/>
        <w:spacing w:before="120" w:after="120"/>
        <w:jc w:val="both"/>
      </w:pPr>
      <w:r w:rsidRPr="00111FCD">
        <w:t xml:space="preserve">As a transmission system planner and operator, </w:t>
      </w:r>
      <w:r>
        <w:t>LCRA has</w:t>
      </w:r>
      <w:r w:rsidRPr="00111FCD">
        <w:t xml:space="preserve"> long held that the purpose of maintaining system reliability is to avoid </w:t>
      </w:r>
      <w:r w:rsidR="00B207CF">
        <w:t xml:space="preserve">the </w:t>
      </w:r>
      <w:r w:rsidRPr="00111FCD">
        <w:t xml:space="preserve">loss of </w:t>
      </w:r>
      <w:r w:rsidR="009D5B74">
        <w:t>L</w:t>
      </w:r>
      <w:r w:rsidRPr="00111FCD">
        <w:t xml:space="preserve">oad, not to rely on </w:t>
      </w:r>
      <w:r w:rsidR="009D5B74">
        <w:t>L</w:t>
      </w:r>
      <w:r w:rsidRPr="00111FCD">
        <w:t xml:space="preserve">oad shedding </w:t>
      </w:r>
      <w:proofErr w:type="gramStart"/>
      <w:r w:rsidRPr="00111FCD">
        <w:t>as a means to</w:t>
      </w:r>
      <w:proofErr w:type="gramEnd"/>
      <w:r w:rsidRPr="00111FCD">
        <w:t xml:space="preserve"> preserve reliability (outside of extreme conditions).</w:t>
      </w:r>
      <w:r w:rsidR="006E6366">
        <w:t xml:space="preserve"> </w:t>
      </w:r>
      <w:r w:rsidR="00FE14CB">
        <w:t xml:space="preserve">As it stands currently, </w:t>
      </w:r>
      <w:r w:rsidR="00D95A68">
        <w:t xml:space="preserve">PGRR147 runs counter to this principle and </w:t>
      </w:r>
      <w:r w:rsidR="002D4F78">
        <w:t xml:space="preserve">LCRA respectfully requests </w:t>
      </w:r>
      <w:r w:rsidR="006859FA">
        <w:t xml:space="preserve">that it be withdrawn from </w:t>
      </w:r>
      <w:r w:rsidR="008C7EFE">
        <w:t xml:space="preserve">stakeholder </w:t>
      </w:r>
      <w:r w:rsidR="006859FA">
        <w:t>consideration</w:t>
      </w:r>
      <w:r w:rsidR="00D95A68">
        <w:t xml:space="preserve">.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D2B04" w14:paraId="3F15ECEE" w14:textId="77777777" w:rsidTr="00DD75CE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A6C665" w14:textId="77777777" w:rsidR="000D2B04" w:rsidRDefault="000D2B04" w:rsidP="00DD75CE">
            <w:pPr>
              <w:pStyle w:val="Header"/>
              <w:jc w:val="center"/>
            </w:pPr>
            <w:bookmarkStart w:id="0" w:name="_Hlk202872381"/>
            <w:r>
              <w:t>Revised Cover Page Language</w:t>
            </w:r>
          </w:p>
        </w:tc>
      </w:tr>
    </w:tbl>
    <w:bookmarkEnd w:id="0"/>
    <w:p w14:paraId="472F30F1" w14:textId="77777777" w:rsidR="000D2B04" w:rsidRPr="00575BB4" w:rsidRDefault="000D2B04" w:rsidP="000D2B04">
      <w:pPr>
        <w:tabs>
          <w:tab w:val="num" w:pos="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 None.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D2B04" w14:paraId="487716BF" w14:textId="77777777" w:rsidTr="00DD75CE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755627" w14:textId="77777777" w:rsidR="000D2B04" w:rsidRDefault="000D2B04" w:rsidP="00DD75CE">
            <w:pPr>
              <w:pStyle w:val="Header"/>
              <w:jc w:val="center"/>
            </w:pPr>
            <w:r>
              <w:lastRenderedPageBreak/>
              <w:t>Revised Proposed Protocol Language</w:t>
            </w:r>
          </w:p>
        </w:tc>
      </w:tr>
    </w:tbl>
    <w:p w14:paraId="0559E067" w14:textId="529A7B53" w:rsidR="00FF5E88" w:rsidRDefault="000D2B04" w:rsidP="00991EFE">
      <w:pPr>
        <w:pStyle w:val="NormalArial"/>
        <w:spacing w:before="120" w:after="120"/>
      </w:pPr>
      <w:r>
        <w:t>None.</w:t>
      </w:r>
    </w:p>
    <w:sectPr w:rsidR="00FF5E88" w:rsidSect="0074209E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06B58" w14:textId="77777777" w:rsidR="000D5E49" w:rsidRDefault="000D5E49">
      <w:r>
        <w:separator/>
      </w:r>
    </w:p>
  </w:endnote>
  <w:endnote w:type="continuationSeparator" w:id="0">
    <w:p w14:paraId="6C5A848B" w14:textId="77777777" w:rsidR="000D5E49" w:rsidRDefault="000D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E078" w14:textId="176B6D12" w:rsidR="003D0994" w:rsidRDefault="002B56C9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14</w:t>
    </w:r>
    <w:r w:rsidR="000A1C4E">
      <w:rPr>
        <w:rFonts w:ascii="Arial" w:hAnsi="Arial"/>
        <w:sz w:val="18"/>
      </w:rPr>
      <w:t>7PGRR-</w:t>
    </w:r>
    <w:r w:rsidR="000D2B04">
      <w:rPr>
        <w:rFonts w:ascii="Arial" w:hAnsi="Arial"/>
        <w:sz w:val="18"/>
      </w:rPr>
      <w:t>04</w:t>
    </w:r>
    <w:r w:rsidR="000A1C4E">
      <w:rPr>
        <w:rFonts w:ascii="Arial" w:hAnsi="Arial"/>
        <w:sz w:val="18"/>
      </w:rPr>
      <w:t xml:space="preserve"> LCRA Comments 07</w:t>
    </w:r>
    <w:r w:rsidR="000D2B04">
      <w:rPr>
        <w:rFonts w:ascii="Arial" w:hAnsi="Arial"/>
        <w:sz w:val="18"/>
      </w:rPr>
      <w:t>15</w:t>
    </w:r>
    <w:r w:rsidR="000A1C4E">
      <w:rPr>
        <w:rFonts w:ascii="Arial" w:hAnsi="Arial"/>
        <w:sz w:val="18"/>
      </w:rPr>
      <w:t>26</w:t>
    </w:r>
    <w:r w:rsidR="007269C4">
      <w:rPr>
        <w:rFonts w:ascii="Arial" w:hAnsi="Arial"/>
        <w:sz w:val="18"/>
      </w:rPr>
      <w:t xml:space="preserve"> </w:t>
    </w:r>
    <w:r w:rsidR="003D0994">
      <w:rPr>
        <w:rFonts w:ascii="Arial" w:hAnsi="Arial"/>
        <w:sz w:val="18"/>
      </w:rPr>
      <w:tab/>
      <w:t xml:space="preserve">Page </w:t>
    </w:r>
    <w:r w:rsidR="003D0994">
      <w:rPr>
        <w:rFonts w:ascii="Arial" w:hAnsi="Arial"/>
        <w:sz w:val="18"/>
      </w:rPr>
      <w:fldChar w:fldCharType="begin"/>
    </w:r>
    <w:r w:rsidR="003D0994">
      <w:rPr>
        <w:rFonts w:ascii="Arial" w:hAnsi="Arial"/>
        <w:sz w:val="18"/>
      </w:rPr>
      <w:instrText xml:space="preserve"> PAGE </w:instrText>
    </w:r>
    <w:r w:rsidR="003D0994">
      <w:rPr>
        <w:rFonts w:ascii="Arial" w:hAnsi="Arial"/>
        <w:sz w:val="18"/>
      </w:rPr>
      <w:fldChar w:fldCharType="separate"/>
    </w:r>
    <w:r w:rsidR="00823E4A">
      <w:rPr>
        <w:rFonts w:ascii="Arial" w:hAnsi="Arial"/>
        <w:noProof/>
        <w:sz w:val="18"/>
      </w:rPr>
      <w:t>1</w:t>
    </w:r>
    <w:r w:rsidR="003D0994">
      <w:rPr>
        <w:rFonts w:ascii="Arial" w:hAnsi="Arial"/>
        <w:sz w:val="18"/>
      </w:rPr>
      <w:fldChar w:fldCharType="end"/>
    </w:r>
    <w:r w:rsidR="003D0994">
      <w:rPr>
        <w:rFonts w:ascii="Arial" w:hAnsi="Arial"/>
        <w:sz w:val="18"/>
      </w:rPr>
      <w:t xml:space="preserve"> of </w:t>
    </w:r>
    <w:r w:rsidR="003D0994">
      <w:rPr>
        <w:rFonts w:ascii="Arial" w:hAnsi="Arial"/>
        <w:sz w:val="18"/>
      </w:rPr>
      <w:fldChar w:fldCharType="begin"/>
    </w:r>
    <w:r w:rsidR="003D0994">
      <w:rPr>
        <w:rFonts w:ascii="Arial" w:hAnsi="Arial"/>
        <w:sz w:val="18"/>
      </w:rPr>
      <w:instrText xml:space="preserve"> NUMPAGES </w:instrText>
    </w:r>
    <w:r w:rsidR="003D0994">
      <w:rPr>
        <w:rFonts w:ascii="Arial" w:hAnsi="Arial"/>
        <w:sz w:val="18"/>
      </w:rPr>
      <w:fldChar w:fldCharType="separate"/>
    </w:r>
    <w:r w:rsidR="00823E4A">
      <w:rPr>
        <w:rFonts w:ascii="Arial" w:hAnsi="Arial"/>
        <w:noProof/>
        <w:sz w:val="18"/>
      </w:rPr>
      <w:t>1</w:t>
    </w:r>
    <w:r w:rsidR="003D0994">
      <w:rPr>
        <w:rFonts w:ascii="Arial" w:hAnsi="Arial"/>
        <w:sz w:val="18"/>
      </w:rPr>
      <w:fldChar w:fldCharType="end"/>
    </w:r>
  </w:p>
  <w:p w14:paraId="0559E079" w14:textId="77777777" w:rsidR="00FD08E8" w:rsidRDefault="00FD08E8" w:rsidP="003C405A">
    <w:pPr>
      <w:pStyle w:val="Footer"/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8DE80" w14:textId="77777777" w:rsidR="000D5E49" w:rsidRDefault="000D5E49">
      <w:r>
        <w:separator/>
      </w:r>
    </w:p>
  </w:footnote>
  <w:footnote w:type="continuationSeparator" w:id="0">
    <w:p w14:paraId="4DABA49B" w14:textId="77777777" w:rsidR="000D5E49" w:rsidRDefault="000D5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E076" w14:textId="77777777" w:rsidR="003D0994" w:rsidRDefault="00170E84">
    <w:pPr>
      <w:pStyle w:val="Header"/>
      <w:jc w:val="center"/>
      <w:rPr>
        <w:sz w:val="32"/>
      </w:rPr>
    </w:pPr>
    <w:r>
      <w:rPr>
        <w:sz w:val="32"/>
      </w:rPr>
      <w:t>P</w:t>
    </w:r>
    <w:r w:rsidR="00C158EE">
      <w:rPr>
        <w:sz w:val="32"/>
      </w:rPr>
      <w:t xml:space="preserve">GRR </w:t>
    </w:r>
    <w:r w:rsidR="003D0994">
      <w:rPr>
        <w:sz w:val="32"/>
      </w:rPr>
      <w:t>Comments</w:t>
    </w:r>
  </w:p>
  <w:p w14:paraId="0559E077" w14:textId="77777777" w:rsidR="003D0994" w:rsidRDefault="003D0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63286401">
    <w:abstractNumId w:val="0"/>
  </w:num>
  <w:num w:numId="2" w16cid:durableId="173103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05CB1"/>
    <w:rsid w:val="00012122"/>
    <w:rsid w:val="000167F3"/>
    <w:rsid w:val="0001749B"/>
    <w:rsid w:val="00024A7E"/>
    <w:rsid w:val="00034036"/>
    <w:rsid w:val="00037668"/>
    <w:rsid w:val="00061AFD"/>
    <w:rsid w:val="00075A94"/>
    <w:rsid w:val="000A1C4E"/>
    <w:rsid w:val="000A7D92"/>
    <w:rsid w:val="000B2E08"/>
    <w:rsid w:val="000D2B04"/>
    <w:rsid w:val="000D5E49"/>
    <w:rsid w:val="000F0D99"/>
    <w:rsid w:val="000F7734"/>
    <w:rsid w:val="00102B4D"/>
    <w:rsid w:val="001043F0"/>
    <w:rsid w:val="00111FCD"/>
    <w:rsid w:val="00132855"/>
    <w:rsid w:val="00136B8E"/>
    <w:rsid w:val="00152993"/>
    <w:rsid w:val="00170297"/>
    <w:rsid w:val="00170E84"/>
    <w:rsid w:val="00174B33"/>
    <w:rsid w:val="00176D03"/>
    <w:rsid w:val="001A227D"/>
    <w:rsid w:val="001E2032"/>
    <w:rsid w:val="00202D59"/>
    <w:rsid w:val="00206DA6"/>
    <w:rsid w:val="002259CC"/>
    <w:rsid w:val="00237F13"/>
    <w:rsid w:val="00253F54"/>
    <w:rsid w:val="00270011"/>
    <w:rsid w:val="002771E6"/>
    <w:rsid w:val="002B56C9"/>
    <w:rsid w:val="002C5A05"/>
    <w:rsid w:val="002D4F78"/>
    <w:rsid w:val="003010C0"/>
    <w:rsid w:val="00332A97"/>
    <w:rsid w:val="00345672"/>
    <w:rsid w:val="00350C00"/>
    <w:rsid w:val="00357183"/>
    <w:rsid w:val="003618B5"/>
    <w:rsid w:val="00366113"/>
    <w:rsid w:val="00366799"/>
    <w:rsid w:val="00390859"/>
    <w:rsid w:val="003A11EF"/>
    <w:rsid w:val="003C270C"/>
    <w:rsid w:val="003C405A"/>
    <w:rsid w:val="003D0994"/>
    <w:rsid w:val="003E51DC"/>
    <w:rsid w:val="003E7D74"/>
    <w:rsid w:val="00411DFA"/>
    <w:rsid w:val="00414787"/>
    <w:rsid w:val="00416B86"/>
    <w:rsid w:val="00423824"/>
    <w:rsid w:val="0043567D"/>
    <w:rsid w:val="00474F7E"/>
    <w:rsid w:val="00490A12"/>
    <w:rsid w:val="004B7B90"/>
    <w:rsid w:val="004E1F65"/>
    <w:rsid w:val="004E2C19"/>
    <w:rsid w:val="005326ED"/>
    <w:rsid w:val="00536FBF"/>
    <w:rsid w:val="00555955"/>
    <w:rsid w:val="00556144"/>
    <w:rsid w:val="005A6ADD"/>
    <w:rsid w:val="005D284C"/>
    <w:rsid w:val="006127A6"/>
    <w:rsid w:val="00633E23"/>
    <w:rsid w:val="00634799"/>
    <w:rsid w:val="006511A6"/>
    <w:rsid w:val="00673B94"/>
    <w:rsid w:val="00680AC6"/>
    <w:rsid w:val="006835D8"/>
    <w:rsid w:val="006859FA"/>
    <w:rsid w:val="006A1B96"/>
    <w:rsid w:val="006C316E"/>
    <w:rsid w:val="006C6F2E"/>
    <w:rsid w:val="006D0415"/>
    <w:rsid w:val="006D0F7C"/>
    <w:rsid w:val="006D6A30"/>
    <w:rsid w:val="006E6366"/>
    <w:rsid w:val="006F7450"/>
    <w:rsid w:val="00723108"/>
    <w:rsid w:val="00724C9E"/>
    <w:rsid w:val="007269C4"/>
    <w:rsid w:val="00734EAF"/>
    <w:rsid w:val="0074209E"/>
    <w:rsid w:val="00755FBB"/>
    <w:rsid w:val="00761F87"/>
    <w:rsid w:val="00795D7A"/>
    <w:rsid w:val="007A7C9E"/>
    <w:rsid w:val="007F2697"/>
    <w:rsid w:val="007F2CA8"/>
    <w:rsid w:val="007F7161"/>
    <w:rsid w:val="008143AD"/>
    <w:rsid w:val="00823E4A"/>
    <w:rsid w:val="0085559E"/>
    <w:rsid w:val="00891BB3"/>
    <w:rsid w:val="00894470"/>
    <w:rsid w:val="00896B1B"/>
    <w:rsid w:val="008C3F29"/>
    <w:rsid w:val="008C7EFE"/>
    <w:rsid w:val="008D2B3A"/>
    <w:rsid w:val="008E235D"/>
    <w:rsid w:val="008E3A86"/>
    <w:rsid w:val="008E559E"/>
    <w:rsid w:val="008E6F9F"/>
    <w:rsid w:val="008F0617"/>
    <w:rsid w:val="00916080"/>
    <w:rsid w:val="00921A68"/>
    <w:rsid w:val="00952893"/>
    <w:rsid w:val="009577E1"/>
    <w:rsid w:val="00960706"/>
    <w:rsid w:val="00980F4D"/>
    <w:rsid w:val="00991EFE"/>
    <w:rsid w:val="00992E76"/>
    <w:rsid w:val="009A0A7D"/>
    <w:rsid w:val="009A4DB6"/>
    <w:rsid w:val="009D28DB"/>
    <w:rsid w:val="009D29D6"/>
    <w:rsid w:val="009D5B74"/>
    <w:rsid w:val="009D7040"/>
    <w:rsid w:val="009E0EF0"/>
    <w:rsid w:val="009F20A0"/>
    <w:rsid w:val="00A015C4"/>
    <w:rsid w:val="00A15172"/>
    <w:rsid w:val="00A15976"/>
    <w:rsid w:val="00A24E19"/>
    <w:rsid w:val="00A31EC7"/>
    <w:rsid w:val="00A41438"/>
    <w:rsid w:val="00AA3C13"/>
    <w:rsid w:val="00AA6525"/>
    <w:rsid w:val="00AB7430"/>
    <w:rsid w:val="00AD762E"/>
    <w:rsid w:val="00B1138C"/>
    <w:rsid w:val="00B120A4"/>
    <w:rsid w:val="00B207CF"/>
    <w:rsid w:val="00B24DF0"/>
    <w:rsid w:val="00B31920"/>
    <w:rsid w:val="00B4253B"/>
    <w:rsid w:val="00B444BA"/>
    <w:rsid w:val="00B531C2"/>
    <w:rsid w:val="00B642C2"/>
    <w:rsid w:val="00B703DE"/>
    <w:rsid w:val="00B845F9"/>
    <w:rsid w:val="00B94405"/>
    <w:rsid w:val="00BB0231"/>
    <w:rsid w:val="00BD3B34"/>
    <w:rsid w:val="00BE110B"/>
    <w:rsid w:val="00C0598D"/>
    <w:rsid w:val="00C11956"/>
    <w:rsid w:val="00C129D1"/>
    <w:rsid w:val="00C158EE"/>
    <w:rsid w:val="00C20B0A"/>
    <w:rsid w:val="00C34B1A"/>
    <w:rsid w:val="00C362AA"/>
    <w:rsid w:val="00C41A08"/>
    <w:rsid w:val="00C526B9"/>
    <w:rsid w:val="00C56BC3"/>
    <w:rsid w:val="00C602E5"/>
    <w:rsid w:val="00C65074"/>
    <w:rsid w:val="00C748FD"/>
    <w:rsid w:val="00C910BD"/>
    <w:rsid w:val="00C97C2F"/>
    <w:rsid w:val="00CB1BB8"/>
    <w:rsid w:val="00CB6556"/>
    <w:rsid w:val="00CD015E"/>
    <w:rsid w:val="00CF0040"/>
    <w:rsid w:val="00D14865"/>
    <w:rsid w:val="00D24DCF"/>
    <w:rsid w:val="00D4046E"/>
    <w:rsid w:val="00D45DFB"/>
    <w:rsid w:val="00D847D5"/>
    <w:rsid w:val="00D95A68"/>
    <w:rsid w:val="00DB4AB9"/>
    <w:rsid w:val="00DB63FB"/>
    <w:rsid w:val="00DD4739"/>
    <w:rsid w:val="00DE5F33"/>
    <w:rsid w:val="00DF0D7C"/>
    <w:rsid w:val="00DF2686"/>
    <w:rsid w:val="00E0223F"/>
    <w:rsid w:val="00E07B54"/>
    <w:rsid w:val="00E11F78"/>
    <w:rsid w:val="00E36237"/>
    <w:rsid w:val="00E621E1"/>
    <w:rsid w:val="00E75A48"/>
    <w:rsid w:val="00E91582"/>
    <w:rsid w:val="00E91DC2"/>
    <w:rsid w:val="00E96A72"/>
    <w:rsid w:val="00EB4DE6"/>
    <w:rsid w:val="00EC55B3"/>
    <w:rsid w:val="00F038EC"/>
    <w:rsid w:val="00F10F91"/>
    <w:rsid w:val="00F23BB0"/>
    <w:rsid w:val="00F56BE8"/>
    <w:rsid w:val="00F66DBB"/>
    <w:rsid w:val="00F854CD"/>
    <w:rsid w:val="00F96FB2"/>
    <w:rsid w:val="00FA1D28"/>
    <w:rsid w:val="00FB51D8"/>
    <w:rsid w:val="00FC0F74"/>
    <w:rsid w:val="00FC1990"/>
    <w:rsid w:val="00FD08E8"/>
    <w:rsid w:val="00FD7584"/>
    <w:rsid w:val="00FE14CB"/>
    <w:rsid w:val="00FE5B3D"/>
    <w:rsid w:val="00FF30FF"/>
    <w:rsid w:val="00FF5E88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59E02D"/>
  <w15:chartTrackingRefBased/>
  <w15:docId w15:val="{067D492B-8E5D-4929-8025-194A3E03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  <w:rPr>
      <w:lang w:eastAsia="en-US"/>
    </w:r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DD4739"/>
    <w:rPr>
      <w:sz w:val="16"/>
      <w:szCs w:val="16"/>
    </w:rPr>
  </w:style>
  <w:style w:type="paragraph" w:styleId="CommentText">
    <w:name w:val="annotation text"/>
    <w:basedOn w:val="Normal"/>
    <w:semiHidden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paragraph" w:styleId="Revision">
    <w:name w:val="Revision"/>
    <w:hidden/>
    <w:uiPriority w:val="99"/>
    <w:semiHidden/>
    <w:rsid w:val="00761F87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77E1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0D2B04"/>
    <w:rPr>
      <w:rFonts w:ascii="Arial" w:hAnsi="Arial"/>
      <w:b/>
      <w:bCs/>
      <w:sz w:val="24"/>
      <w:szCs w:val="24"/>
      <w:lang w:eastAsia="en-US"/>
    </w:rPr>
  </w:style>
  <w:style w:type="character" w:customStyle="1" w:styleId="NormalArialChar">
    <w:name w:val="Normal+Arial Char"/>
    <w:link w:val="NormalArial"/>
    <w:rsid w:val="000D2B04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ylan.preas@lcr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lake.holt@lcra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rcot.com/mktrules/issues/PGRR1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E8AD937BA494394755AF760337A54" ma:contentTypeVersion="39" ma:contentTypeDescription="Create a new document." ma:contentTypeScope="" ma:versionID="28c6d025aaf798767dc3e97557ac6e41">
  <xsd:schema xmlns:xsd="http://www.w3.org/2001/XMLSchema" xmlns:xs="http://www.w3.org/2001/XMLSchema" xmlns:p="http://schemas.microsoft.com/office/2006/metadata/properties" xmlns:ns2="53f076b6-69e4-4bdc-b78e-2f8faf893e6e" xmlns:ns3="3b1f6d5f-e038-48c5-9224-8df8c512bcf3" targetNamespace="http://schemas.microsoft.com/office/2006/metadata/properties" ma:root="true" ma:fieldsID="cebab7f373ce30f33c3d7fa8e67771bd" ns2:_="" ns3:_="">
    <xsd:import namespace="53f076b6-69e4-4bdc-b78e-2f8faf893e6e"/>
    <xsd:import namespace="3b1f6d5f-e038-48c5-9224-8df8c512bc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076b6-69e4-4bdc-b78e-2f8faf893e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5c526e-e0da-4c19-9401-235db136ac2e}" ma:internalName="TaxCatchAll" ma:showField="CatchAllData" ma:web="53f076b6-69e4-4bdc-b78e-2f8faf893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f6d5f-e038-48c5-9224-8df8c512b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ddadc4a-32a0-4a9c-a029-a8b10a28c6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f076b6-69e4-4bdc-b78e-2f8faf893e6e"/>
    <lcf76f155ced4ddcb4097134ff3c332f xmlns="3b1f6d5f-e038-48c5-9224-8df8c512bc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EE354C-7415-4BB2-A844-DFD1BF67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076b6-69e4-4bdc-b78e-2f8faf893e6e"/>
    <ds:schemaRef ds:uri="3b1f6d5f-e038-48c5-9224-8df8c512b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699DA-85D4-4326-9D71-23257AB03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170D7-4AF8-4923-9B17-A7E2CFA00FA9}">
  <ds:schemaRefs>
    <ds:schemaRef ds:uri="http://schemas.microsoft.com/office/2006/metadata/properties"/>
    <ds:schemaRef ds:uri="http://schemas.microsoft.com/office/infopath/2007/PartnerControls"/>
    <ds:schemaRef ds:uri="53f076b6-69e4-4bdc-b78e-2f8faf893e6e"/>
    <ds:schemaRef ds:uri="3b1f6d5f-e038-48c5-9224-8df8c512bc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4992</Characters>
  <Application>Microsoft Office Word</Application>
  <DocSecurity>4</DocSecurity>
  <Lines>101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5831</CharactersWithSpaces>
  <SharedDoc>false</SharedDoc>
  <HLinks>
    <vt:vector size="6" baseType="variant">
      <vt:variant>
        <vt:i4>4980828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https://www.ercot.com/mktrules/issues/PGRR147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dc:description/>
  <cp:lastModifiedBy>ERCOT</cp:lastModifiedBy>
  <cp:revision>2</cp:revision>
  <cp:lastPrinted>2001-06-20T18:28:00Z</cp:lastPrinted>
  <dcterms:created xsi:type="dcterms:W3CDTF">2026-07-15T21:01:00Z</dcterms:created>
  <dcterms:modified xsi:type="dcterms:W3CDTF">2026-07-15T21:01:00Z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us">
    <vt:lpwstr>Draft</vt:lpwstr>
  </property>
  <property fmtid="{D5CDD505-2E9C-101B-9397-08002B2CF9AE}" pid="3" name="ContentTypeId">
    <vt:lpwstr>0x0101008A8E8AD937BA494394755AF760337A54</vt:lpwstr>
  </property>
  <property fmtid="{D5CDD505-2E9C-101B-9397-08002B2CF9AE}" pid="4" name="MSIP_Label_7084cbda-52b8-46fb-a7b7-cb5bd465ed85_Enabled">
    <vt:lpwstr>true</vt:lpwstr>
  </property>
  <property fmtid="{D5CDD505-2E9C-101B-9397-08002B2CF9AE}" pid="5" name="MSIP_Label_7084cbda-52b8-46fb-a7b7-cb5bd465ed85_SetDate">
    <vt:lpwstr>2026-07-15T17:04:23Z</vt:lpwstr>
  </property>
  <property fmtid="{D5CDD505-2E9C-101B-9397-08002B2CF9AE}" pid="6" name="MSIP_Label_7084cbda-52b8-46fb-a7b7-cb5bd465ed85_Method">
    <vt:lpwstr>Standard</vt:lpwstr>
  </property>
  <property fmtid="{D5CDD505-2E9C-101B-9397-08002B2CF9AE}" pid="7" name="MSIP_Label_7084cbda-52b8-46fb-a7b7-cb5bd465ed85_Name">
    <vt:lpwstr>Internal</vt:lpwstr>
  </property>
  <property fmtid="{D5CDD505-2E9C-101B-9397-08002B2CF9AE}" pid="8" name="MSIP_Label_7084cbda-52b8-46fb-a7b7-cb5bd465ed85_SiteId">
    <vt:lpwstr>0afb747d-bff7-4596-a9fc-950ef9e0ec45</vt:lpwstr>
  </property>
  <property fmtid="{D5CDD505-2E9C-101B-9397-08002B2CF9AE}" pid="9" name="MSIP_Label_7084cbda-52b8-46fb-a7b7-cb5bd465ed85_ActionId">
    <vt:lpwstr>d8cd5f8c-f147-4167-8d6f-dad1b6134a49</vt:lpwstr>
  </property>
  <property fmtid="{D5CDD505-2E9C-101B-9397-08002B2CF9AE}" pid="10" name="MSIP_Label_7084cbda-52b8-46fb-a7b7-cb5bd465ed85_ContentBits">
    <vt:lpwstr>0</vt:lpwstr>
  </property>
  <property fmtid="{D5CDD505-2E9C-101B-9397-08002B2CF9AE}" pid="11" name="MSIP_Label_7084cbda-52b8-46fb-a7b7-cb5bd465ed85_Tag">
    <vt:lpwstr>10, 3, 0, 1</vt:lpwstr>
  </property>
</Properties>
</file>