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D16912">
        <w:trPr>
          <w:trHeight w:val="710"/>
        </w:trPr>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335F52BA" w:rsidR="00067FE2" w:rsidRDefault="006C4B6A" w:rsidP="00377AB7">
            <w:pPr>
              <w:pStyle w:val="Header"/>
              <w:jc w:val="center"/>
            </w:pPr>
            <w:hyperlink r:id="rId9" w:history="1">
              <w:r>
                <w:rPr>
                  <w:rStyle w:val="Hyperlink"/>
                </w:rPr>
                <w:t>1334</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08979E01" w:rsidR="00067FE2" w:rsidRDefault="006C4B6A" w:rsidP="00F44236">
            <w:pPr>
              <w:pStyle w:val="Header"/>
            </w:pPr>
            <w:r>
              <w:t>Revision to Cybersecurity Incident Notification</w:t>
            </w:r>
            <w:r w:rsidR="00ED3CCE">
              <w:t xml:space="preserve"> </w:t>
            </w:r>
          </w:p>
        </w:tc>
      </w:tr>
      <w:tr w:rsidR="00067FE2" w:rsidRPr="00E01925" w14:paraId="398BCBF4" w14:textId="77777777" w:rsidTr="003974C9">
        <w:trPr>
          <w:trHeight w:val="518"/>
        </w:trPr>
        <w:tc>
          <w:tcPr>
            <w:tcW w:w="2880" w:type="dxa"/>
            <w:gridSpan w:val="2"/>
            <w:tcBorders>
              <w:left w:val="nil"/>
              <w:right w:val="nil"/>
            </w:tcBorders>
            <w:shd w:val="clear" w:color="auto" w:fill="FFFFFF"/>
            <w:vAlign w:val="center"/>
          </w:tcPr>
          <w:p w14:paraId="3A20C7F8" w14:textId="6FDAA0E1" w:rsidR="00067FE2" w:rsidRPr="00E01925" w:rsidRDefault="00067FE2" w:rsidP="00F44236">
            <w:pPr>
              <w:pStyle w:val="Header"/>
              <w:rPr>
                <w:bCs w:val="0"/>
              </w:rPr>
            </w:pPr>
          </w:p>
        </w:tc>
        <w:tc>
          <w:tcPr>
            <w:tcW w:w="7560" w:type="dxa"/>
            <w:gridSpan w:val="2"/>
            <w:tcBorders>
              <w:left w:val="nil"/>
              <w:right w:val="nil"/>
            </w:tcBorders>
            <w:vAlign w:val="center"/>
          </w:tcPr>
          <w:p w14:paraId="16A45634" w14:textId="00F939E5" w:rsidR="00067FE2" w:rsidRPr="00E01925" w:rsidRDefault="00067FE2" w:rsidP="00F44236">
            <w:pPr>
              <w:pStyle w:val="NormalArial"/>
            </w:pPr>
          </w:p>
        </w:tc>
      </w:tr>
      <w:tr w:rsidR="00067FE2" w14:paraId="788C839C" w14:textId="77777777" w:rsidTr="003974C9">
        <w:trPr>
          <w:trHeight w:val="512"/>
        </w:trPr>
        <w:tc>
          <w:tcPr>
            <w:tcW w:w="2880" w:type="dxa"/>
            <w:gridSpan w:val="2"/>
            <w:tcBorders>
              <w:bottom w:val="single" w:sz="4" w:space="0" w:color="auto"/>
            </w:tcBorders>
            <w:shd w:val="clear" w:color="auto" w:fill="FFFFFF"/>
            <w:vAlign w:val="center"/>
          </w:tcPr>
          <w:p w14:paraId="431C18EC" w14:textId="315ABC5E" w:rsidR="00067FE2" w:rsidRPr="003974C9" w:rsidRDefault="003974C9" w:rsidP="00F44236">
            <w:pPr>
              <w:pStyle w:val="NormalArial"/>
              <w:rPr>
                <w:b/>
                <w:bCs/>
              </w:rPr>
            </w:pPr>
            <w:r w:rsidRPr="003974C9">
              <w:rPr>
                <w:b/>
                <w:bCs/>
              </w:rPr>
              <w:t>Date Posted</w:t>
            </w:r>
          </w:p>
        </w:tc>
        <w:tc>
          <w:tcPr>
            <w:tcW w:w="7560" w:type="dxa"/>
            <w:gridSpan w:val="2"/>
            <w:tcBorders>
              <w:bottom w:val="single" w:sz="4" w:space="0" w:color="auto"/>
            </w:tcBorders>
            <w:vAlign w:val="center"/>
          </w:tcPr>
          <w:p w14:paraId="27F4E1F0" w14:textId="5917327E" w:rsidR="00067FE2" w:rsidRDefault="00B358AA" w:rsidP="00F44236">
            <w:pPr>
              <w:pStyle w:val="NormalArial"/>
            </w:pPr>
            <w:r>
              <w:t>July 1</w:t>
            </w:r>
            <w:r w:rsidR="00405E09">
              <w:t>3</w:t>
            </w:r>
            <w:r>
              <w:t>, 2026</w:t>
            </w:r>
          </w:p>
        </w:tc>
      </w:tr>
      <w:tr w:rsidR="009D17F0" w14:paraId="1939CD6D" w14:textId="77777777" w:rsidTr="003974C9">
        <w:trPr>
          <w:trHeight w:val="458"/>
        </w:trPr>
        <w:tc>
          <w:tcPr>
            <w:tcW w:w="2880" w:type="dxa"/>
            <w:gridSpan w:val="2"/>
            <w:tcBorders>
              <w:left w:val="nil"/>
              <w:right w:val="nil"/>
            </w:tcBorders>
            <w:shd w:val="clear" w:color="auto" w:fill="FFFFFF"/>
            <w:vAlign w:val="center"/>
          </w:tcPr>
          <w:p w14:paraId="41A1E631" w14:textId="3DDDDA95" w:rsidR="009D17F0" w:rsidRDefault="009D17F0" w:rsidP="00C64F7D">
            <w:pPr>
              <w:pStyle w:val="Header"/>
            </w:pPr>
          </w:p>
        </w:tc>
        <w:tc>
          <w:tcPr>
            <w:tcW w:w="7560" w:type="dxa"/>
            <w:gridSpan w:val="2"/>
            <w:tcBorders>
              <w:left w:val="nil"/>
              <w:right w:val="nil"/>
            </w:tcBorders>
            <w:vAlign w:val="center"/>
          </w:tcPr>
          <w:p w14:paraId="7B08BCA4" w14:textId="742EAE33" w:rsidR="009D17F0" w:rsidRPr="00FB509B" w:rsidRDefault="009D17F0" w:rsidP="00A62D10">
            <w:pPr>
              <w:pStyle w:val="NormalArial"/>
              <w:spacing w:before="120" w:after="120"/>
            </w:pPr>
          </w:p>
        </w:tc>
      </w:tr>
      <w:tr w:rsidR="003974C9" w14:paraId="117EEC9D" w14:textId="77777777" w:rsidTr="003974C9">
        <w:trPr>
          <w:trHeight w:val="575"/>
        </w:trPr>
        <w:tc>
          <w:tcPr>
            <w:tcW w:w="10440" w:type="dxa"/>
            <w:gridSpan w:val="4"/>
            <w:shd w:val="clear" w:color="auto" w:fill="FFFFFF"/>
            <w:vAlign w:val="center"/>
          </w:tcPr>
          <w:p w14:paraId="3356516F" w14:textId="3B50BC36" w:rsidR="003974C9" w:rsidRPr="00FB509B" w:rsidRDefault="003974C9" w:rsidP="00B358AA">
            <w:pPr>
              <w:pStyle w:val="Header"/>
              <w:spacing w:before="120" w:after="120"/>
              <w:jc w:val="center"/>
            </w:pPr>
            <w:r>
              <w:t>Submitter’s Information</w:t>
            </w:r>
          </w:p>
        </w:tc>
      </w:tr>
      <w:tr w:rsidR="007660B8" w14:paraId="112502C0" w14:textId="77777777" w:rsidTr="00092035">
        <w:trPr>
          <w:trHeight w:val="518"/>
        </w:trPr>
        <w:tc>
          <w:tcPr>
            <w:tcW w:w="2880" w:type="dxa"/>
            <w:gridSpan w:val="2"/>
            <w:shd w:val="clear" w:color="auto" w:fill="FFFFFF"/>
            <w:vAlign w:val="center"/>
          </w:tcPr>
          <w:p w14:paraId="4D47FBFB" w14:textId="7FE0B6D8" w:rsidR="007660B8" w:rsidRDefault="007660B8" w:rsidP="007660B8">
            <w:pPr>
              <w:pStyle w:val="Header"/>
              <w:spacing w:before="120" w:after="120"/>
            </w:pPr>
            <w:r>
              <w:t>Name</w:t>
            </w:r>
          </w:p>
        </w:tc>
        <w:tc>
          <w:tcPr>
            <w:tcW w:w="7560" w:type="dxa"/>
            <w:gridSpan w:val="2"/>
            <w:vAlign w:val="center"/>
          </w:tcPr>
          <w:p w14:paraId="5D9AA7D2" w14:textId="77D54E1C" w:rsidR="007660B8" w:rsidRPr="00FB509B" w:rsidRDefault="007660B8" w:rsidP="007660B8">
            <w:pPr>
              <w:pStyle w:val="NormalArial"/>
              <w:spacing w:before="120" w:after="120"/>
            </w:pPr>
            <w:r>
              <w:t>Martha Henson</w:t>
            </w:r>
          </w:p>
        </w:tc>
      </w:tr>
      <w:tr w:rsidR="007660B8" w14:paraId="37367474" w14:textId="77777777" w:rsidTr="00377AB7">
        <w:trPr>
          <w:trHeight w:val="518"/>
        </w:trPr>
        <w:tc>
          <w:tcPr>
            <w:tcW w:w="2880" w:type="dxa"/>
            <w:gridSpan w:val="2"/>
            <w:shd w:val="clear" w:color="auto" w:fill="FFFFFF"/>
            <w:vAlign w:val="center"/>
          </w:tcPr>
          <w:p w14:paraId="53E742F6" w14:textId="0E9686F9" w:rsidR="007660B8" w:rsidRDefault="007660B8" w:rsidP="007660B8">
            <w:pPr>
              <w:pStyle w:val="Header"/>
              <w:spacing w:before="120" w:after="120"/>
            </w:pPr>
            <w:r w:rsidRPr="00EC55B3">
              <w:t>E-mail Address</w:t>
            </w:r>
          </w:p>
        </w:tc>
        <w:tc>
          <w:tcPr>
            <w:tcW w:w="7560" w:type="dxa"/>
            <w:gridSpan w:val="2"/>
            <w:vAlign w:val="bottom"/>
          </w:tcPr>
          <w:p w14:paraId="6A00AE95" w14:textId="3F65E8B9" w:rsidR="007660B8" w:rsidRPr="00FB509B" w:rsidRDefault="007660B8" w:rsidP="007660B8">
            <w:pPr>
              <w:pStyle w:val="NormalArial"/>
              <w:spacing w:before="120" w:after="120"/>
            </w:pPr>
            <w:hyperlink r:id="rId10" w:history="1">
              <w:r w:rsidRPr="00C961F2">
                <w:rPr>
                  <w:rStyle w:val="Hyperlink"/>
                </w:rPr>
                <w:t>martha.henson@oncor.com</w:t>
              </w:r>
            </w:hyperlink>
          </w:p>
        </w:tc>
      </w:tr>
      <w:tr w:rsidR="007660B8" w14:paraId="7C0519CA" w14:textId="77777777" w:rsidTr="00377AB7">
        <w:trPr>
          <w:trHeight w:val="518"/>
        </w:trPr>
        <w:tc>
          <w:tcPr>
            <w:tcW w:w="2880" w:type="dxa"/>
            <w:gridSpan w:val="2"/>
            <w:shd w:val="clear" w:color="auto" w:fill="FFFFFF"/>
            <w:vAlign w:val="center"/>
          </w:tcPr>
          <w:p w14:paraId="3F1E5650" w14:textId="7EC5340E" w:rsidR="007660B8" w:rsidRDefault="007660B8" w:rsidP="007660B8">
            <w:pPr>
              <w:pStyle w:val="Header"/>
            </w:pPr>
            <w:r w:rsidRPr="00EC55B3">
              <w:t>Company</w:t>
            </w:r>
          </w:p>
        </w:tc>
        <w:tc>
          <w:tcPr>
            <w:tcW w:w="7560" w:type="dxa"/>
            <w:gridSpan w:val="2"/>
            <w:vAlign w:val="bottom"/>
          </w:tcPr>
          <w:p w14:paraId="4818D736" w14:textId="0A656E3D" w:rsidR="007660B8" w:rsidRPr="00176375" w:rsidRDefault="007660B8" w:rsidP="007660B8">
            <w:pPr>
              <w:pStyle w:val="NormalArial"/>
              <w:spacing w:after="120"/>
              <w:rPr>
                <w:i/>
                <w:sz w:val="20"/>
                <w:szCs w:val="20"/>
              </w:rPr>
            </w:pPr>
            <w:r>
              <w:t>Oncor Electric Delivery Company LLC</w:t>
            </w:r>
          </w:p>
        </w:tc>
      </w:tr>
      <w:tr w:rsidR="007660B8" w14:paraId="3F80A5FA" w14:textId="77777777" w:rsidTr="00377AB7">
        <w:trPr>
          <w:trHeight w:val="518"/>
        </w:trPr>
        <w:tc>
          <w:tcPr>
            <w:tcW w:w="2880" w:type="dxa"/>
            <w:gridSpan w:val="2"/>
            <w:shd w:val="clear" w:color="auto" w:fill="FFFFFF"/>
            <w:vAlign w:val="center"/>
          </w:tcPr>
          <w:p w14:paraId="6ABB5F27" w14:textId="795750A0" w:rsidR="007660B8" w:rsidRPr="006006D9" w:rsidRDefault="007660B8" w:rsidP="007660B8">
            <w:pPr>
              <w:pStyle w:val="Header"/>
              <w:spacing w:before="120" w:after="120"/>
            </w:pPr>
            <w:r w:rsidRPr="006006D9">
              <w:t>Phone Number</w:t>
            </w:r>
          </w:p>
        </w:tc>
        <w:tc>
          <w:tcPr>
            <w:tcW w:w="7560" w:type="dxa"/>
            <w:gridSpan w:val="2"/>
            <w:vAlign w:val="bottom"/>
          </w:tcPr>
          <w:p w14:paraId="313E5647" w14:textId="439DE430" w:rsidR="007660B8" w:rsidRPr="006006D9" w:rsidRDefault="007660B8" w:rsidP="007660B8">
            <w:pPr>
              <w:pStyle w:val="NormalArial"/>
              <w:spacing w:before="120" w:after="120"/>
            </w:pPr>
          </w:p>
        </w:tc>
      </w:tr>
      <w:tr w:rsidR="007660B8" w14:paraId="2813F321" w14:textId="77777777" w:rsidTr="00377AB7">
        <w:trPr>
          <w:trHeight w:val="518"/>
        </w:trPr>
        <w:tc>
          <w:tcPr>
            <w:tcW w:w="2880" w:type="dxa"/>
            <w:gridSpan w:val="2"/>
            <w:shd w:val="clear" w:color="auto" w:fill="FFFFFF"/>
            <w:vAlign w:val="center"/>
          </w:tcPr>
          <w:p w14:paraId="6A72808E" w14:textId="1784A3E8" w:rsidR="007660B8" w:rsidRPr="00EC55B3" w:rsidRDefault="007660B8" w:rsidP="007660B8">
            <w:pPr>
              <w:pStyle w:val="Header"/>
              <w:spacing w:before="120" w:after="120"/>
            </w:pPr>
            <w:r>
              <w:t>Cell</w:t>
            </w:r>
            <w:r w:rsidRPr="00EC55B3">
              <w:t xml:space="preserve"> Number</w:t>
            </w:r>
          </w:p>
        </w:tc>
        <w:tc>
          <w:tcPr>
            <w:tcW w:w="7560" w:type="dxa"/>
            <w:gridSpan w:val="2"/>
            <w:vAlign w:val="bottom"/>
          </w:tcPr>
          <w:p w14:paraId="45BABDE6" w14:textId="5FDCC3C2" w:rsidR="007660B8" w:rsidRPr="00492239" w:rsidRDefault="007660B8" w:rsidP="007660B8">
            <w:pPr>
              <w:pStyle w:val="NormalArial"/>
              <w:spacing w:before="120" w:after="120"/>
            </w:pPr>
            <w:r>
              <w:t>214-536-9004</w:t>
            </w:r>
          </w:p>
        </w:tc>
      </w:tr>
      <w:tr w:rsidR="007660B8" w14:paraId="480623AB" w14:textId="77777777" w:rsidTr="00377AB7">
        <w:trPr>
          <w:trHeight w:val="58"/>
        </w:trPr>
        <w:tc>
          <w:tcPr>
            <w:tcW w:w="2880" w:type="dxa"/>
            <w:gridSpan w:val="2"/>
            <w:shd w:val="clear" w:color="auto" w:fill="FFFFFF"/>
            <w:vAlign w:val="center"/>
          </w:tcPr>
          <w:p w14:paraId="0ACA638F" w14:textId="25798024" w:rsidR="007660B8" w:rsidRDefault="007660B8" w:rsidP="007660B8">
            <w:pPr>
              <w:pStyle w:val="Header"/>
              <w:spacing w:before="120" w:after="120"/>
            </w:pPr>
            <w:r>
              <w:t>Market Segment</w:t>
            </w:r>
          </w:p>
        </w:tc>
        <w:tc>
          <w:tcPr>
            <w:tcW w:w="7560" w:type="dxa"/>
            <w:gridSpan w:val="2"/>
            <w:vAlign w:val="bottom"/>
          </w:tcPr>
          <w:p w14:paraId="115A15E1" w14:textId="29A3E615" w:rsidR="007660B8" w:rsidRPr="00492239" w:rsidRDefault="007660B8" w:rsidP="007660B8">
            <w:pPr>
              <w:pStyle w:val="NormalArial"/>
              <w:spacing w:before="120" w:after="120"/>
            </w:pPr>
            <w:r>
              <w:t>Investor-Owned Utility</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BA6EB2B" w14:textId="77777777" w:rsidTr="00D176CF">
        <w:trPr>
          <w:cantSplit/>
          <w:trHeight w:val="432"/>
        </w:trPr>
        <w:tc>
          <w:tcPr>
            <w:tcW w:w="10440" w:type="dxa"/>
            <w:tcBorders>
              <w:top w:val="single" w:sz="4" w:space="0" w:color="auto"/>
            </w:tcBorders>
            <w:shd w:val="clear" w:color="auto" w:fill="FFFFFF"/>
            <w:vAlign w:val="center"/>
          </w:tcPr>
          <w:p w14:paraId="66CEEEAA" w14:textId="5145668D" w:rsidR="00176375" w:rsidRPr="00176375" w:rsidRDefault="00D16912" w:rsidP="00176375">
            <w:pPr>
              <w:pStyle w:val="Header"/>
              <w:jc w:val="center"/>
              <w:rPr>
                <w:bCs w:val="0"/>
              </w:rPr>
            </w:pPr>
            <w:bookmarkStart w:id="0" w:name="_Hlk154568842"/>
            <w:r>
              <w:t>Comments</w:t>
            </w:r>
          </w:p>
        </w:tc>
      </w:tr>
    </w:tbl>
    <w:bookmarkEnd w:id="0"/>
    <w:p w14:paraId="60D34C6F" w14:textId="781D33E8" w:rsidR="00D83239" w:rsidRDefault="007660B8" w:rsidP="00120BA3">
      <w:pPr>
        <w:pStyle w:val="NormalArial"/>
        <w:spacing w:before="120" w:after="120"/>
        <w:jc w:val="both"/>
      </w:pPr>
      <w:r>
        <w:t xml:space="preserve">Oncor </w:t>
      </w:r>
      <w:r w:rsidR="006C4B6A">
        <w:t xml:space="preserve">Electric Delivery Company LLC (Oncor) </w:t>
      </w:r>
      <w:r>
        <w:t xml:space="preserve">submits these comments </w:t>
      </w:r>
      <w:r w:rsidR="00926ED4">
        <w:t>to</w:t>
      </w:r>
      <w:r w:rsidR="006C4B6A">
        <w:t xml:space="preserve"> Nodal Protocol Revision Request (N</w:t>
      </w:r>
      <w:r>
        <w:t>PRR</w:t>
      </w:r>
      <w:r w:rsidR="006C4B6A">
        <w:t xml:space="preserve">) </w:t>
      </w:r>
      <w:r>
        <w:t>1</w:t>
      </w:r>
      <w:r w:rsidR="006C4B6A">
        <w:t>334</w:t>
      </w:r>
      <w:r>
        <w:t xml:space="preserve">, </w:t>
      </w:r>
      <w:r w:rsidR="006C4B6A">
        <w:t>Revision to Cybersecurity Incident Notification</w:t>
      </w:r>
      <w:r>
        <w:t xml:space="preserve">, </w:t>
      </w:r>
      <w:r w:rsidR="006C4B6A">
        <w:t>posted by ERCOT on May 26, 2026.</w:t>
      </w:r>
      <w:r w:rsidR="00926ED4">
        <w:t xml:space="preserve">  </w:t>
      </w:r>
      <w:r w:rsidR="006F3083">
        <w:t xml:space="preserve">Oncor </w:t>
      </w:r>
      <w:r w:rsidR="00926ED4">
        <w:t>has identified</w:t>
      </w:r>
      <w:r w:rsidR="006F3083">
        <w:t xml:space="preserve"> six key concerns with NPRR1334 in its current form</w:t>
      </w:r>
      <w:r w:rsidR="00926ED4">
        <w:t>, and proposes the following changes be made to the NPRR</w:t>
      </w:r>
      <w:r w:rsidR="00D83239">
        <w:t xml:space="preserve">: </w:t>
      </w:r>
    </w:p>
    <w:p w14:paraId="7491E526" w14:textId="77777777" w:rsidR="00D83239" w:rsidRDefault="00D83239" w:rsidP="00120BA3">
      <w:pPr>
        <w:pStyle w:val="NormalArial"/>
        <w:numPr>
          <w:ilvl w:val="0"/>
          <w:numId w:val="28"/>
        </w:numPr>
        <w:jc w:val="both"/>
      </w:pPr>
      <w:r>
        <w:t>Remove the reference to “other ERCOT System Infrastructure” from the Cybersecurity Incident definition;</w:t>
      </w:r>
    </w:p>
    <w:p w14:paraId="4D3F5BD8" w14:textId="4FEE32DC" w:rsidR="00D83239" w:rsidRDefault="00D83239" w:rsidP="00120BA3">
      <w:pPr>
        <w:pStyle w:val="NormalArial"/>
        <w:numPr>
          <w:ilvl w:val="0"/>
          <w:numId w:val="28"/>
        </w:numPr>
        <w:jc w:val="both"/>
      </w:pPr>
      <w:r>
        <w:t xml:space="preserve">Remove the proposed 24-hour reporting obligation; </w:t>
      </w:r>
    </w:p>
    <w:p w14:paraId="37DE8E89" w14:textId="6B01BE89" w:rsidR="00D83239" w:rsidRDefault="00D83239" w:rsidP="00120BA3">
      <w:pPr>
        <w:pStyle w:val="NormalArial"/>
        <w:numPr>
          <w:ilvl w:val="0"/>
          <w:numId w:val="28"/>
        </w:numPr>
        <w:jc w:val="both"/>
      </w:pPr>
      <w:r>
        <w:t xml:space="preserve">Clarify that the relevant determination is one made by the Market Participant; </w:t>
      </w:r>
    </w:p>
    <w:p w14:paraId="3DF31FF0" w14:textId="0CE05AEC" w:rsidR="00D83239" w:rsidRDefault="00D83239" w:rsidP="00120BA3">
      <w:pPr>
        <w:pStyle w:val="NormalArial"/>
        <w:numPr>
          <w:ilvl w:val="0"/>
          <w:numId w:val="28"/>
        </w:numPr>
        <w:jc w:val="both"/>
      </w:pPr>
      <w:r>
        <w:t>Remove obligations that extend to incidents on a vendor’s system;</w:t>
      </w:r>
    </w:p>
    <w:p w14:paraId="4C95D0E4" w14:textId="0021F1E0" w:rsidR="00D83239" w:rsidRDefault="00D83239" w:rsidP="00120BA3">
      <w:pPr>
        <w:pStyle w:val="NormalArial"/>
        <w:numPr>
          <w:ilvl w:val="0"/>
          <w:numId w:val="28"/>
        </w:numPr>
        <w:jc w:val="both"/>
      </w:pPr>
      <w:r>
        <w:t xml:space="preserve">Remove the reporting requirement tied to Cybersecurity Incidents that foreseeably jeopardize a Market Participant’s </w:t>
      </w:r>
      <w:r w:rsidRPr="00B82D2C">
        <w:t>performance of its obligations under the Protocols, an Other Binding Document, or Agreement</w:t>
      </w:r>
      <w:r>
        <w:t xml:space="preserve">; </w:t>
      </w:r>
      <w:r w:rsidR="00733D10">
        <w:t>and</w:t>
      </w:r>
    </w:p>
    <w:p w14:paraId="63FA7FE8" w14:textId="5298F28B" w:rsidR="00D83239" w:rsidRDefault="00D83239" w:rsidP="00120BA3">
      <w:pPr>
        <w:pStyle w:val="NormalArial"/>
        <w:numPr>
          <w:ilvl w:val="0"/>
          <w:numId w:val="28"/>
        </w:numPr>
        <w:jc w:val="both"/>
      </w:pPr>
      <w:r>
        <w:t xml:space="preserve">Modify the </w:t>
      </w:r>
      <w:proofErr w:type="gramStart"/>
      <w:r>
        <w:t>manner in which</w:t>
      </w:r>
      <w:proofErr w:type="gramEnd"/>
      <w:r>
        <w:t xml:space="preserve"> ERCOT will use information contained in a Market Participant’s Notice of Cybersecurity Incident.</w:t>
      </w:r>
    </w:p>
    <w:p w14:paraId="6BCB7C4B" w14:textId="7D6D827B" w:rsidR="00733D10" w:rsidRDefault="00D83239" w:rsidP="00120BA3">
      <w:pPr>
        <w:pStyle w:val="NormalArial"/>
        <w:spacing w:before="120" w:after="120"/>
        <w:jc w:val="both"/>
      </w:pPr>
      <w:r>
        <w:t xml:space="preserve">These </w:t>
      </w:r>
      <w:r w:rsidR="006F3083">
        <w:t>issues</w:t>
      </w:r>
      <w:r>
        <w:t xml:space="preserve"> are described in further detail below.</w:t>
      </w:r>
    </w:p>
    <w:p w14:paraId="68BB8707" w14:textId="48F9276C" w:rsidR="00733D10" w:rsidRPr="00764583" w:rsidRDefault="00733D10" w:rsidP="00120BA3">
      <w:pPr>
        <w:pStyle w:val="NormalArial"/>
        <w:numPr>
          <w:ilvl w:val="0"/>
          <w:numId w:val="29"/>
        </w:numPr>
        <w:jc w:val="both"/>
      </w:pPr>
      <w:r w:rsidRPr="00AA1229">
        <w:rPr>
          <w:b/>
          <w:bCs/>
        </w:rPr>
        <w:t xml:space="preserve">Reference to “ERCOT system Infrastructure” </w:t>
      </w:r>
      <w:r>
        <w:rPr>
          <w:b/>
          <w:bCs/>
        </w:rPr>
        <w:t>in</w:t>
      </w:r>
      <w:r w:rsidRPr="00AA1229">
        <w:rPr>
          <w:b/>
          <w:bCs/>
        </w:rPr>
        <w:t xml:space="preserve"> the Cybersecurity Incident definition</w:t>
      </w:r>
    </w:p>
    <w:p w14:paraId="710A1A99" w14:textId="77777777" w:rsidR="00733D10" w:rsidRPr="00764583" w:rsidRDefault="00733D10" w:rsidP="00120BA3">
      <w:pPr>
        <w:pStyle w:val="NormalArial"/>
        <w:ind w:left="720"/>
        <w:jc w:val="both"/>
      </w:pPr>
    </w:p>
    <w:p w14:paraId="1389AD25" w14:textId="77777777" w:rsidR="00733D10" w:rsidRDefault="00733D10" w:rsidP="00120BA3">
      <w:pPr>
        <w:pStyle w:val="NormalArial"/>
        <w:ind w:left="720"/>
        <w:jc w:val="both"/>
      </w:pPr>
    </w:p>
    <w:p w14:paraId="5EFD693A" w14:textId="62C4B33B" w:rsidR="009220CD" w:rsidRDefault="00BA7CD9" w:rsidP="00120BA3">
      <w:pPr>
        <w:pStyle w:val="NormalArial"/>
        <w:spacing w:before="120" w:after="120"/>
        <w:ind w:left="720"/>
        <w:jc w:val="both"/>
      </w:pPr>
      <w:r w:rsidRPr="00764583">
        <w:lastRenderedPageBreak/>
        <w:t>The definition of Cybersecurity Incident should not include ERCOT System Infrastructure.</w:t>
      </w:r>
      <w:r>
        <w:t xml:space="preserve">  T</w:t>
      </w:r>
      <w:r w:rsidR="00F33808">
        <w:t>he propose</w:t>
      </w:r>
      <w:r w:rsidR="006F644C">
        <w:t>d</w:t>
      </w:r>
      <w:r w:rsidR="00F33808">
        <w:t xml:space="preserve"> change </w:t>
      </w:r>
      <w:r w:rsidR="009A12CC">
        <w:t>in</w:t>
      </w:r>
      <w:r w:rsidR="00F33808">
        <w:t xml:space="preserve"> Section 2.1</w:t>
      </w:r>
      <w:r w:rsidR="00E2153C">
        <w:t>, Definitions,</w:t>
      </w:r>
      <w:r w:rsidR="006C4B6A">
        <w:t xml:space="preserve"> </w:t>
      </w:r>
      <w:r w:rsidR="00F33808">
        <w:t xml:space="preserve">to the definition of Cybersecurity Incident will expand </w:t>
      </w:r>
      <w:r w:rsidR="00A85394">
        <w:t>Market Participants’</w:t>
      </w:r>
      <w:r w:rsidR="00F33808">
        <w:t xml:space="preserve"> </w:t>
      </w:r>
      <w:r w:rsidR="009A12CC">
        <w:t>notification</w:t>
      </w:r>
      <w:r w:rsidR="00F33808">
        <w:t xml:space="preserve"> obligations under Section 16.18,</w:t>
      </w:r>
      <w:r w:rsidR="00E2153C">
        <w:t xml:space="preserve"> Cybersecurity Incident Notification,</w:t>
      </w:r>
      <w:r w:rsidR="00F33808">
        <w:t xml:space="preserve"> </w:t>
      </w:r>
      <w:r w:rsidR="009A12CC">
        <w:t xml:space="preserve">in addition </w:t>
      </w:r>
      <w:r w:rsidR="009A12CC" w:rsidRPr="00382E70">
        <w:t>to the proposed changes to Section 16.18 that will increase those obligations</w:t>
      </w:r>
      <w:r w:rsidR="00F33808" w:rsidRPr="00382E70">
        <w:t xml:space="preserve">.  Oncor’s current </w:t>
      </w:r>
      <w:r w:rsidR="004748B4" w:rsidRPr="00382E70">
        <w:t>notification</w:t>
      </w:r>
      <w:r w:rsidR="00F33808" w:rsidRPr="00382E70">
        <w:t xml:space="preserve"> obligation under Section 16.</w:t>
      </w:r>
      <w:r w:rsidR="008F4C94" w:rsidRPr="00382E70">
        <w:t>18</w:t>
      </w:r>
      <w:r w:rsidR="006F644C" w:rsidRPr="00382E70">
        <w:t xml:space="preserve"> is tied to incidents that could foreseeably jeopardize the reliability or integrity of the ERCOT System (meaning the interconnected power system that is under the jurisdiction of the </w:t>
      </w:r>
      <w:r w:rsidR="00AB5A4B" w:rsidRPr="00382E70">
        <w:t>Public Utility Commission</w:t>
      </w:r>
      <w:r w:rsidR="00AB5A4B" w:rsidRPr="00AB5A4B">
        <w:t xml:space="preserve"> of Texas (</w:t>
      </w:r>
      <w:r w:rsidR="006F644C" w:rsidRPr="00382E70">
        <w:t>PUCT</w:t>
      </w:r>
      <w:r w:rsidR="00AB5A4B" w:rsidRPr="00382E70">
        <w:t>)</w:t>
      </w:r>
      <w:r w:rsidR="006F644C" w:rsidRPr="00382E70">
        <w:t xml:space="preserve"> and that is not synchronously interconnected with either the Eastern Interconnection or the Western Electricity Coordinating Council).</w:t>
      </w:r>
      <w:r w:rsidR="004748B4" w:rsidRPr="00382E70">
        <w:rPr>
          <w:rStyle w:val="FootnoteReference"/>
        </w:rPr>
        <w:footnoteReference w:id="1"/>
      </w:r>
      <w:r w:rsidR="006F644C" w:rsidRPr="00382E70">
        <w:t xml:space="preserve">  </w:t>
      </w:r>
      <w:r w:rsidR="004748B4" w:rsidRPr="00382E70">
        <w:t>This</w:t>
      </w:r>
      <w:r w:rsidR="00294032" w:rsidRPr="00382E70">
        <w:t xml:space="preserve"> </w:t>
      </w:r>
      <w:r w:rsidR="00A85394" w:rsidRPr="00382E70">
        <w:t xml:space="preserve">NPRR’s </w:t>
      </w:r>
      <w:r w:rsidR="00294032" w:rsidRPr="00382E70">
        <w:t>proposal to add “</w:t>
      </w:r>
      <w:r w:rsidR="00382E70">
        <w:t xml:space="preserve">or </w:t>
      </w:r>
      <w:r w:rsidR="00294032" w:rsidRPr="00382E70">
        <w:t xml:space="preserve">any other ERCOT System Infrastructure” to the definition of “Cybersecurity Incident” </w:t>
      </w:r>
      <w:r w:rsidR="00AA68BD">
        <w:t xml:space="preserve">in Section 2.1 </w:t>
      </w:r>
      <w:r w:rsidR="00294032" w:rsidRPr="00382E70">
        <w:t>would</w:t>
      </w:r>
      <w:r w:rsidR="00294032">
        <w:t xml:space="preserve"> result in the </w:t>
      </w:r>
      <w:r w:rsidR="004748B4">
        <w:t>notification</w:t>
      </w:r>
      <w:r w:rsidR="00294032">
        <w:t xml:space="preserve"> obligation </w:t>
      </w:r>
      <w:r w:rsidR="00382E70">
        <w:t>becoming much broader, now</w:t>
      </w:r>
      <w:r w:rsidR="004748B4">
        <w:t xml:space="preserve"> extending</w:t>
      </w:r>
      <w:r w:rsidR="00294032">
        <w:t xml:space="preserve"> </w:t>
      </w:r>
      <w:r w:rsidR="004748B4">
        <w:t xml:space="preserve">to </w:t>
      </w:r>
      <w:r w:rsidR="00146DE3">
        <w:t>distribution facilities.</w:t>
      </w:r>
      <w:r w:rsidR="002C5BF9" w:rsidRPr="00E45D6E">
        <w:rPr>
          <w:rStyle w:val="FootnoteReference"/>
        </w:rPr>
        <w:footnoteReference w:id="2"/>
      </w:r>
      <w:r w:rsidR="00294032" w:rsidRPr="00E45D6E">
        <w:t xml:space="preserve"> </w:t>
      </w:r>
      <w:r w:rsidR="007B0C3B">
        <w:t xml:space="preserve"> </w:t>
      </w:r>
      <w:r w:rsidR="00146DE3">
        <w:t xml:space="preserve">For example, </w:t>
      </w:r>
      <w:r w:rsidR="00270714">
        <w:t>the revised definition could extend to</w:t>
      </w:r>
      <w:r w:rsidR="00146DE3">
        <w:t xml:space="preserve"> an incident that could foreseeably jeopardize the reliability or integrity of </w:t>
      </w:r>
      <w:r w:rsidR="00146DE3" w:rsidRPr="00E45D6E">
        <w:t>a feeder on Oncor’s distribution system,</w:t>
      </w:r>
      <w:r w:rsidR="00146DE3">
        <w:t xml:space="preserve"> </w:t>
      </w:r>
      <w:r w:rsidR="00294032" w:rsidRPr="00E45D6E">
        <w:t>even if Oncor d</w:t>
      </w:r>
      <w:r w:rsidR="00294032" w:rsidRPr="00382E70">
        <w:t>oes not foresee that the incident will ultimately impact the reliability or integrity of the overall ERCOT System</w:t>
      </w:r>
      <w:r w:rsidR="00294032">
        <w:t xml:space="preserve">.  The broadened </w:t>
      </w:r>
      <w:r w:rsidR="00382E70">
        <w:t>notification</w:t>
      </w:r>
      <w:r w:rsidR="00294032">
        <w:t xml:space="preserve"> obligation </w:t>
      </w:r>
      <w:r w:rsidR="002702DC">
        <w:t>under</w:t>
      </w:r>
      <w:r w:rsidR="00294032">
        <w:t xml:space="preserve"> this change</w:t>
      </w:r>
      <w:r w:rsidR="00AA68BD">
        <w:t xml:space="preserve"> to the definition</w:t>
      </w:r>
      <w:r w:rsidR="00294032">
        <w:t xml:space="preserve"> </w:t>
      </w:r>
      <w:r w:rsidR="00294032" w:rsidRPr="002702DC">
        <w:t xml:space="preserve">should </w:t>
      </w:r>
      <w:r w:rsidR="00270714">
        <w:t>not be adopted</w:t>
      </w:r>
      <w:r w:rsidR="00382E70">
        <w:t>.  Not only would it result in a more onerous notification obligation for Market Participants, but it would yield a greater volume of notifications that ERCOT must review</w:t>
      </w:r>
      <w:r w:rsidR="002C5BF9">
        <w:t xml:space="preserve">, even though some of those notifications will not involve incidents that are expected to impact the reliability or integrity of the ERCOT System (and thus may be of little value or relevance to ERCOT). </w:t>
      </w:r>
    </w:p>
    <w:p w14:paraId="18A1E27E" w14:textId="4B28D30C" w:rsidR="00DA45C3" w:rsidRDefault="009220CD" w:rsidP="00120BA3">
      <w:pPr>
        <w:pStyle w:val="NormalArial"/>
        <w:spacing w:before="120" w:after="120"/>
        <w:ind w:left="720"/>
        <w:jc w:val="both"/>
      </w:pPr>
      <w:r w:rsidRPr="00EC4F91">
        <w:t xml:space="preserve">At the very most, only the specific components comprising ERCOT System Infrastructure that ERCOT believes, if jeopardized, would pose </w:t>
      </w:r>
      <w:r w:rsidR="005B0539" w:rsidRPr="00EC4F91">
        <w:t>a significant</w:t>
      </w:r>
      <w:r w:rsidRPr="00EC4F91">
        <w:t xml:space="preserve"> concern to the ERCOT System should be added to the definition of Cybersecurity Incident (such as, perhaps, </w:t>
      </w:r>
      <w:r w:rsidR="005B0539" w:rsidRPr="00EC4F91">
        <w:t xml:space="preserve">a certain subset of </w:t>
      </w:r>
      <w:r w:rsidRPr="00EC4F91">
        <w:t>transmission substations or transmission lines</w:t>
      </w:r>
      <w:r w:rsidR="004C345C" w:rsidRPr="00EC4F91">
        <w:t>, but certainly not distribution facilities</w:t>
      </w:r>
      <w:r w:rsidRPr="00EC4F91">
        <w:t xml:space="preserve">). </w:t>
      </w:r>
      <w:r w:rsidR="005B0539" w:rsidRPr="00EC4F91">
        <w:t>Oncor’s recommendation, however, is</w:t>
      </w:r>
      <w:r w:rsidRPr="00EC4F91">
        <w:t xml:space="preserve"> that no additional components</w:t>
      </w:r>
      <w:r w:rsidR="005B0539" w:rsidRPr="00EC4F91">
        <w:t xml:space="preserve"> or items</w:t>
      </w:r>
      <w:r w:rsidRPr="00EC4F91">
        <w:t xml:space="preserve"> except for “</w:t>
      </w:r>
      <w:r w:rsidR="005B0539" w:rsidRPr="00EC4F91">
        <w:t xml:space="preserve">a </w:t>
      </w:r>
      <w:r w:rsidRPr="00EC4F91">
        <w:t xml:space="preserve">Resource” be added to this definition, because </w:t>
      </w:r>
      <w:r w:rsidR="005B0539" w:rsidRPr="00EC4F91">
        <w:t>doing so would</w:t>
      </w:r>
      <w:r w:rsidRPr="00EC4F91">
        <w:t xml:space="preserve"> result in reports of incidents that impact the Market Participant only and do not impact the ERCOT System.</w:t>
      </w:r>
    </w:p>
    <w:p w14:paraId="721AE862" w14:textId="77777777" w:rsidR="00DA45C3" w:rsidRPr="00AA1229" w:rsidRDefault="00DA45C3" w:rsidP="00120BA3">
      <w:pPr>
        <w:pStyle w:val="NormalArial"/>
        <w:numPr>
          <w:ilvl w:val="0"/>
          <w:numId w:val="29"/>
        </w:numPr>
        <w:jc w:val="both"/>
        <w:rPr>
          <w:b/>
          <w:bCs/>
        </w:rPr>
      </w:pPr>
      <w:r>
        <w:rPr>
          <w:b/>
          <w:bCs/>
        </w:rPr>
        <w:t>P</w:t>
      </w:r>
      <w:r w:rsidRPr="00AA1229">
        <w:rPr>
          <w:b/>
          <w:bCs/>
        </w:rPr>
        <w:t xml:space="preserve">roposed 24-hour reporting obligation </w:t>
      </w:r>
    </w:p>
    <w:p w14:paraId="61D536E0" w14:textId="0495DA62" w:rsidR="004A2CD1" w:rsidRDefault="00BA7CD9" w:rsidP="00120BA3">
      <w:pPr>
        <w:pStyle w:val="NormalArial"/>
        <w:spacing w:before="120" w:after="120"/>
        <w:ind w:left="720"/>
        <w:jc w:val="both"/>
      </w:pPr>
      <w:r w:rsidRPr="00764583">
        <w:t>Section 16.18 should not impose a 24-hour notification obligation</w:t>
      </w:r>
      <w:r w:rsidR="00E93953" w:rsidRPr="00764583">
        <w:t>, and the “as soon as reasonably practicable upon determination” language should remain unchanged</w:t>
      </w:r>
      <w:r w:rsidRPr="00764583">
        <w:t>.</w:t>
      </w:r>
      <w:r>
        <w:t xml:space="preserve">  </w:t>
      </w:r>
      <w:r w:rsidR="00187DC2">
        <w:t>In</w:t>
      </w:r>
      <w:r w:rsidR="002702DC">
        <w:t xml:space="preserve"> </w:t>
      </w:r>
      <w:r w:rsidR="004A2CD1">
        <w:t xml:space="preserve">paragraphs (2) to (4) of </w:t>
      </w:r>
      <w:r w:rsidR="00DD4FCD">
        <w:t xml:space="preserve">Section 16.18 </w:t>
      </w:r>
      <w:r w:rsidR="00187DC2">
        <w:t xml:space="preserve">of the NPRR, the proposal to change the timeframe for notifying ERCOT </w:t>
      </w:r>
      <w:r w:rsidR="00D56A14">
        <w:t>from “as soon as practicable upon determination of a Cybersecurity Incident” to “as soon as practicable within the initial 24-hour period after determination of a Cybersecurity Incident” is a significant change</w:t>
      </w:r>
      <w:r w:rsidR="00DD4FCD">
        <w:t xml:space="preserve"> </w:t>
      </w:r>
      <w:r w:rsidR="008F4C94">
        <w:t>with which</w:t>
      </w:r>
      <w:r w:rsidR="00DD4FCD">
        <w:t xml:space="preserve"> Market Participants may struggle to comply.  </w:t>
      </w:r>
      <w:r w:rsidR="00017B22">
        <w:t xml:space="preserve">The first 24-hour </w:t>
      </w:r>
      <w:r w:rsidR="00017B22">
        <w:lastRenderedPageBreak/>
        <w:t>period after</w:t>
      </w:r>
      <w:r w:rsidR="00187DC2">
        <w:t xml:space="preserve"> determination of</w:t>
      </w:r>
      <w:r w:rsidR="00017B22">
        <w:t xml:space="preserve"> a Cybersecurity </w:t>
      </w:r>
      <w:r w:rsidR="00187DC2">
        <w:t>I</w:t>
      </w:r>
      <w:r w:rsidR="00017B22">
        <w:t xml:space="preserve">ncident is often a dynamic, all-hands-on-deck period of time during which personnel </w:t>
      </w:r>
      <w:r w:rsidR="00187DC2">
        <w:t xml:space="preserve">must quickly </w:t>
      </w:r>
      <w:r w:rsidR="0050468D">
        <w:t>“</w:t>
      </w:r>
      <w:r w:rsidR="00017B22">
        <w:t>triage</w:t>
      </w:r>
      <w:r w:rsidR="0050468D">
        <w:t>”</w:t>
      </w:r>
      <w:r w:rsidR="00017B22">
        <w:t xml:space="preserve"> an incident</w:t>
      </w:r>
      <w:r w:rsidR="0050468D">
        <w:t xml:space="preserve"> to</w:t>
      </w:r>
      <w:r w:rsidR="00017B22">
        <w:t xml:space="preserve"> stop further occurrence of the incident</w:t>
      </w:r>
      <w:r w:rsidR="008F4C94">
        <w:t xml:space="preserve">, </w:t>
      </w:r>
      <w:r w:rsidR="00017B22">
        <w:t xml:space="preserve">identify </w:t>
      </w:r>
      <w:r w:rsidR="008F4C94">
        <w:t xml:space="preserve">the extent of the impacts caused by the incident, </w:t>
      </w:r>
      <w:r w:rsidR="00017B22">
        <w:t xml:space="preserve">and mitigate </w:t>
      </w:r>
      <w:r w:rsidR="008F4C94">
        <w:t xml:space="preserve">those </w:t>
      </w:r>
      <w:r w:rsidR="00017B22">
        <w:t xml:space="preserve">impacts </w:t>
      </w:r>
      <w:r w:rsidR="008F4C94">
        <w:t>as quickly as possible</w:t>
      </w:r>
      <w:r w:rsidR="00091C4D">
        <w:t xml:space="preserve"> </w:t>
      </w:r>
      <w:r w:rsidR="00187DC2">
        <w:t>using</w:t>
      </w:r>
      <w:r w:rsidR="00091C4D">
        <w:t xml:space="preserve"> work-around solutions or other measures</w:t>
      </w:r>
      <w:r w:rsidR="00017B22">
        <w:t xml:space="preserve">.  The proposed </w:t>
      </w:r>
      <w:r w:rsidR="00352F91">
        <w:t>notification</w:t>
      </w:r>
      <w:r w:rsidR="008F4C94">
        <w:t xml:space="preserve"> window of 24 hours after determination </w:t>
      </w:r>
      <w:r w:rsidR="00017B22">
        <w:t xml:space="preserve">would require the Market Participant to perform yet another </w:t>
      </w:r>
      <w:r w:rsidR="008F4C94">
        <w:t xml:space="preserve">time-consuming </w:t>
      </w:r>
      <w:r w:rsidR="00017B22">
        <w:t>task when resources are most thinly stretched.  S</w:t>
      </w:r>
      <w:r w:rsidR="00DD4FCD">
        <w:t xml:space="preserve">uch </w:t>
      </w:r>
      <w:r w:rsidR="00D56A14">
        <w:t xml:space="preserve">an immediate reporting period </w:t>
      </w:r>
      <w:r w:rsidR="00E93953">
        <w:t xml:space="preserve">will </w:t>
      </w:r>
      <w:r w:rsidR="00EB1C3C">
        <w:t xml:space="preserve">detract from the Market Participant’s efforts to address the </w:t>
      </w:r>
      <w:r w:rsidR="008F4C94">
        <w:t>C</w:t>
      </w:r>
      <w:r w:rsidR="00EB1C3C">
        <w:t xml:space="preserve">ybersecurity </w:t>
      </w:r>
      <w:r w:rsidR="008F4C94">
        <w:t>I</w:t>
      </w:r>
      <w:r w:rsidR="00EB1C3C">
        <w:t>ncident at hand and</w:t>
      </w:r>
      <w:r w:rsidR="008F4C94">
        <w:t xml:space="preserve"> </w:t>
      </w:r>
      <w:r w:rsidR="00187DC2">
        <w:t xml:space="preserve">its </w:t>
      </w:r>
      <w:r w:rsidR="008F4C94">
        <w:t>efforts</w:t>
      </w:r>
      <w:r w:rsidR="00EB1C3C">
        <w:t xml:space="preserve"> to mitigate any impacts flowing from the incident</w:t>
      </w:r>
      <w:r w:rsidR="00DD4FCD">
        <w:t xml:space="preserve"> in the critical</w:t>
      </w:r>
      <w:r w:rsidR="008F4C94">
        <w:t xml:space="preserve"> period of the</w:t>
      </w:r>
      <w:r w:rsidR="00DD4FCD">
        <w:t xml:space="preserve"> first 24 hours</w:t>
      </w:r>
      <w:r w:rsidR="00EB1C3C">
        <w:t>.</w:t>
      </w:r>
      <w:r w:rsidR="00C136A3">
        <w:t xml:space="preserve">  </w:t>
      </w:r>
      <w:r w:rsidR="00017B22">
        <w:t>I</w:t>
      </w:r>
      <w:r w:rsidR="00DE0F6B">
        <w:t xml:space="preserve">t </w:t>
      </w:r>
      <w:r w:rsidR="00E93953">
        <w:t>will divert important resources by requiring</w:t>
      </w:r>
      <w:r w:rsidR="00DE0F6B">
        <w:t xml:space="preserve"> </w:t>
      </w:r>
      <w:r w:rsidR="0050468D">
        <w:t xml:space="preserve">several employees </w:t>
      </w:r>
      <w:r w:rsidR="00E93953">
        <w:t>to work</w:t>
      </w:r>
      <w:r w:rsidR="0050468D">
        <w:t xml:space="preserve"> around the clock to determine</w:t>
      </w:r>
      <w:r w:rsidR="00187DC2">
        <w:t xml:space="preserve"> how the incident </w:t>
      </w:r>
      <w:r w:rsidR="0050468D">
        <w:t>could foreseeably</w:t>
      </w:r>
      <w:r w:rsidR="00187DC2">
        <w:t xml:space="preserve"> impact </w:t>
      </w:r>
      <w:r w:rsidR="003053D6">
        <w:t xml:space="preserve">both </w:t>
      </w:r>
      <w:r w:rsidR="00187DC2">
        <w:t xml:space="preserve">the ERCOT System </w:t>
      </w:r>
      <w:r w:rsidR="003053D6">
        <w:t>and</w:t>
      </w:r>
      <w:r w:rsidR="00187DC2">
        <w:t xml:space="preserve"> the Market Participant’s own systems, networks, assets, and obligations, and the determination of whether the incident rises to the level that must be reported to ERCOT under Section 16.18</w:t>
      </w:r>
      <w:r w:rsidR="00017B22">
        <w:t xml:space="preserve"> </w:t>
      </w:r>
      <w:r w:rsidR="00F51B68">
        <w:t>will require</w:t>
      </w:r>
      <w:r w:rsidR="00017B22">
        <w:t xml:space="preserve"> a judgment call that most likely will need to be made by multiple personnel</w:t>
      </w:r>
      <w:r w:rsidR="00DE0F6B">
        <w:t xml:space="preserve">.  </w:t>
      </w:r>
      <w:r w:rsidR="0050468D">
        <w:t xml:space="preserve">It would be unduly burdensome, and potentially infeasible, to accomplish this within 24 hours, especially when attention is focused on handling the Cybersecurity Incident.  </w:t>
      </w:r>
      <w:r w:rsidR="00270714">
        <w:t xml:space="preserve">This proposed revision could also result in a Market Participant </w:t>
      </w:r>
      <w:r w:rsidR="00CB6A1A">
        <w:t>making a notification that is not particularly effective or that is unintentionally incomplete or incorrect.  This is because</w:t>
      </w:r>
      <w:r w:rsidR="00270714">
        <w:t xml:space="preserve"> </w:t>
      </w:r>
      <w:r w:rsidR="00CB6A1A">
        <w:t xml:space="preserve">entities often know so little in the early stages of an incident, and </w:t>
      </w:r>
      <w:r w:rsidR="00270714">
        <w:t>additional information</w:t>
      </w:r>
      <w:r w:rsidR="00CB6A1A">
        <w:t xml:space="preserve"> that is</w:t>
      </w:r>
      <w:r w:rsidR="00270714">
        <w:t xml:space="preserve"> collected after the 24-hour mark may alter the Market Participant’s understanding of the extent and consequences of the incident. </w:t>
      </w:r>
      <w:r w:rsidR="004A18C3">
        <w:t xml:space="preserve"> </w:t>
      </w:r>
    </w:p>
    <w:p w14:paraId="7C2ABAC7" w14:textId="1B3881B8" w:rsidR="00A9453A" w:rsidRDefault="004A18C3" w:rsidP="00120BA3">
      <w:pPr>
        <w:pStyle w:val="NormalArial"/>
        <w:spacing w:before="120" w:after="120"/>
        <w:ind w:left="720"/>
        <w:jc w:val="both"/>
      </w:pPr>
      <w:r>
        <w:t>Furthermore, the proposed 24-hour requirement could potentially lead to two extremes, both of which are undesirable:  first, some Market Participants might feel it is necessary to slow down their process</w:t>
      </w:r>
      <w:r w:rsidR="00E93953">
        <w:t>es</w:t>
      </w:r>
      <w:r>
        <w:t xml:space="preserve"> for determining if a Cybersecurity Incident has occurred so that the determination can be based on a greater degree of certainty about the specific extent and impacts of the incident, due to the fact that once the determination is made, the 24-hour notification clock begins; second, other Market Participants may err on the side of over-disclosing</w:t>
      </w:r>
      <w:r w:rsidR="00E93953">
        <w:t xml:space="preserve"> by</w:t>
      </w:r>
      <w:r>
        <w:t xml:space="preserve"> notifying ERCOT of all incidents that pose even a remote chance of meeting the definition of a Cybersecurity Incident and/or the criteria of Section 16.18, because they would rather notify ERCOT out of an abundance of caution of every incident tha</w:t>
      </w:r>
      <w:r w:rsidR="00E93953">
        <w:t>t</w:t>
      </w:r>
      <w:r>
        <w:t xml:space="preserve"> may or may not meet those criteria than </w:t>
      </w:r>
      <w:r w:rsidR="00E93953">
        <w:t>stopping its incident response processes to make the “could foreseeably jeopardize” determination</w:t>
      </w:r>
      <w:r>
        <w:t xml:space="preserve"> in the 24-hour window (which, in turn, could inundate</w:t>
      </w:r>
      <w:r w:rsidR="00CB6A1A">
        <w:t xml:space="preserve"> and overwhelm</w:t>
      </w:r>
      <w:r>
        <w:t xml:space="preserve"> ERCOT with notifications about incidents that do not actually pose a concern to ERCOT).  </w:t>
      </w:r>
      <w:r w:rsidR="004433E4" w:rsidRPr="00E76B04">
        <w:t xml:space="preserve">Oncor, therefore, suggests that </w:t>
      </w:r>
      <w:r w:rsidR="008F4C94" w:rsidRPr="00E76B04">
        <w:t xml:space="preserve">the </w:t>
      </w:r>
      <w:r w:rsidR="009F5D55">
        <w:t xml:space="preserve">current </w:t>
      </w:r>
      <w:r w:rsidR="00B76459">
        <w:t>notification timeframe</w:t>
      </w:r>
      <w:r w:rsidR="008F4C94" w:rsidRPr="00E76B04">
        <w:t xml:space="preserve"> remain unchanged (i.e., “as soon as reasonably practicable upon determination”)</w:t>
      </w:r>
      <w:r w:rsidR="00FA2392">
        <w:t>.</w:t>
      </w:r>
      <w:r w:rsidR="00FC4FC8">
        <w:t xml:space="preserve"> </w:t>
      </w:r>
      <w:r w:rsidR="00BA7CD9">
        <w:t xml:space="preserve"> If, despite the concerns raised herein, </w:t>
      </w:r>
      <w:r w:rsidR="00E93953">
        <w:t>a specified time window</w:t>
      </w:r>
      <w:r w:rsidR="00BA7CD9">
        <w:t xml:space="preserve"> </w:t>
      </w:r>
      <w:r w:rsidR="00E93953">
        <w:t>is added to</w:t>
      </w:r>
      <w:r w:rsidR="00BA7CD9">
        <w:t xml:space="preserve"> Section 16.18, then Oncor strongly suggests that either: (a) the definition of Cybersecurity Incident should be modified to encompass something narrower and more definitive than an act that “could foreseeably jeopardize” the reliability or integrity of the ERCOT System (for example, an act that “is likely to jeopardize” the reliability or integrity of the ERCOT System would cast a slightly narrower net); or (b) the </w:t>
      </w:r>
      <w:r w:rsidR="00E93953">
        <w:t xml:space="preserve">notification </w:t>
      </w:r>
      <w:r w:rsidR="00BA7CD9">
        <w:t xml:space="preserve">requirement in 16.18 should be modified so that it only applies to a subset of Cybersecurity </w:t>
      </w:r>
      <w:r w:rsidR="00BA7CD9">
        <w:lastRenderedPageBreak/>
        <w:t>Incidents (for example, it would slightly narrow the notification requirement</w:t>
      </w:r>
      <w:r w:rsidR="00E93953">
        <w:t>s</w:t>
      </w:r>
      <w:r w:rsidR="00BA7CD9">
        <w:t xml:space="preserve"> to pin the notification </w:t>
      </w:r>
      <w:r w:rsidR="00E93953">
        <w:t>on</w:t>
      </w:r>
      <w:r w:rsidR="00BA7CD9">
        <w:t xml:space="preserve"> a Market Participant’s determination of a Cybersecurity Incident that is likely to have negative, significant impacts on ERCOT’s computer networks or systems).</w:t>
      </w:r>
    </w:p>
    <w:p w14:paraId="1020F77C" w14:textId="63924253" w:rsidR="001146E8" w:rsidRDefault="001146E8" w:rsidP="00120BA3">
      <w:pPr>
        <w:pStyle w:val="NormalArial"/>
        <w:numPr>
          <w:ilvl w:val="0"/>
          <w:numId w:val="29"/>
        </w:numPr>
        <w:jc w:val="both"/>
        <w:rPr>
          <w:b/>
          <w:bCs/>
        </w:rPr>
      </w:pPr>
      <w:r>
        <w:rPr>
          <w:b/>
          <w:bCs/>
        </w:rPr>
        <w:t>T</w:t>
      </w:r>
      <w:r w:rsidRPr="00960186">
        <w:rPr>
          <w:b/>
          <w:bCs/>
        </w:rPr>
        <w:t>he relevant determination</w:t>
      </w:r>
      <w:r>
        <w:rPr>
          <w:b/>
          <w:bCs/>
        </w:rPr>
        <w:t xml:space="preserve"> should be</w:t>
      </w:r>
      <w:r w:rsidRPr="00960186">
        <w:rPr>
          <w:b/>
          <w:bCs/>
        </w:rPr>
        <w:t xml:space="preserve"> one made by the Market Participant;</w:t>
      </w:r>
    </w:p>
    <w:p w14:paraId="5523CDE4" w14:textId="66AAEDCC" w:rsidR="001146E8" w:rsidRPr="00120BA3" w:rsidRDefault="001146E8" w:rsidP="00120BA3">
      <w:pPr>
        <w:pStyle w:val="NormalArial"/>
        <w:spacing w:before="120" w:after="120"/>
        <w:ind w:left="720"/>
        <w:jc w:val="both"/>
      </w:pPr>
      <w:r w:rsidRPr="00764583">
        <w:t>Section 16.18 should clarify that the relevant determination is the Market Participant’s determination of a Cybersecurity Incident, not the vendor’s determination.</w:t>
      </w:r>
      <w:r w:rsidRPr="00F51B68">
        <w:t xml:space="preserve"> </w:t>
      </w:r>
      <w:r>
        <w:t xml:space="preserve"> </w:t>
      </w:r>
      <w:r w:rsidRPr="00F51B68">
        <w:t xml:space="preserve">If, despite </w:t>
      </w:r>
      <w:r>
        <w:t>the concerns discussed below</w:t>
      </w:r>
      <w:r w:rsidRPr="00F51B68">
        <w:t>,</w:t>
      </w:r>
      <w:r>
        <w:t xml:space="preserve"> vendors remain within the scope of either proposed</w:t>
      </w:r>
      <w:r w:rsidR="004A2CD1">
        <w:t xml:space="preserve"> paragraph (2)(a) or (b) of</w:t>
      </w:r>
      <w:r>
        <w:t xml:space="preserve"> Section 16.18,</w:t>
      </w:r>
      <w:r w:rsidRPr="00F51B68">
        <w:t xml:space="preserve"> </w:t>
      </w:r>
      <w:r>
        <w:t xml:space="preserve">then </w:t>
      </w:r>
      <w:r w:rsidRPr="001E1F21">
        <w:t xml:space="preserve">Oncor requests that </w:t>
      </w:r>
      <w:r w:rsidR="004A2CD1">
        <w:t xml:space="preserve">paragraph (2) of </w:t>
      </w:r>
      <w:r w:rsidRPr="001E1F21">
        <w:t>Section 16.18 make expressly clear that the notification requirement stems from “the Market Participant’s determination of a Cybersecurity Incident…” rather than just a “determination of a Cybersecurity Incident</w:t>
      </w:r>
      <w:r>
        <w:t>.</w:t>
      </w:r>
      <w:r w:rsidRPr="001E1F21">
        <w:t xml:space="preserve">” </w:t>
      </w:r>
      <w:r>
        <w:t xml:space="preserve"> Otherwise, the revised protocol </w:t>
      </w:r>
      <w:r w:rsidRPr="001E1F21">
        <w:t xml:space="preserve">could be interpreted to mean that the 24-hour notice requirement is triggered by the </w:t>
      </w:r>
      <w:r w:rsidRPr="001E1F21">
        <w:rPr>
          <w:i/>
          <w:iCs/>
        </w:rPr>
        <w:t>vendor’s</w:t>
      </w:r>
      <w:r w:rsidRPr="001E1F21">
        <w:t xml:space="preserve"> determination, regardless of when or if the information is conveyed to the relevant Market Participant(s).</w:t>
      </w:r>
      <w:r w:rsidRPr="00562FE2">
        <w:t xml:space="preserve">  </w:t>
      </w:r>
      <w:r>
        <w:t>A</w:t>
      </w:r>
      <w:r w:rsidRPr="001E1F21">
        <w:t xml:space="preserve"> vendor could determine that there has been an incident impacting its network or system that rises to the level of Cybersecurity Incident days or weeks before that vendor</w:t>
      </w:r>
      <w:r>
        <w:t xml:space="preserve"> </w:t>
      </w:r>
      <w:proofErr w:type="gramStart"/>
      <w:r>
        <w:t>actually</w:t>
      </w:r>
      <w:r w:rsidRPr="001E1F21">
        <w:t xml:space="preserve"> discloses</w:t>
      </w:r>
      <w:proofErr w:type="gramEnd"/>
      <w:r w:rsidRPr="001E1F21">
        <w:t xml:space="preserve"> this information to the Market Participant for whom the vendor provides services; perhaps, even, the vendor may never disclose it to the Market Participant.  </w:t>
      </w:r>
    </w:p>
    <w:p w14:paraId="3C7ADC07" w14:textId="75570373" w:rsidR="001146E8" w:rsidRPr="00120BA3" w:rsidRDefault="001146E8" w:rsidP="00120BA3">
      <w:pPr>
        <w:pStyle w:val="NormalArial"/>
        <w:numPr>
          <w:ilvl w:val="0"/>
          <w:numId w:val="29"/>
        </w:numPr>
        <w:jc w:val="both"/>
        <w:rPr>
          <w:b/>
          <w:bCs/>
        </w:rPr>
      </w:pPr>
      <w:r>
        <w:rPr>
          <w:b/>
          <w:bCs/>
        </w:rPr>
        <w:t>O</w:t>
      </w:r>
      <w:r w:rsidRPr="00AA1229">
        <w:rPr>
          <w:b/>
          <w:bCs/>
        </w:rPr>
        <w:t xml:space="preserve">bligations that extend to incidents on a vendor’s system </w:t>
      </w:r>
    </w:p>
    <w:p w14:paraId="20BBC01E" w14:textId="009C0588" w:rsidR="001146E8" w:rsidRPr="00120BA3" w:rsidRDefault="001146E8" w:rsidP="00120BA3">
      <w:pPr>
        <w:pStyle w:val="NormalArial"/>
        <w:spacing w:before="120" w:after="120"/>
        <w:ind w:left="720"/>
        <w:jc w:val="both"/>
      </w:pPr>
      <w:r w:rsidRPr="00764583">
        <w:t>Section 16.18 should not impose notification obligations tied to Cybersecurity Incidents occurring on a third-party vendor’s system.</w:t>
      </w:r>
      <w:r>
        <w:t xml:space="preserve">  Oncor is concerned with its ability to comply with the proposal under this NPRR that extends the notification requirement to incidents impacting a Market Participant’s </w:t>
      </w:r>
      <w:r w:rsidRPr="000F3103">
        <w:rPr>
          <w:i/>
          <w:iCs/>
        </w:rPr>
        <w:t>vendor’s</w:t>
      </w:r>
      <w:r>
        <w:t xml:space="preserve"> computer network or system, especially with respect to proposed</w:t>
      </w:r>
      <w:r w:rsidR="00317C53">
        <w:t xml:space="preserve"> paragraph (2)(b) of Section</w:t>
      </w:r>
      <w:r>
        <w:t xml:space="preserve"> 16.18.  On the one hand, assuming the vendor actually communicates the necessary information to the Market Participant, it would require a fairly straightforward “yes” or “no” type of analysis to determine whether a Cybersecurity Incident has occurred on a vendor’s computer network or system that interfaces with the ERCOT </w:t>
      </w:r>
      <w:r w:rsidR="00317C53">
        <w:t>Wide Area Network (</w:t>
      </w:r>
      <w:r>
        <w:t>WAN</w:t>
      </w:r>
      <w:r w:rsidR="00317C53">
        <w:t>)</w:t>
      </w:r>
      <w:r>
        <w:t xml:space="preserve">, </w:t>
      </w:r>
      <w:r w:rsidR="00317C53">
        <w:t>Market Information System (</w:t>
      </w:r>
      <w:r>
        <w:t>MIS</w:t>
      </w:r>
      <w:r w:rsidR="00317C53">
        <w:t>)</w:t>
      </w:r>
      <w:r>
        <w:t xml:space="preserve">, or any other ERCOT computer network or system, as referenced in proposed </w:t>
      </w:r>
      <w:r w:rsidR="00317C53">
        <w:t xml:space="preserve">paragraph (2)(a) of </w:t>
      </w:r>
      <w:r>
        <w:t xml:space="preserve">Section 16.18.  On the other hand, it would be a much more complex and subjective inquiry to determine whether a Cybersecurity Incident on a vendor’s network or system could foreseeably jeopardize the Market Participant’s performance of obligations under the Protocols, an Other Binding Document, or Agreement, as contemplated in proposed </w:t>
      </w:r>
      <w:r w:rsidR="00854F1D">
        <w:t xml:space="preserve">paragraph (2)(b) of Section </w:t>
      </w:r>
      <w:r>
        <w:t xml:space="preserve">16.18.  </w:t>
      </w:r>
      <w:proofErr w:type="gramStart"/>
      <w:r>
        <w:t>If and when</w:t>
      </w:r>
      <w:proofErr w:type="gramEnd"/>
      <w:r>
        <w:t xml:space="preserve"> the vendor discloses information concerning the incident to a Market Participant like Oncor, it would then take a considerable amount of time to communicate with the impacted vendor to determine the scope and likely impacts of the incident that occurred on the vendor’s network or system.  Oncor would need to wait until the vendor is able and willing to share details about how long the expected impacts to the vendor’s network or system are anticipated to last, whether patches or other solutions are able to be implemented to mitigate impacts of the incident, and other critical pieces of information before Oncor will </w:t>
      </w:r>
      <w:r>
        <w:lastRenderedPageBreak/>
        <w:t xml:space="preserve">even be able to begin the analysis of whether the incident could foreseeably </w:t>
      </w:r>
      <w:r w:rsidRPr="00FA2392">
        <w:t xml:space="preserve">jeopardize </w:t>
      </w:r>
      <w:r>
        <w:t xml:space="preserve">Oncor’s reliable operation </w:t>
      </w:r>
      <w:r w:rsidRPr="00BE1ACD">
        <w:t xml:space="preserve">or performance of its obligations under the Protocols, an Other Binding Document, or Agreement. The vendor (which </w:t>
      </w:r>
      <w:r>
        <w:t>is unlikely to be a</w:t>
      </w:r>
      <w:r w:rsidRPr="00BE1ACD">
        <w:t xml:space="preserve"> Market Participant itself) could </w:t>
      </w:r>
      <w:r>
        <w:t>be unaware of the Market Participant’s obligations under those documents, and it could take a considerable amount of discussion and analysis between the Market Participant and the vendor to subjectively determine whether they believe a Cybersecurity Incident meets th</w:t>
      </w:r>
      <w:r w:rsidR="0035469D">
        <w:t>e</w:t>
      </w:r>
      <w:r>
        <w:t xml:space="preserve"> criteria in </w:t>
      </w:r>
      <w:r w:rsidR="00854F1D">
        <w:t xml:space="preserve">paragraph (2)(b) of Section </w:t>
      </w:r>
      <w:r>
        <w:t xml:space="preserve">16.18.  Again, this time-consuming and arduous process would have to be </w:t>
      </w:r>
      <w:proofErr w:type="gramStart"/>
      <w:r>
        <w:t>undertaken</w:t>
      </w:r>
      <w:proofErr w:type="gramEnd"/>
      <w:r>
        <w:t xml:space="preserve"> at the same time the vendor and Market Participant should be focusing their attention and resources on ending the incident and mitigating impacts of the incident.  There are also confidentiality concerns if Oncor must disclose information related to a vendor’s operations, network, or systems, especially when ERCOT and the PUCT have no regulatory authority over the vendor.  </w:t>
      </w:r>
      <w:r w:rsidR="00A9453A">
        <w:t>For instance</w:t>
      </w:r>
      <w:r>
        <w:t xml:space="preserve">, a Market Participant’s contractual arrangement with a particular third-party vendor could require that the Market Participant first </w:t>
      </w:r>
      <w:proofErr w:type="gramStart"/>
      <w:r>
        <w:t>provide</w:t>
      </w:r>
      <w:proofErr w:type="gramEnd"/>
      <w:r>
        <w:t xml:space="preserve"> a certain amount of prior notice to the vendor before the Market Participant is </w:t>
      </w:r>
      <w:r w:rsidRPr="001E1F21">
        <w:t xml:space="preserve">permitted to disclose information concerning that vendor and/or that the Market Participant </w:t>
      </w:r>
      <w:proofErr w:type="gramStart"/>
      <w:r w:rsidRPr="001E1F21">
        <w:t>provide</w:t>
      </w:r>
      <w:proofErr w:type="gramEnd"/>
      <w:r w:rsidRPr="001E1F21">
        <w:t xml:space="preserve"> time for the vendor to secure protection of that information.  </w:t>
      </w:r>
      <w:r>
        <w:t xml:space="preserve">For these reasons, </w:t>
      </w:r>
      <w:r w:rsidRPr="001E1F21">
        <w:t xml:space="preserve">Oncor recommends that the notification requirement in Section 16.18 not be amended to extend to Cybersecurity Incidents on third-party vendors’ systems.  </w:t>
      </w:r>
    </w:p>
    <w:p w14:paraId="092BFB50" w14:textId="7323C9F1" w:rsidR="006C4B6A" w:rsidRPr="00120BA3" w:rsidRDefault="001146E8" w:rsidP="00120BA3">
      <w:pPr>
        <w:pStyle w:val="NormalArial"/>
        <w:numPr>
          <w:ilvl w:val="0"/>
          <w:numId w:val="29"/>
        </w:numPr>
        <w:jc w:val="both"/>
        <w:rPr>
          <w:b/>
          <w:bCs/>
        </w:rPr>
      </w:pPr>
      <w:r w:rsidRPr="00AA1229">
        <w:rPr>
          <w:b/>
          <w:bCs/>
        </w:rPr>
        <w:t xml:space="preserve">Reporting requirement tied to Cybersecurity Incidents that foreseeably jeopardize a Market Participant’s performance of its obligations under the Protocols, an Other Binding Document, or Agreement </w:t>
      </w:r>
    </w:p>
    <w:p w14:paraId="375944FD" w14:textId="55C83F66" w:rsidR="0021532A" w:rsidRDefault="007B0C3B" w:rsidP="00B358AA">
      <w:pPr>
        <w:pStyle w:val="NormalArial"/>
        <w:spacing w:before="120" w:after="120"/>
        <w:ind w:left="720"/>
        <w:jc w:val="both"/>
      </w:pPr>
      <w:r w:rsidRPr="00764583">
        <w:t>Section 16.18 should not impose a subjective notification obligation tied to obligations under the Protocols, an Other Binding Document, or Agreement.</w:t>
      </w:r>
      <w:r>
        <w:t xml:space="preserve">  </w:t>
      </w:r>
      <w:r w:rsidR="0050311B">
        <w:t>E</w:t>
      </w:r>
      <w:r w:rsidR="000074E9">
        <w:t xml:space="preserve">ven if the </w:t>
      </w:r>
      <w:r w:rsidR="00C576B4">
        <w:t xml:space="preserve">proposed </w:t>
      </w:r>
      <w:r w:rsidR="000074E9">
        <w:t xml:space="preserve">24-hour reporting window is </w:t>
      </w:r>
      <w:r w:rsidR="00FA2392">
        <w:t xml:space="preserve">removed </w:t>
      </w:r>
      <w:r w:rsidR="000074E9">
        <w:t xml:space="preserve">(and especially if it is </w:t>
      </w:r>
      <w:r w:rsidR="00C576B4">
        <w:t>not</w:t>
      </w:r>
      <w:r w:rsidR="000074E9">
        <w:t xml:space="preserve">), Oncor </w:t>
      </w:r>
      <w:r w:rsidR="00B76459">
        <w:t>is</w:t>
      </w:r>
      <w:r w:rsidR="000074E9">
        <w:t xml:space="preserve"> concern</w:t>
      </w:r>
      <w:r w:rsidR="00B76459">
        <w:t>ed</w:t>
      </w:r>
      <w:r w:rsidR="000074E9">
        <w:t xml:space="preserve"> with the </w:t>
      </w:r>
      <w:r w:rsidR="00DD4FCD">
        <w:t>proposed</w:t>
      </w:r>
      <w:r w:rsidR="00FA2392">
        <w:t xml:space="preserve"> expansion of the notification obligation</w:t>
      </w:r>
      <w:r w:rsidR="00DD4FCD">
        <w:t xml:space="preserve"> under</w:t>
      </w:r>
      <w:r w:rsidR="00854F1D">
        <w:t xml:space="preserve"> paragraph (2)(b) of</w:t>
      </w:r>
      <w:r w:rsidR="00DD4FCD">
        <w:t xml:space="preserve"> </w:t>
      </w:r>
      <w:r w:rsidR="00FA2392">
        <w:t xml:space="preserve">Section </w:t>
      </w:r>
      <w:r w:rsidR="00DD4FCD">
        <w:t>16.18</w:t>
      </w:r>
      <w:r w:rsidR="0050311B">
        <w:t xml:space="preserve"> that requires notification of a Cybersecurity Incident that </w:t>
      </w:r>
      <w:r>
        <w:t>“</w:t>
      </w:r>
      <w:r w:rsidR="0050311B" w:rsidRPr="007B0C3B">
        <w:t>could foreseeably jeopardize</w:t>
      </w:r>
      <w:r w:rsidR="0050311B">
        <w:t xml:space="preserve"> the Market Participant’s reliable operation or performance of its obligations under the Protocols, an Other Binding Document, or Agreement</w:t>
      </w:r>
      <w:r>
        <w:t>.</w:t>
      </w:r>
      <w:r w:rsidR="0050311B">
        <w:t>”</w:t>
      </w:r>
      <w:r>
        <w:t xml:space="preserve">  </w:t>
      </w:r>
      <w:r w:rsidR="00DD4FCD">
        <w:t xml:space="preserve">Oncor’s concerns are based on the </w:t>
      </w:r>
      <w:r w:rsidR="0050311B">
        <w:t>unduly burdensome</w:t>
      </w:r>
      <w:r w:rsidR="00DD4FCD">
        <w:t xml:space="preserve"> amount</w:t>
      </w:r>
      <w:r w:rsidR="000074E9">
        <w:t xml:space="preserve"> of time and </w:t>
      </w:r>
      <w:r w:rsidR="00DD4FCD">
        <w:t>personnel</w:t>
      </w:r>
      <w:r w:rsidR="00A95A3F">
        <w:t xml:space="preserve">, and the level of guess work, </w:t>
      </w:r>
      <w:r w:rsidR="000074E9">
        <w:t>that would be required</w:t>
      </w:r>
      <w:r w:rsidR="0050311B">
        <w:t xml:space="preserve"> to make this determination </w:t>
      </w:r>
      <w:r w:rsidR="003053D6" w:rsidRPr="00E45D6E">
        <w:t>(</w:t>
      </w:r>
      <w:r w:rsidR="003053D6">
        <w:t xml:space="preserve">an inherently </w:t>
      </w:r>
      <w:r w:rsidR="003053D6" w:rsidRPr="00E45D6E">
        <w:t>subjective determination)</w:t>
      </w:r>
      <w:r w:rsidR="003053D6">
        <w:t xml:space="preserve"> </w:t>
      </w:r>
      <w:r w:rsidR="0050311B">
        <w:t>with respect to</w:t>
      </w:r>
      <w:r w:rsidR="000074E9">
        <w:t xml:space="preserve"> all of its </w:t>
      </w:r>
      <w:r w:rsidR="00B76459">
        <w:t xml:space="preserve">many </w:t>
      </w:r>
      <w:r w:rsidR="000074E9">
        <w:t xml:space="preserve">obligations under </w:t>
      </w:r>
      <w:r w:rsidR="00E45D6E">
        <w:t xml:space="preserve">the </w:t>
      </w:r>
      <w:r w:rsidR="00E45D6E" w:rsidRPr="00EC4F91">
        <w:t>ERCOT</w:t>
      </w:r>
      <w:r w:rsidR="000074E9" w:rsidRPr="00EC4F91">
        <w:t xml:space="preserve"> Nodal Protocols, the various Other Binding Documents, and </w:t>
      </w:r>
      <w:r w:rsidR="00DD4FCD" w:rsidRPr="00EC4F91">
        <w:t>the</w:t>
      </w:r>
      <w:r w:rsidR="000074E9" w:rsidRPr="00EC4F91">
        <w:t xml:space="preserve"> Agreements </w:t>
      </w:r>
      <w:r w:rsidR="00DD4FCD" w:rsidRPr="00EC4F91">
        <w:t>Oncor</w:t>
      </w:r>
      <w:r w:rsidR="000074E9" w:rsidRPr="00EC4F91">
        <w:t xml:space="preserve"> currently operates under that have been entered under </w:t>
      </w:r>
      <w:r w:rsidR="00E45D6E" w:rsidRPr="00EC4F91">
        <w:t>applicable portions of Section</w:t>
      </w:r>
      <w:r w:rsidR="000074E9" w:rsidRPr="00EC4F91">
        <w:t xml:space="preserve"> 22 of the Nodal Protocols.  </w:t>
      </w:r>
      <w:r w:rsidR="006C4B6A" w:rsidRPr="00EC4F91">
        <w:t xml:space="preserve"> </w:t>
      </w:r>
      <w:r w:rsidR="002145B2" w:rsidRPr="00EC4F91">
        <w:t xml:space="preserve">Under this proposed change to Section 16.18, </w:t>
      </w:r>
      <w:r w:rsidR="00EF5EBE" w:rsidRPr="00EC4F91">
        <w:t xml:space="preserve">it is Oncor’s understanding that </w:t>
      </w:r>
      <w:r w:rsidR="002145B2" w:rsidRPr="00EC4F91">
        <w:t xml:space="preserve">a </w:t>
      </w:r>
      <w:r w:rsidR="001C3BF0" w:rsidRPr="00EC4F91">
        <w:t>Market Participant</w:t>
      </w:r>
      <w:r w:rsidR="002145B2" w:rsidRPr="00EC4F91">
        <w:t xml:space="preserve"> like Oncor</w:t>
      </w:r>
      <w:r w:rsidR="00242D8E" w:rsidRPr="00EC4F91">
        <w:t xml:space="preserve"> would need to do a Protocol-by-Protocol review (and the same for Other Binding Documents and its Agreements) to assess whether </w:t>
      </w:r>
      <w:r w:rsidR="001C3BF0" w:rsidRPr="00EC4F91">
        <w:t>it</w:t>
      </w:r>
      <w:r w:rsidR="000A4CBC" w:rsidRPr="00EC4F91">
        <w:t xml:space="preserve"> </w:t>
      </w:r>
      <w:r w:rsidR="004A18C3" w:rsidRPr="00EC4F91">
        <w:t>could foreseeably be unable</w:t>
      </w:r>
      <w:r w:rsidR="001C3BF0" w:rsidRPr="00EC4F91">
        <w:t xml:space="preserve"> (</w:t>
      </w:r>
      <w:r w:rsidR="004A18C3" w:rsidRPr="00EC4F91">
        <w:t>which some might interpret to mean it is reasonably possible that it will be unable</w:t>
      </w:r>
      <w:r w:rsidR="000A4CBC" w:rsidRPr="00EC4F91">
        <w:t>)</w:t>
      </w:r>
      <w:r w:rsidR="00270714" w:rsidRPr="00EC4F91">
        <w:t xml:space="preserve"> to perform </w:t>
      </w:r>
      <w:r w:rsidR="00EF5EBE" w:rsidRPr="00EC4F91">
        <w:t xml:space="preserve">each and every </w:t>
      </w:r>
      <w:r w:rsidR="00242D8E" w:rsidRPr="00EC4F91">
        <w:t xml:space="preserve">obligation </w:t>
      </w:r>
      <w:r w:rsidR="002D6DBB" w:rsidRPr="00EC4F91">
        <w:t>therein</w:t>
      </w:r>
      <w:r w:rsidR="00025715" w:rsidRPr="00EC4F91">
        <w:t xml:space="preserve"> and provide ERCOT with a list of those that the Market Participant may not be able to meet</w:t>
      </w:r>
      <w:r w:rsidR="000074E9" w:rsidRPr="00EC4F91">
        <w:t xml:space="preserve">. </w:t>
      </w:r>
      <w:r w:rsidR="001C3BF0" w:rsidRPr="00EC4F91">
        <w:t xml:space="preserve"> This </w:t>
      </w:r>
      <w:r w:rsidR="004C001D" w:rsidRPr="00EC4F91">
        <w:t xml:space="preserve">burdensome obligation </w:t>
      </w:r>
      <w:r w:rsidR="001C3BF0" w:rsidRPr="00EC4F91">
        <w:t xml:space="preserve">would require the Market Participant to identify anticipated Protocol violations based on </w:t>
      </w:r>
      <w:r w:rsidR="00270714" w:rsidRPr="00EC4F91">
        <w:t>speculation</w:t>
      </w:r>
      <w:r w:rsidR="001C3BF0" w:rsidRPr="00EC4F91">
        <w:t xml:space="preserve"> to some degree, as there are </w:t>
      </w:r>
      <w:r w:rsidR="00270714" w:rsidRPr="00EC4F91">
        <w:t>several</w:t>
      </w:r>
      <w:r w:rsidR="001C3BF0" w:rsidRPr="00EC4F91">
        <w:t xml:space="preserve"> unknowns once a Market </w:t>
      </w:r>
      <w:r w:rsidR="001C3BF0" w:rsidRPr="00EC4F91">
        <w:lastRenderedPageBreak/>
        <w:t>Participant has identified the</w:t>
      </w:r>
      <w:r w:rsidR="001C3BF0">
        <w:t xml:space="preserve"> occurrence of a Cybersecurity Incident.  </w:t>
      </w:r>
      <w:r w:rsidR="00270714">
        <w:t>In</w:t>
      </w:r>
      <w:r w:rsidR="00005E6D">
        <w:t xml:space="preserve"> many cases</w:t>
      </w:r>
      <w:r w:rsidR="002145B2">
        <w:t>,</w:t>
      </w:r>
      <w:r w:rsidR="00005E6D">
        <w:t xml:space="preserve"> </w:t>
      </w:r>
      <w:r w:rsidR="00270714">
        <w:t xml:space="preserve">this proposed revision would </w:t>
      </w:r>
      <w:r w:rsidR="00005E6D">
        <w:t>require the</w:t>
      </w:r>
      <w:r w:rsidR="001C3BF0">
        <w:t xml:space="preserve"> Market Participant </w:t>
      </w:r>
      <w:r w:rsidR="00005E6D">
        <w:t>to attempt to anticipate obligations that it may not be able to perform before the Market Participant has been able to fully</w:t>
      </w:r>
      <w:r w:rsidR="001C3BF0">
        <w:t xml:space="preserve"> identify the extent of the impacts stemming from the incident</w:t>
      </w:r>
      <w:r w:rsidR="002145B2">
        <w:t xml:space="preserve"> at hand.  </w:t>
      </w:r>
      <w:r w:rsidR="000A4CBC">
        <w:t>Additionally, w</w:t>
      </w:r>
      <w:r w:rsidR="00FA2392" w:rsidRPr="005E214D">
        <w:t xml:space="preserve">hile Oncor acknowledges that the </w:t>
      </w:r>
      <w:r w:rsidR="004A18C3">
        <w:t>phrase</w:t>
      </w:r>
      <w:r w:rsidR="00FA2392" w:rsidRPr="005E214D">
        <w:t xml:space="preserve"> “</w:t>
      </w:r>
      <w:r w:rsidR="004A18C3">
        <w:t xml:space="preserve">could </w:t>
      </w:r>
      <w:r w:rsidR="00FA2392" w:rsidRPr="005E214D">
        <w:t>foreseeably</w:t>
      </w:r>
      <w:r w:rsidR="00E93953">
        <w:t xml:space="preserve"> jeopardize</w:t>
      </w:r>
      <w:r w:rsidR="00FA2392" w:rsidRPr="005E214D">
        <w:t xml:space="preserve">” is included in the current definition of a Cybersecurity Incident under Protocol Section 2.1, </w:t>
      </w:r>
      <w:r w:rsidR="00270714">
        <w:t xml:space="preserve">this </w:t>
      </w:r>
      <w:r w:rsidR="004A18C3">
        <w:t>phrase</w:t>
      </w:r>
      <w:r w:rsidR="00FA2392" w:rsidRPr="005E214D">
        <w:t xml:space="preserve"> introduces </w:t>
      </w:r>
      <w:r w:rsidR="00A95A3F">
        <w:t>a large degree</w:t>
      </w:r>
      <w:r w:rsidR="00FA2392" w:rsidRPr="005E214D">
        <w:t xml:space="preserve"> of speculating and hypothesizing on the Market Participant’s part.  Introducing this </w:t>
      </w:r>
      <w:r w:rsidR="004A18C3">
        <w:t>phrase</w:t>
      </w:r>
      <w:r w:rsidR="00FA2392" w:rsidRPr="005E214D">
        <w:t xml:space="preserve"> “</w:t>
      </w:r>
      <w:r w:rsidR="004A18C3">
        <w:t xml:space="preserve">could </w:t>
      </w:r>
      <w:r w:rsidR="00FA2392" w:rsidRPr="005E214D">
        <w:t>foreseeably</w:t>
      </w:r>
      <w:r w:rsidR="00E93953">
        <w:t xml:space="preserve"> jeopardize</w:t>
      </w:r>
      <w:r w:rsidR="00FA2392" w:rsidRPr="005E214D">
        <w:t>” a second time b</w:t>
      </w:r>
      <w:r w:rsidR="00A95A3F">
        <w:t>y</w:t>
      </w:r>
      <w:r w:rsidR="00FA2392" w:rsidRPr="005E214D">
        <w:t xml:space="preserve"> including it in one of the </w:t>
      </w:r>
      <w:r w:rsidR="000A4CBC">
        <w:t>notification</w:t>
      </w:r>
      <w:r w:rsidR="00FA2392" w:rsidRPr="005E214D">
        <w:t xml:space="preserve"> obligation</w:t>
      </w:r>
      <w:r w:rsidR="00067EB7">
        <w:t>s</w:t>
      </w:r>
      <w:r w:rsidR="00FA2392" w:rsidRPr="005E214D">
        <w:t xml:space="preserve"> (specifically, the obligation under </w:t>
      </w:r>
      <w:r w:rsidR="00346DD5">
        <w:t xml:space="preserve">paragraph (2)(b) of Section </w:t>
      </w:r>
      <w:r w:rsidR="00FA2392" w:rsidRPr="005E214D">
        <w:t xml:space="preserve">16.18) would require an even greater </w:t>
      </w:r>
      <w:r w:rsidR="00A95A3F">
        <w:t xml:space="preserve">level of guess work </w:t>
      </w:r>
      <w:r w:rsidR="00FA2392" w:rsidRPr="005E214D">
        <w:t xml:space="preserve">as </w:t>
      </w:r>
      <w:r w:rsidR="00067EB7">
        <w:t xml:space="preserve">a </w:t>
      </w:r>
      <w:r w:rsidR="00FA2392" w:rsidRPr="005E214D">
        <w:t xml:space="preserve">Market Participant </w:t>
      </w:r>
      <w:r w:rsidR="00067EB7">
        <w:t>works</w:t>
      </w:r>
      <w:r w:rsidR="00FA2392" w:rsidRPr="005E214D">
        <w:t xml:space="preserve"> through the exercise of analyzing hypothetical</w:t>
      </w:r>
      <w:r w:rsidR="000A4CBC">
        <w:t xml:space="preserve">s </w:t>
      </w:r>
      <w:r w:rsidR="00FA2392" w:rsidRPr="005E214D">
        <w:t xml:space="preserve">that could </w:t>
      </w:r>
      <w:r w:rsidR="004A18C3">
        <w:t xml:space="preserve">potentially </w:t>
      </w:r>
      <w:r w:rsidR="00E93953">
        <w:t>impact</w:t>
      </w:r>
      <w:r w:rsidR="00FA2392" w:rsidRPr="005E214D">
        <w:t xml:space="preserve"> its</w:t>
      </w:r>
      <w:r w:rsidR="00FA2392">
        <w:t xml:space="preserve"> ability to perform its various obligations under the Protocols, Other Binding Documents, and Agreements.  </w:t>
      </w:r>
      <w:r w:rsidR="00A95A3F">
        <w:t>Oncor also respectfully questions whether a Market Participant’s best guess</w:t>
      </w:r>
      <w:r w:rsidR="00270714">
        <w:t xml:space="preserve"> </w:t>
      </w:r>
      <w:r w:rsidR="00A95A3F">
        <w:t>as to whether a Cybersecurity Incident could foreseeably jeopardize its obligation under one or more Protocols, Other Binding Documents, or Agreements would yield information that is particularly helpful to ERCOT</w:t>
      </w:r>
      <w:r w:rsidR="000A4CBC">
        <w:t xml:space="preserve"> </w:t>
      </w:r>
      <w:proofErr w:type="gramStart"/>
      <w:r w:rsidR="000A4CBC">
        <w:t>in the midst of</w:t>
      </w:r>
      <w:proofErr w:type="gramEnd"/>
      <w:r w:rsidR="000A4CBC">
        <w:t xml:space="preserve"> a </w:t>
      </w:r>
      <w:r w:rsidR="000A4CBC" w:rsidRPr="008000FD">
        <w:t>Cybersecurity Incident</w:t>
      </w:r>
      <w:r w:rsidR="00A95A3F" w:rsidRPr="008000FD">
        <w:t xml:space="preserve">.  Instead, Oncor believes the most useful information </w:t>
      </w:r>
      <w:r w:rsidR="00270714">
        <w:t>to</w:t>
      </w:r>
      <w:r w:rsidR="00A95A3F" w:rsidRPr="008000FD">
        <w:t xml:space="preserve"> ERCOT would be information concerning Cybersecurity Incidents that are determined to be likely to impact the ERCOT System</w:t>
      </w:r>
      <w:r w:rsidR="00146DE3" w:rsidRPr="008000FD">
        <w:t>, which would be captured by the current requirement for Market Participants to notify ERCOT of Cybersecurity Incidents that</w:t>
      </w:r>
      <w:r w:rsidR="008000FD" w:rsidRPr="008000FD">
        <w:t xml:space="preserve"> occur on a Market Participant’s network or system that interfaces with an ERCOT computer network or system.</w:t>
      </w:r>
      <w:r w:rsidR="008000FD">
        <w:t xml:space="preserve">  </w:t>
      </w:r>
      <w:r w:rsidR="00FA2392" w:rsidRPr="00EA71F2">
        <w:t xml:space="preserve">For these reasons, Oncor </w:t>
      </w:r>
      <w:r w:rsidR="008000FD">
        <w:t>suggests deleting</w:t>
      </w:r>
      <w:r w:rsidR="00146DE3">
        <w:t xml:space="preserve"> proposed </w:t>
      </w:r>
      <w:r w:rsidR="00346DD5">
        <w:t xml:space="preserve">paragraph (2)(b) of </w:t>
      </w:r>
      <w:r w:rsidR="00146DE3">
        <w:t>Section 16.18.</w:t>
      </w:r>
      <w:r w:rsidR="00FA2392" w:rsidRPr="00EA71F2">
        <w:t xml:space="preserve"> </w:t>
      </w:r>
    </w:p>
    <w:p w14:paraId="01190065" w14:textId="36FF5EED" w:rsidR="007B0C3B" w:rsidRPr="00B358AA" w:rsidRDefault="001146E8" w:rsidP="00120BA3">
      <w:pPr>
        <w:pStyle w:val="NormalArial"/>
        <w:numPr>
          <w:ilvl w:val="0"/>
          <w:numId w:val="29"/>
        </w:numPr>
        <w:jc w:val="both"/>
        <w:rPr>
          <w:b/>
          <w:bCs/>
        </w:rPr>
      </w:pPr>
      <w:r>
        <w:rPr>
          <w:b/>
          <w:bCs/>
        </w:rPr>
        <w:t>T</w:t>
      </w:r>
      <w:r w:rsidRPr="004E2D0F">
        <w:rPr>
          <w:b/>
          <w:bCs/>
        </w:rPr>
        <w:t xml:space="preserve">he </w:t>
      </w:r>
      <w:proofErr w:type="gramStart"/>
      <w:r w:rsidRPr="004E2D0F">
        <w:rPr>
          <w:b/>
          <w:bCs/>
        </w:rPr>
        <w:t>manner in which</w:t>
      </w:r>
      <w:proofErr w:type="gramEnd"/>
      <w:r w:rsidRPr="004E2D0F">
        <w:rPr>
          <w:b/>
          <w:bCs/>
        </w:rPr>
        <w:t xml:space="preserve"> ERCOT will use information contained in a Market Participant’s Notice of Cybersecurity Incident.</w:t>
      </w:r>
    </w:p>
    <w:p w14:paraId="0404EB01" w14:textId="23B55E46" w:rsidR="00E26085" w:rsidRDefault="007B0C3B" w:rsidP="00B358AA">
      <w:pPr>
        <w:pStyle w:val="NormalArial"/>
        <w:spacing w:before="120" w:after="120"/>
        <w:ind w:left="720"/>
        <w:jc w:val="both"/>
      </w:pPr>
      <w:r w:rsidRPr="00764583">
        <w:t xml:space="preserve">ERCOT should maintain the confidentiality of Protected Information submitted in notifications, and </w:t>
      </w:r>
      <w:r w:rsidR="00346DD5">
        <w:t xml:space="preserve">paragraph (6) of </w:t>
      </w:r>
      <w:r w:rsidRPr="00764583">
        <w:t>Section 16.18 should not provide for the notification itself to be disclosed in a broadly distributed Market Notice.</w:t>
      </w:r>
      <w:r>
        <w:t xml:space="preserve">  T</w:t>
      </w:r>
      <w:r w:rsidR="008A0D70" w:rsidRPr="00562FE2">
        <w:t xml:space="preserve">he proposed changes to </w:t>
      </w:r>
      <w:r w:rsidR="00346DD5">
        <w:t xml:space="preserve">paragraph (6) of Section </w:t>
      </w:r>
      <w:r w:rsidR="008A0D70" w:rsidRPr="00562FE2">
        <w:t>16.18</w:t>
      </w:r>
      <w:r w:rsidR="002D3199" w:rsidRPr="00562FE2">
        <w:t xml:space="preserve"> could potentially have a negative impact on reliability.  These changes would permit ERCOT to include information contained in a Market Participant’s Notice of Cybersecurity Incident in a Market Notice that is sent by ERCOT indiscriminately to all Market Participants.  A Notice of Cybersecurity Incident, however, could reveal current </w:t>
      </w:r>
      <w:r w:rsidR="00773286" w:rsidRPr="00562FE2">
        <w:t xml:space="preserve">weak points or </w:t>
      </w:r>
      <w:r w:rsidR="002D3199" w:rsidRPr="00562FE2">
        <w:t>vulnerabilities on a Market Participant’s system</w:t>
      </w:r>
      <w:r w:rsidR="00773286" w:rsidRPr="00562FE2">
        <w:t xml:space="preserve">, such as protective systems or equipment that have been rendered temporarily offline or ineffective or that have been made vulnerable to further attacks.  </w:t>
      </w:r>
      <w:r w:rsidR="002D3199" w:rsidRPr="00562FE2">
        <w:t xml:space="preserve"> </w:t>
      </w:r>
      <w:proofErr w:type="gramStart"/>
      <w:r w:rsidR="00773286" w:rsidRPr="00562FE2">
        <w:t>Or,</w:t>
      </w:r>
      <w:proofErr w:type="gramEnd"/>
      <w:r w:rsidR="00773286" w:rsidRPr="00562FE2">
        <w:t xml:space="preserve"> it could reveal impacts to a vendor’s system that negatively impact not just the system of the disclosing Market Participant but systems belonging to other Market Participants as well.  </w:t>
      </w:r>
      <w:proofErr w:type="gramStart"/>
      <w:r w:rsidR="00773286" w:rsidRPr="00562FE2">
        <w:t>All of</w:t>
      </w:r>
      <w:proofErr w:type="gramEnd"/>
      <w:r w:rsidR="00773286" w:rsidRPr="00562FE2">
        <w:t xml:space="preserve"> this information could be exploited by anyone seeking to wreak further havoc on the ERCOT System or a particular piece of infrastructure within the ERCOT System.  </w:t>
      </w:r>
      <w:r w:rsidR="00463F8D" w:rsidRPr="00562FE2">
        <w:t>The</w:t>
      </w:r>
      <w:r w:rsidR="00534CDC" w:rsidRPr="00562FE2">
        <w:t xml:space="preserve"> disclosure of this information broadly to all Market Participants could </w:t>
      </w:r>
      <w:r w:rsidR="00463F8D" w:rsidRPr="00562FE2">
        <w:t xml:space="preserve">also </w:t>
      </w:r>
      <w:r w:rsidR="00534CDC" w:rsidRPr="00562FE2">
        <w:t xml:space="preserve">compromise the impacted Market Participant’s investigation into the source of the incident, the offender, or </w:t>
      </w:r>
      <w:proofErr w:type="gramStart"/>
      <w:r w:rsidR="00534CDC" w:rsidRPr="00562FE2">
        <w:t>the means by which</w:t>
      </w:r>
      <w:proofErr w:type="gramEnd"/>
      <w:r w:rsidR="00534CDC" w:rsidRPr="00562FE2">
        <w:t xml:space="preserve"> the incident was accomplished.</w:t>
      </w:r>
      <w:r w:rsidR="001E1F21">
        <w:t xml:space="preserve">  Disclosure of the specific vendor impacted </w:t>
      </w:r>
      <w:r w:rsidR="00113544">
        <w:t xml:space="preserve">and details on the </w:t>
      </w:r>
      <w:r w:rsidR="00270714">
        <w:t xml:space="preserve">vendor’s </w:t>
      </w:r>
      <w:r w:rsidR="00113544">
        <w:t xml:space="preserve">incident or </w:t>
      </w:r>
      <w:r w:rsidR="00113544">
        <w:lastRenderedPageBreak/>
        <w:t xml:space="preserve">breach </w:t>
      </w:r>
      <w:r w:rsidR="001E1F21">
        <w:t>to all Market Participants also appears to provide no additional benefit or value</w:t>
      </w:r>
      <w:r w:rsidR="00113544">
        <w:t xml:space="preserve">.  </w:t>
      </w:r>
      <w:r w:rsidR="004433E4" w:rsidRPr="00562FE2">
        <w:t xml:space="preserve">Oncor, therefore, suggests that </w:t>
      </w:r>
      <w:r w:rsidR="00346DD5">
        <w:t xml:space="preserve">paragraph (6) of </w:t>
      </w:r>
      <w:r w:rsidR="00814D4E" w:rsidRPr="00562FE2">
        <w:t xml:space="preserve">Section 16.18 expressly state that ERCOT will maintain the confidentiality of Protected Information when using information contained in a Notice of Cybersecurity Incident for purposes of a Market Notice, that </w:t>
      </w:r>
      <w:r w:rsidR="00346DD5">
        <w:t xml:space="preserve">paragraph (6) of </w:t>
      </w:r>
      <w:r w:rsidR="007358E7" w:rsidRPr="00562FE2">
        <w:t xml:space="preserve">Section 16.18 </w:t>
      </w:r>
      <w:r w:rsidR="00814D4E" w:rsidRPr="00562FE2">
        <w:t>not contemplate the inclusion of a Market Participant’s Notice of Cybersecurity Incident</w:t>
      </w:r>
      <w:r w:rsidR="000B0A08" w:rsidRPr="00562FE2">
        <w:t xml:space="preserve"> itself in a Market Notice</w:t>
      </w:r>
      <w:r w:rsidR="008F3BEE" w:rsidRPr="00562FE2">
        <w:t xml:space="preserve">, </w:t>
      </w:r>
      <w:r w:rsidR="00814D4E" w:rsidRPr="00562FE2">
        <w:t>and that it state that ERCOT will not</w:t>
      </w:r>
      <w:r w:rsidR="000B0A08" w:rsidRPr="00562FE2">
        <w:t xml:space="preserve"> reveal the </w:t>
      </w:r>
      <w:r w:rsidR="0028549B" w:rsidRPr="00562FE2">
        <w:t>identity</w:t>
      </w:r>
      <w:r w:rsidR="000B0A08" w:rsidRPr="00562FE2">
        <w:t xml:space="preserve"> of any particular vendor</w:t>
      </w:r>
      <w:r w:rsidR="00814D4E" w:rsidRPr="00562FE2">
        <w:t xml:space="preserve"> (if this protocol is extended to Cybersecurity Incidents on a vendor’s system, as proposed in this NPRR).</w:t>
      </w:r>
      <w:r w:rsidR="004C001D">
        <w:t xml:space="preserve">  </w:t>
      </w:r>
      <w:r w:rsidR="004C001D" w:rsidRPr="00EC4F91">
        <w:t xml:space="preserve">Additionally, </w:t>
      </w:r>
      <w:r w:rsidR="00346DD5">
        <w:t xml:space="preserve">paragraph (6) of </w:t>
      </w:r>
      <w:r w:rsidR="004C001D" w:rsidRPr="00EC4F91">
        <w:t xml:space="preserve">Section 16.18 should state that if ERCOT determines that there are risks with sharing any of the information contained in a Notice of Cybersecurity Incident that would likely outweigh </w:t>
      </w:r>
      <w:r w:rsidR="004C345C" w:rsidRPr="00EC4F91">
        <w:t>any</w:t>
      </w:r>
      <w:r w:rsidR="004C001D" w:rsidRPr="00EC4F91">
        <w:t xml:space="preserve"> expected benefit from sharing that information, then ERCOT may refrain from issuing a Market Notice concerning the Cybersecurity Incident.</w:t>
      </w:r>
    </w:p>
    <w:p w14:paraId="0BC2F28E" w14:textId="5EA46301" w:rsidR="007660B8" w:rsidRDefault="0035469D" w:rsidP="00B358AA">
      <w:pPr>
        <w:pStyle w:val="NormalArial"/>
        <w:spacing w:before="120" w:after="120"/>
        <w:jc w:val="both"/>
      </w:pPr>
      <w:r>
        <w:t xml:space="preserve">Oncor </w:t>
      </w:r>
      <w:r w:rsidR="00AE298E">
        <w:t xml:space="preserve">looks forward to discussing </w:t>
      </w:r>
      <w:r w:rsidR="00455234">
        <w:t xml:space="preserve">these issues </w:t>
      </w:r>
      <w:r w:rsidR="006F3083">
        <w:t>during upcoming</w:t>
      </w:r>
      <w:r w:rsidR="00AE298E">
        <w:t xml:space="preserve"> Protocol Revision Subcommittee</w:t>
      </w:r>
      <w:r w:rsidR="006F3083">
        <w:t xml:space="preserve"> meetings</w:t>
      </w:r>
      <w:r w:rsidR="00AE298E">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A3772" w:rsidRPr="006C4B6A" w14:paraId="13F6A781" w14:textId="77777777" w:rsidTr="00D176CF">
        <w:trPr>
          <w:cantSplit/>
          <w:trHeight w:val="432"/>
        </w:trPr>
        <w:tc>
          <w:tcPr>
            <w:tcW w:w="10440" w:type="dxa"/>
            <w:vAlign w:val="center"/>
          </w:tcPr>
          <w:p w14:paraId="36C3E360" w14:textId="6C721495" w:rsidR="009A3772" w:rsidRPr="006C4B6A" w:rsidRDefault="00D16912" w:rsidP="007C199B">
            <w:pPr>
              <w:pStyle w:val="NormalArial"/>
              <w:jc w:val="center"/>
              <w:rPr>
                <w:b/>
                <w:highlight w:val="green"/>
              </w:rPr>
            </w:pPr>
            <w:r w:rsidRPr="007E240D">
              <w:rPr>
                <w:b/>
              </w:rPr>
              <w:t>Revised Cover Page Language</w:t>
            </w:r>
          </w:p>
        </w:tc>
      </w:tr>
    </w:tbl>
    <w:p w14:paraId="2EF6B2A1" w14:textId="5FC39AA7" w:rsidR="00053CEC" w:rsidRPr="00120BA3" w:rsidRDefault="00053CEC" w:rsidP="00120BA3">
      <w:pPr>
        <w:tabs>
          <w:tab w:val="num" w:pos="0"/>
        </w:tabs>
        <w:spacing w:before="120" w:after="120"/>
        <w:rPr>
          <w:rFonts w:ascii="Arial" w:hAnsi="Arial" w:cs="Arial"/>
        </w:rPr>
      </w:pPr>
      <w:r w:rsidRPr="00053CEC">
        <w:rPr>
          <w:rFonts w:ascii="Arial" w:hAnsi="Arial" w:cs="Arial"/>
        </w:rPr>
        <w:t>None</w:t>
      </w:r>
      <w:r w:rsidR="00B358AA">
        <w:rPr>
          <w:rFonts w:ascii="Arial" w:hAnsi="Arial" w:cs="Arial"/>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rsidRPr="006C4B6A" w14:paraId="77AD5637" w14:textId="77777777">
        <w:trPr>
          <w:trHeight w:val="350"/>
        </w:trPr>
        <w:tc>
          <w:tcPr>
            <w:tcW w:w="10440" w:type="dxa"/>
            <w:tcBorders>
              <w:bottom w:val="single" w:sz="4" w:space="0" w:color="auto"/>
            </w:tcBorders>
            <w:shd w:val="clear" w:color="auto" w:fill="FFFFFF"/>
            <w:vAlign w:val="center"/>
          </w:tcPr>
          <w:p w14:paraId="7D887995" w14:textId="0E6291FB" w:rsidR="009A3772" w:rsidRPr="006C4B6A" w:rsidRDefault="00D16912">
            <w:pPr>
              <w:pStyle w:val="Header"/>
              <w:jc w:val="center"/>
              <w:rPr>
                <w:highlight w:val="green"/>
              </w:rPr>
            </w:pPr>
            <w:r w:rsidRPr="007E240D">
              <w:t xml:space="preserve">Revised </w:t>
            </w:r>
            <w:r w:rsidR="009A3772" w:rsidRPr="007E240D">
              <w:t>Proposed Protocol Language</w:t>
            </w:r>
          </w:p>
        </w:tc>
      </w:tr>
    </w:tbl>
    <w:p w14:paraId="68B31ACF" w14:textId="140A0738" w:rsidR="008923DE" w:rsidRPr="00053CEC" w:rsidRDefault="00AE298E" w:rsidP="00120BA3">
      <w:pPr>
        <w:spacing w:before="120" w:after="120"/>
      </w:pPr>
      <w:r w:rsidRPr="009220CD">
        <w:rPr>
          <w:rFonts w:ascii="Arial" w:hAnsi="Arial" w:cs="Arial"/>
          <w:bCs/>
          <w:iCs/>
        </w:rPr>
        <w:t>None</w:t>
      </w:r>
      <w:bookmarkStart w:id="1" w:name="_Toc400526183"/>
      <w:bookmarkStart w:id="2" w:name="_Toc405534501"/>
      <w:bookmarkStart w:id="3" w:name="_Toc406570514"/>
      <w:bookmarkStart w:id="4" w:name="_Toc410910666"/>
      <w:bookmarkStart w:id="5" w:name="_Toc411841094"/>
      <w:bookmarkStart w:id="6" w:name="_Toc422147056"/>
      <w:bookmarkStart w:id="7" w:name="_Toc433020652"/>
      <w:bookmarkStart w:id="8" w:name="_Toc437262093"/>
      <w:bookmarkStart w:id="9" w:name="_Toc478375270"/>
      <w:bookmarkStart w:id="10" w:name="_Toc178232180"/>
      <w:r w:rsidR="00B358AA">
        <w:rPr>
          <w:rFonts w:ascii="Arial" w:hAnsi="Arial" w:cs="Arial"/>
          <w:bCs/>
          <w:iCs/>
        </w:rPr>
        <w:t>.</w:t>
      </w:r>
      <w:r w:rsidR="009220CD">
        <w:rPr>
          <w:rFonts w:ascii="Arial" w:hAnsi="Arial" w:cs="Arial"/>
          <w:bCs/>
          <w:iCs/>
        </w:rPr>
        <w:t xml:space="preserve"> </w:t>
      </w:r>
      <w:bookmarkEnd w:id="1"/>
      <w:bookmarkEnd w:id="2"/>
      <w:bookmarkEnd w:id="3"/>
      <w:bookmarkEnd w:id="4"/>
      <w:bookmarkEnd w:id="5"/>
      <w:bookmarkEnd w:id="6"/>
      <w:bookmarkEnd w:id="7"/>
      <w:bookmarkEnd w:id="8"/>
      <w:bookmarkEnd w:id="9"/>
      <w:bookmarkEnd w:id="10"/>
    </w:p>
    <w:sectPr w:rsidR="008923DE" w:rsidRPr="00053CEC">
      <w:headerReference w:type="default" r:id="rId11"/>
      <w:footerReference w:type="even" r:id="rId12"/>
      <w:footerReference w:type="defaul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912F" w14:textId="77777777" w:rsidR="00351C63" w:rsidRDefault="00351C63">
      <w:r>
        <w:separator/>
      </w:r>
    </w:p>
  </w:endnote>
  <w:endnote w:type="continuationSeparator" w:id="0">
    <w:p w14:paraId="36ACDA9B" w14:textId="77777777" w:rsidR="00351C63" w:rsidRDefault="0035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4FD7768" w:rsidR="00D176CF" w:rsidRDefault="000074E9">
    <w:pPr>
      <w:pStyle w:val="Footer"/>
      <w:tabs>
        <w:tab w:val="clear" w:pos="4320"/>
        <w:tab w:val="clear" w:pos="8640"/>
        <w:tab w:val="right" w:pos="9360"/>
      </w:tabs>
      <w:rPr>
        <w:rFonts w:ascii="Arial" w:hAnsi="Arial" w:cs="Arial"/>
        <w:sz w:val="18"/>
      </w:rPr>
    </w:pPr>
    <w:r>
      <w:rPr>
        <w:rFonts w:ascii="Arial" w:hAnsi="Arial" w:cs="Arial"/>
        <w:sz w:val="18"/>
      </w:rPr>
      <w:t>1334</w:t>
    </w:r>
    <w:r w:rsidR="00120BA3">
      <w:rPr>
        <w:rFonts w:ascii="Arial" w:hAnsi="Arial" w:cs="Arial"/>
        <w:sz w:val="18"/>
      </w:rPr>
      <w:t>NPRR</w:t>
    </w:r>
    <w:r>
      <w:rPr>
        <w:rFonts w:ascii="Arial" w:hAnsi="Arial" w:cs="Arial"/>
        <w:sz w:val="18"/>
      </w:rPr>
      <w:t>-</w:t>
    </w:r>
    <w:r w:rsidR="00120BA3">
      <w:rPr>
        <w:rFonts w:ascii="Arial" w:hAnsi="Arial" w:cs="Arial"/>
        <w:sz w:val="18"/>
      </w:rPr>
      <w:t>05</w:t>
    </w:r>
    <w:r w:rsidR="00D12971">
      <w:rPr>
        <w:rFonts w:ascii="Arial" w:hAnsi="Arial" w:cs="Arial"/>
        <w:sz w:val="18"/>
      </w:rPr>
      <w:t xml:space="preserve"> </w:t>
    </w:r>
    <w:r w:rsidR="00787A80">
      <w:rPr>
        <w:rFonts w:ascii="Arial" w:hAnsi="Arial" w:cs="Arial"/>
        <w:sz w:val="18"/>
      </w:rPr>
      <w:t>Oncor</w:t>
    </w:r>
    <w:r w:rsidR="00D4629F">
      <w:rPr>
        <w:rFonts w:ascii="Arial" w:hAnsi="Arial" w:cs="Arial"/>
        <w:sz w:val="18"/>
      </w:rPr>
      <w:t xml:space="preserve"> </w:t>
    </w:r>
    <w:r w:rsidR="00047190">
      <w:rPr>
        <w:rFonts w:ascii="Arial" w:hAnsi="Arial" w:cs="Arial"/>
        <w:sz w:val="18"/>
      </w:rPr>
      <w:t xml:space="preserve">Comments </w:t>
    </w:r>
    <w:r w:rsidR="00CB2B9A">
      <w:rPr>
        <w:rFonts w:ascii="Arial" w:hAnsi="Arial" w:cs="Arial"/>
        <w:sz w:val="18"/>
      </w:rPr>
      <w:t>07</w:t>
    </w:r>
    <w:r w:rsidR="006E0E45">
      <w:rPr>
        <w:rFonts w:ascii="Arial" w:hAnsi="Arial" w:cs="Arial"/>
        <w:sz w:val="18"/>
      </w:rPr>
      <w:t>1</w:t>
    </w:r>
    <w:r w:rsidR="00405E09">
      <w:rPr>
        <w:rFonts w:ascii="Arial" w:hAnsi="Arial" w:cs="Arial"/>
        <w:sz w:val="18"/>
      </w:rPr>
      <w:t>3</w:t>
    </w:r>
    <w:r w:rsidR="00CB2B9A">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76D93" w14:textId="77777777" w:rsidR="00351C63" w:rsidRDefault="00351C63">
      <w:r>
        <w:separator/>
      </w:r>
    </w:p>
  </w:footnote>
  <w:footnote w:type="continuationSeparator" w:id="0">
    <w:p w14:paraId="66FEAB4B" w14:textId="77777777" w:rsidR="00351C63" w:rsidRDefault="00351C63">
      <w:r>
        <w:continuationSeparator/>
      </w:r>
    </w:p>
  </w:footnote>
  <w:footnote w:id="1">
    <w:p w14:paraId="3A6FDAA2" w14:textId="1F75BB4F" w:rsidR="004748B4" w:rsidRPr="00E45D6E" w:rsidRDefault="004748B4" w:rsidP="00E45D6E">
      <w:pPr>
        <w:pStyle w:val="FootnoteText"/>
        <w:spacing w:after="120"/>
        <w:ind w:firstLine="720"/>
        <w:rPr>
          <w:rFonts w:ascii="Arial" w:hAnsi="Arial" w:cs="Arial"/>
        </w:rPr>
      </w:pPr>
      <w:r w:rsidRPr="00E45D6E">
        <w:rPr>
          <w:rStyle w:val="FootnoteReference"/>
          <w:rFonts w:ascii="Arial" w:hAnsi="Arial" w:cs="Arial"/>
        </w:rPr>
        <w:footnoteRef/>
      </w:r>
      <w:r w:rsidRPr="00E45D6E">
        <w:rPr>
          <w:rFonts w:ascii="Arial" w:hAnsi="Arial" w:cs="Arial"/>
        </w:rPr>
        <w:t xml:space="preserve"> </w:t>
      </w:r>
      <w:r w:rsidR="00E45D6E" w:rsidRPr="00E45D6E">
        <w:rPr>
          <w:rFonts w:ascii="Arial" w:hAnsi="Arial" w:cs="Arial"/>
          <w:i/>
          <w:iCs/>
        </w:rPr>
        <w:t>See</w:t>
      </w:r>
      <w:r w:rsidR="00E45D6E" w:rsidRPr="00E45D6E">
        <w:rPr>
          <w:rFonts w:ascii="Arial" w:hAnsi="Arial" w:cs="Arial"/>
        </w:rPr>
        <w:t xml:space="preserve"> the definition of ERCOT System in Section 2.1.</w:t>
      </w:r>
    </w:p>
  </w:footnote>
  <w:footnote w:id="2">
    <w:p w14:paraId="4A8BDEFD" w14:textId="014CE109" w:rsidR="002C5BF9" w:rsidRPr="00E45D6E" w:rsidRDefault="002C5BF9" w:rsidP="004A2CD1">
      <w:pPr>
        <w:pStyle w:val="FootnoteText"/>
        <w:spacing w:after="120"/>
        <w:ind w:left="720"/>
        <w:jc w:val="both"/>
        <w:rPr>
          <w:rFonts w:ascii="Arial" w:hAnsi="Arial" w:cs="Arial"/>
        </w:rPr>
      </w:pPr>
      <w:r w:rsidRPr="00E45D6E">
        <w:rPr>
          <w:rStyle w:val="FootnoteReference"/>
          <w:rFonts w:ascii="Arial" w:hAnsi="Arial" w:cs="Arial"/>
        </w:rPr>
        <w:footnoteRef/>
      </w:r>
      <w:r w:rsidRPr="00E45D6E">
        <w:rPr>
          <w:rFonts w:ascii="Arial" w:hAnsi="Arial" w:cs="Arial"/>
        </w:rPr>
        <w:t xml:space="preserve"> </w:t>
      </w:r>
      <w:r w:rsidR="00E45D6E" w:rsidRPr="00E45D6E">
        <w:rPr>
          <w:rFonts w:ascii="Arial" w:hAnsi="Arial" w:cs="Arial"/>
          <w:i/>
          <w:iCs/>
        </w:rPr>
        <w:t>See</w:t>
      </w:r>
      <w:r w:rsidR="00E45D6E" w:rsidRPr="00E45D6E">
        <w:rPr>
          <w:rFonts w:ascii="Arial" w:hAnsi="Arial" w:cs="Arial"/>
        </w:rPr>
        <w:t xml:space="preserve"> the definition of ERCOT System Infrastructure in Section 2.1, which includes “[t]he Transmission Facilities, distribution facilities, Resources, Settlement Only Generators (SOGs), and Emergency Response Service (ERS) Resources that comprise the ERCOT System and the physical and virtual cyber assets used to control the ERCOT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F9E9AE2" w:rsidR="00D176CF" w:rsidRDefault="00D16912"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780882"/>
    <w:multiLevelType w:val="hybridMultilevel"/>
    <w:tmpl w:val="0B66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53720"/>
    <w:multiLevelType w:val="hybridMultilevel"/>
    <w:tmpl w:val="29680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0C4BEF"/>
    <w:multiLevelType w:val="hybridMultilevel"/>
    <w:tmpl w:val="8C68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71022"/>
    <w:multiLevelType w:val="hybridMultilevel"/>
    <w:tmpl w:val="1996F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3237D"/>
    <w:multiLevelType w:val="hybridMultilevel"/>
    <w:tmpl w:val="3C02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CD58BA"/>
    <w:multiLevelType w:val="hybridMultilevel"/>
    <w:tmpl w:val="352C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EDC363C"/>
    <w:multiLevelType w:val="hybridMultilevel"/>
    <w:tmpl w:val="C36A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A1670"/>
    <w:multiLevelType w:val="hybridMultilevel"/>
    <w:tmpl w:val="F3E064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785C95"/>
    <w:multiLevelType w:val="hybridMultilevel"/>
    <w:tmpl w:val="43963E68"/>
    <w:lvl w:ilvl="0" w:tplc="ADF2B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3773F6"/>
    <w:multiLevelType w:val="hybridMultilevel"/>
    <w:tmpl w:val="464E9BE2"/>
    <w:lvl w:ilvl="0" w:tplc="940C32C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87845977">
    <w:abstractNumId w:val="0"/>
  </w:num>
  <w:num w:numId="2" w16cid:durableId="200410955">
    <w:abstractNumId w:val="18"/>
  </w:num>
  <w:num w:numId="3" w16cid:durableId="135684138">
    <w:abstractNumId w:val="21"/>
  </w:num>
  <w:num w:numId="4" w16cid:durableId="414402528">
    <w:abstractNumId w:val="1"/>
  </w:num>
  <w:num w:numId="5" w16cid:durableId="1965842273">
    <w:abstractNumId w:val="12"/>
  </w:num>
  <w:num w:numId="6" w16cid:durableId="1060711186">
    <w:abstractNumId w:val="12"/>
  </w:num>
  <w:num w:numId="7" w16cid:durableId="1571231646">
    <w:abstractNumId w:val="12"/>
  </w:num>
  <w:num w:numId="8" w16cid:durableId="1108040231">
    <w:abstractNumId w:val="12"/>
  </w:num>
  <w:num w:numId="9" w16cid:durableId="1278218439">
    <w:abstractNumId w:val="12"/>
  </w:num>
  <w:num w:numId="10" w16cid:durableId="73552686">
    <w:abstractNumId w:val="12"/>
  </w:num>
  <w:num w:numId="11" w16cid:durableId="126552600">
    <w:abstractNumId w:val="12"/>
  </w:num>
  <w:num w:numId="12" w16cid:durableId="1914504339">
    <w:abstractNumId w:val="12"/>
  </w:num>
  <w:num w:numId="13" w16cid:durableId="161550057">
    <w:abstractNumId w:val="12"/>
  </w:num>
  <w:num w:numId="14" w16cid:durableId="911961458">
    <w:abstractNumId w:val="5"/>
  </w:num>
  <w:num w:numId="15" w16cid:durableId="597062860">
    <w:abstractNumId w:val="11"/>
  </w:num>
  <w:num w:numId="16" w16cid:durableId="1703244142">
    <w:abstractNumId w:val="14"/>
  </w:num>
  <w:num w:numId="17" w16cid:durableId="2009169406">
    <w:abstractNumId w:val="16"/>
  </w:num>
  <w:num w:numId="18" w16cid:durableId="1127970832">
    <w:abstractNumId w:val="8"/>
  </w:num>
  <w:num w:numId="19" w16cid:durableId="1596091001">
    <w:abstractNumId w:val="13"/>
  </w:num>
  <w:num w:numId="20" w16cid:durableId="442771337">
    <w:abstractNumId w:val="3"/>
  </w:num>
  <w:num w:numId="21" w16cid:durableId="976027973">
    <w:abstractNumId w:val="10"/>
  </w:num>
  <w:num w:numId="22" w16cid:durableId="788088039">
    <w:abstractNumId w:val="4"/>
  </w:num>
  <w:num w:numId="23" w16cid:durableId="1349984501">
    <w:abstractNumId w:val="6"/>
  </w:num>
  <w:num w:numId="24" w16cid:durableId="67926748">
    <w:abstractNumId w:val="9"/>
  </w:num>
  <w:num w:numId="25" w16cid:durableId="907571688">
    <w:abstractNumId w:val="2"/>
  </w:num>
  <w:num w:numId="26" w16cid:durableId="176162494">
    <w:abstractNumId w:val="15"/>
  </w:num>
  <w:num w:numId="27" w16cid:durableId="68039478">
    <w:abstractNumId w:val="19"/>
  </w:num>
  <w:num w:numId="28" w16cid:durableId="699278842">
    <w:abstractNumId w:val="7"/>
  </w:num>
  <w:num w:numId="29" w16cid:durableId="191766662">
    <w:abstractNumId w:val="20"/>
  </w:num>
  <w:num w:numId="30" w16cid:durableId="808828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E6D"/>
    <w:rsid w:val="00006711"/>
    <w:rsid w:val="000074E9"/>
    <w:rsid w:val="00014BBA"/>
    <w:rsid w:val="00017B22"/>
    <w:rsid w:val="00021ED2"/>
    <w:rsid w:val="00025715"/>
    <w:rsid w:val="000364C8"/>
    <w:rsid w:val="00042CE3"/>
    <w:rsid w:val="00045F24"/>
    <w:rsid w:val="00047190"/>
    <w:rsid w:val="000520FA"/>
    <w:rsid w:val="0005338D"/>
    <w:rsid w:val="00053CEC"/>
    <w:rsid w:val="00060A5A"/>
    <w:rsid w:val="000647DB"/>
    <w:rsid w:val="00064B44"/>
    <w:rsid w:val="00067EB7"/>
    <w:rsid w:val="00067FE2"/>
    <w:rsid w:val="00070716"/>
    <w:rsid w:val="0007682E"/>
    <w:rsid w:val="000821E9"/>
    <w:rsid w:val="00083CEA"/>
    <w:rsid w:val="0008655C"/>
    <w:rsid w:val="00091C4D"/>
    <w:rsid w:val="0009420C"/>
    <w:rsid w:val="00096D9F"/>
    <w:rsid w:val="000A0D17"/>
    <w:rsid w:val="000A1604"/>
    <w:rsid w:val="000A4CBC"/>
    <w:rsid w:val="000B0A08"/>
    <w:rsid w:val="000B3A0F"/>
    <w:rsid w:val="000C6528"/>
    <w:rsid w:val="000D0006"/>
    <w:rsid w:val="000D182D"/>
    <w:rsid w:val="000D1AEB"/>
    <w:rsid w:val="000D3E64"/>
    <w:rsid w:val="000D545B"/>
    <w:rsid w:val="000E208C"/>
    <w:rsid w:val="000E6055"/>
    <w:rsid w:val="000F13C5"/>
    <w:rsid w:val="000F3103"/>
    <w:rsid w:val="00105A36"/>
    <w:rsid w:val="001131EC"/>
    <w:rsid w:val="00113544"/>
    <w:rsid w:val="001146E8"/>
    <w:rsid w:val="00116371"/>
    <w:rsid w:val="00120BA3"/>
    <w:rsid w:val="001229FA"/>
    <w:rsid w:val="00127393"/>
    <w:rsid w:val="001313B4"/>
    <w:rsid w:val="0013478D"/>
    <w:rsid w:val="0014546D"/>
    <w:rsid w:val="001457B5"/>
    <w:rsid w:val="00146DE3"/>
    <w:rsid w:val="001500D9"/>
    <w:rsid w:val="00152B8F"/>
    <w:rsid w:val="00156DB7"/>
    <w:rsid w:val="00157228"/>
    <w:rsid w:val="00160C3C"/>
    <w:rsid w:val="00161C82"/>
    <w:rsid w:val="001731AF"/>
    <w:rsid w:val="00176375"/>
    <w:rsid w:val="0017783C"/>
    <w:rsid w:val="00182C8E"/>
    <w:rsid w:val="001875B3"/>
    <w:rsid w:val="00187DC2"/>
    <w:rsid w:val="001914D3"/>
    <w:rsid w:val="0019314C"/>
    <w:rsid w:val="00195447"/>
    <w:rsid w:val="00195F3B"/>
    <w:rsid w:val="001A18EB"/>
    <w:rsid w:val="001C3BF0"/>
    <w:rsid w:val="001C7F7F"/>
    <w:rsid w:val="001D1F15"/>
    <w:rsid w:val="001D2646"/>
    <w:rsid w:val="001E1F21"/>
    <w:rsid w:val="001E4FAA"/>
    <w:rsid w:val="001F38F0"/>
    <w:rsid w:val="001F444A"/>
    <w:rsid w:val="001F67A2"/>
    <w:rsid w:val="002025BE"/>
    <w:rsid w:val="002054B2"/>
    <w:rsid w:val="00210B38"/>
    <w:rsid w:val="002111C1"/>
    <w:rsid w:val="002145B2"/>
    <w:rsid w:val="0021532A"/>
    <w:rsid w:val="00217FB7"/>
    <w:rsid w:val="00223BAA"/>
    <w:rsid w:val="002260FA"/>
    <w:rsid w:val="002306ED"/>
    <w:rsid w:val="00237430"/>
    <w:rsid w:val="00242D8E"/>
    <w:rsid w:val="00242E35"/>
    <w:rsid w:val="00243770"/>
    <w:rsid w:val="00243D59"/>
    <w:rsid w:val="00247D1D"/>
    <w:rsid w:val="00250195"/>
    <w:rsid w:val="002541FD"/>
    <w:rsid w:val="0025420B"/>
    <w:rsid w:val="00261130"/>
    <w:rsid w:val="00261C89"/>
    <w:rsid w:val="0026307D"/>
    <w:rsid w:val="002702DC"/>
    <w:rsid w:val="00270557"/>
    <w:rsid w:val="00270714"/>
    <w:rsid w:val="0027205E"/>
    <w:rsid w:val="00276A99"/>
    <w:rsid w:val="0028549B"/>
    <w:rsid w:val="00286AD9"/>
    <w:rsid w:val="002913F0"/>
    <w:rsid w:val="00294032"/>
    <w:rsid w:val="0029611C"/>
    <w:rsid w:val="002966F3"/>
    <w:rsid w:val="002A43EC"/>
    <w:rsid w:val="002A65FB"/>
    <w:rsid w:val="002B0C07"/>
    <w:rsid w:val="002B69F3"/>
    <w:rsid w:val="002B763A"/>
    <w:rsid w:val="002C3879"/>
    <w:rsid w:val="002C5BF9"/>
    <w:rsid w:val="002D3199"/>
    <w:rsid w:val="002D382A"/>
    <w:rsid w:val="002D4B3F"/>
    <w:rsid w:val="002D6DBB"/>
    <w:rsid w:val="002F1785"/>
    <w:rsid w:val="002F1EDD"/>
    <w:rsid w:val="002F4FC5"/>
    <w:rsid w:val="003013F2"/>
    <w:rsid w:val="0030232A"/>
    <w:rsid w:val="00304AA6"/>
    <w:rsid w:val="003053D6"/>
    <w:rsid w:val="0030694A"/>
    <w:rsid w:val="003069F4"/>
    <w:rsid w:val="00317C53"/>
    <w:rsid w:val="0032039D"/>
    <w:rsid w:val="00341818"/>
    <w:rsid w:val="00346DD5"/>
    <w:rsid w:val="00351C63"/>
    <w:rsid w:val="00352F91"/>
    <w:rsid w:val="0035469D"/>
    <w:rsid w:val="003606E1"/>
    <w:rsid w:val="00360920"/>
    <w:rsid w:val="003718B6"/>
    <w:rsid w:val="00372D39"/>
    <w:rsid w:val="00377AB7"/>
    <w:rsid w:val="0038162A"/>
    <w:rsid w:val="0038226C"/>
    <w:rsid w:val="00382E70"/>
    <w:rsid w:val="00384077"/>
    <w:rsid w:val="00384709"/>
    <w:rsid w:val="00386C35"/>
    <w:rsid w:val="00390859"/>
    <w:rsid w:val="003974C9"/>
    <w:rsid w:val="003A0BFD"/>
    <w:rsid w:val="003A3D77"/>
    <w:rsid w:val="003A4E00"/>
    <w:rsid w:val="003A5332"/>
    <w:rsid w:val="003B0D3F"/>
    <w:rsid w:val="003B10F8"/>
    <w:rsid w:val="003B213F"/>
    <w:rsid w:val="003B5148"/>
    <w:rsid w:val="003B5AED"/>
    <w:rsid w:val="003C274C"/>
    <w:rsid w:val="003C5C3B"/>
    <w:rsid w:val="003C6B7B"/>
    <w:rsid w:val="003D1744"/>
    <w:rsid w:val="003D3500"/>
    <w:rsid w:val="003D48D8"/>
    <w:rsid w:val="003D6827"/>
    <w:rsid w:val="003E2153"/>
    <w:rsid w:val="003E746E"/>
    <w:rsid w:val="003F0D56"/>
    <w:rsid w:val="003F2E77"/>
    <w:rsid w:val="0040417E"/>
    <w:rsid w:val="00405E09"/>
    <w:rsid w:val="004074AA"/>
    <w:rsid w:val="00407CC9"/>
    <w:rsid w:val="004135BD"/>
    <w:rsid w:val="004149A4"/>
    <w:rsid w:val="0042520F"/>
    <w:rsid w:val="004277A6"/>
    <w:rsid w:val="004302A4"/>
    <w:rsid w:val="00431822"/>
    <w:rsid w:val="004433E4"/>
    <w:rsid w:val="004463BA"/>
    <w:rsid w:val="00451317"/>
    <w:rsid w:val="00455234"/>
    <w:rsid w:val="00455311"/>
    <w:rsid w:val="00461D45"/>
    <w:rsid w:val="00463F8D"/>
    <w:rsid w:val="00471327"/>
    <w:rsid w:val="004748B4"/>
    <w:rsid w:val="004822D4"/>
    <w:rsid w:val="0048761B"/>
    <w:rsid w:val="00490D01"/>
    <w:rsid w:val="00492239"/>
    <w:rsid w:val="0049290B"/>
    <w:rsid w:val="0049541A"/>
    <w:rsid w:val="004A0822"/>
    <w:rsid w:val="004A18C3"/>
    <w:rsid w:val="004A2CD1"/>
    <w:rsid w:val="004A4451"/>
    <w:rsid w:val="004A4FCA"/>
    <w:rsid w:val="004B20E6"/>
    <w:rsid w:val="004B2CBE"/>
    <w:rsid w:val="004B58B4"/>
    <w:rsid w:val="004B58BC"/>
    <w:rsid w:val="004B6E07"/>
    <w:rsid w:val="004B7A01"/>
    <w:rsid w:val="004C001D"/>
    <w:rsid w:val="004C1C53"/>
    <w:rsid w:val="004C345C"/>
    <w:rsid w:val="004C5E87"/>
    <w:rsid w:val="004D34D7"/>
    <w:rsid w:val="004D3958"/>
    <w:rsid w:val="004D3DAE"/>
    <w:rsid w:val="004D5F7C"/>
    <w:rsid w:val="004D6707"/>
    <w:rsid w:val="005008DF"/>
    <w:rsid w:val="0050311B"/>
    <w:rsid w:val="005045D0"/>
    <w:rsid w:val="0050468D"/>
    <w:rsid w:val="00510561"/>
    <w:rsid w:val="005125A3"/>
    <w:rsid w:val="00514E70"/>
    <w:rsid w:val="005274C3"/>
    <w:rsid w:val="0053010C"/>
    <w:rsid w:val="00532ED4"/>
    <w:rsid w:val="00534C6C"/>
    <w:rsid w:val="00534CDC"/>
    <w:rsid w:val="005425A0"/>
    <w:rsid w:val="0054572A"/>
    <w:rsid w:val="00555554"/>
    <w:rsid w:val="0056263F"/>
    <w:rsid w:val="00562FE2"/>
    <w:rsid w:val="00563E08"/>
    <w:rsid w:val="00567BEE"/>
    <w:rsid w:val="00572A62"/>
    <w:rsid w:val="00576A45"/>
    <w:rsid w:val="0057776E"/>
    <w:rsid w:val="00577B00"/>
    <w:rsid w:val="00583C3E"/>
    <w:rsid w:val="005841C0"/>
    <w:rsid w:val="0059260F"/>
    <w:rsid w:val="005927A2"/>
    <w:rsid w:val="005979AE"/>
    <w:rsid w:val="005A4964"/>
    <w:rsid w:val="005A79EE"/>
    <w:rsid w:val="005B0539"/>
    <w:rsid w:val="005B2408"/>
    <w:rsid w:val="005B29E4"/>
    <w:rsid w:val="005B2D6A"/>
    <w:rsid w:val="005B5D54"/>
    <w:rsid w:val="005C2336"/>
    <w:rsid w:val="005D131C"/>
    <w:rsid w:val="005D4663"/>
    <w:rsid w:val="005E0936"/>
    <w:rsid w:val="005E205C"/>
    <w:rsid w:val="005E214D"/>
    <w:rsid w:val="005E5074"/>
    <w:rsid w:val="005F39E4"/>
    <w:rsid w:val="005F3EDA"/>
    <w:rsid w:val="006006D9"/>
    <w:rsid w:val="006023C1"/>
    <w:rsid w:val="00604D42"/>
    <w:rsid w:val="0060767B"/>
    <w:rsid w:val="00612E4F"/>
    <w:rsid w:val="00613501"/>
    <w:rsid w:val="00615D5E"/>
    <w:rsid w:val="00622E99"/>
    <w:rsid w:val="00624600"/>
    <w:rsid w:val="00625E5D"/>
    <w:rsid w:val="0062677C"/>
    <w:rsid w:val="00636850"/>
    <w:rsid w:val="0064464E"/>
    <w:rsid w:val="00645446"/>
    <w:rsid w:val="00646A23"/>
    <w:rsid w:val="00650305"/>
    <w:rsid w:val="006515E0"/>
    <w:rsid w:val="00653F28"/>
    <w:rsid w:val="00657C61"/>
    <w:rsid w:val="006612E5"/>
    <w:rsid w:val="006617DE"/>
    <w:rsid w:val="0066370F"/>
    <w:rsid w:val="00670E63"/>
    <w:rsid w:val="00671233"/>
    <w:rsid w:val="00672085"/>
    <w:rsid w:val="00676D9A"/>
    <w:rsid w:val="00681EF1"/>
    <w:rsid w:val="0068343E"/>
    <w:rsid w:val="006856CB"/>
    <w:rsid w:val="006A0784"/>
    <w:rsid w:val="006A5076"/>
    <w:rsid w:val="006A697B"/>
    <w:rsid w:val="006B4DDE"/>
    <w:rsid w:val="006B58DD"/>
    <w:rsid w:val="006B6124"/>
    <w:rsid w:val="006C0D40"/>
    <w:rsid w:val="006C4B6A"/>
    <w:rsid w:val="006D20F7"/>
    <w:rsid w:val="006D5765"/>
    <w:rsid w:val="006E0E45"/>
    <w:rsid w:val="006E2B13"/>
    <w:rsid w:val="006E344C"/>
    <w:rsid w:val="006E4597"/>
    <w:rsid w:val="006F3083"/>
    <w:rsid w:val="006F444F"/>
    <w:rsid w:val="006F644C"/>
    <w:rsid w:val="00701A4A"/>
    <w:rsid w:val="00702CE9"/>
    <w:rsid w:val="00707C23"/>
    <w:rsid w:val="00711AED"/>
    <w:rsid w:val="00722639"/>
    <w:rsid w:val="00732083"/>
    <w:rsid w:val="00733D10"/>
    <w:rsid w:val="00734CC2"/>
    <w:rsid w:val="007358E7"/>
    <w:rsid w:val="00743968"/>
    <w:rsid w:val="00743F7F"/>
    <w:rsid w:val="0075040D"/>
    <w:rsid w:val="00751CF2"/>
    <w:rsid w:val="00764583"/>
    <w:rsid w:val="00764EC1"/>
    <w:rsid w:val="00765F2F"/>
    <w:rsid w:val="007660B8"/>
    <w:rsid w:val="00770F9F"/>
    <w:rsid w:val="00773286"/>
    <w:rsid w:val="0077336A"/>
    <w:rsid w:val="00781054"/>
    <w:rsid w:val="00785415"/>
    <w:rsid w:val="00786294"/>
    <w:rsid w:val="00787A80"/>
    <w:rsid w:val="00790965"/>
    <w:rsid w:val="00791CB9"/>
    <w:rsid w:val="00793130"/>
    <w:rsid w:val="0079598E"/>
    <w:rsid w:val="00797DEE"/>
    <w:rsid w:val="007A1BE1"/>
    <w:rsid w:val="007A3CC8"/>
    <w:rsid w:val="007A42CF"/>
    <w:rsid w:val="007A454C"/>
    <w:rsid w:val="007B0C3B"/>
    <w:rsid w:val="007B3233"/>
    <w:rsid w:val="007B3E91"/>
    <w:rsid w:val="007B5A42"/>
    <w:rsid w:val="007B7DE5"/>
    <w:rsid w:val="007C199B"/>
    <w:rsid w:val="007D219E"/>
    <w:rsid w:val="007D27D3"/>
    <w:rsid w:val="007D2CED"/>
    <w:rsid w:val="007D3073"/>
    <w:rsid w:val="007D4712"/>
    <w:rsid w:val="007D64B9"/>
    <w:rsid w:val="007D72D4"/>
    <w:rsid w:val="007E0452"/>
    <w:rsid w:val="007E1303"/>
    <w:rsid w:val="007E226C"/>
    <w:rsid w:val="007E240D"/>
    <w:rsid w:val="007E5380"/>
    <w:rsid w:val="007F0A2E"/>
    <w:rsid w:val="007F215F"/>
    <w:rsid w:val="007F6069"/>
    <w:rsid w:val="008000FD"/>
    <w:rsid w:val="00802787"/>
    <w:rsid w:val="008070C0"/>
    <w:rsid w:val="00811C12"/>
    <w:rsid w:val="008127D0"/>
    <w:rsid w:val="00814448"/>
    <w:rsid w:val="00814D4E"/>
    <w:rsid w:val="008370D7"/>
    <w:rsid w:val="00842192"/>
    <w:rsid w:val="00845778"/>
    <w:rsid w:val="008545D7"/>
    <w:rsid w:val="00854F1D"/>
    <w:rsid w:val="008561BB"/>
    <w:rsid w:val="008566A9"/>
    <w:rsid w:val="00887E28"/>
    <w:rsid w:val="00887F43"/>
    <w:rsid w:val="008923DE"/>
    <w:rsid w:val="008A0D70"/>
    <w:rsid w:val="008A215E"/>
    <w:rsid w:val="008B4914"/>
    <w:rsid w:val="008C2D1A"/>
    <w:rsid w:val="008D0E28"/>
    <w:rsid w:val="008D2E47"/>
    <w:rsid w:val="008D41A2"/>
    <w:rsid w:val="008D5C3A"/>
    <w:rsid w:val="008D5F3C"/>
    <w:rsid w:val="008E2870"/>
    <w:rsid w:val="008E519C"/>
    <w:rsid w:val="008E6DA2"/>
    <w:rsid w:val="008F3BEE"/>
    <w:rsid w:val="008F4C94"/>
    <w:rsid w:val="008F6DD5"/>
    <w:rsid w:val="0090399F"/>
    <w:rsid w:val="00907B1E"/>
    <w:rsid w:val="0091353A"/>
    <w:rsid w:val="009220CD"/>
    <w:rsid w:val="00925CB3"/>
    <w:rsid w:val="00926ED4"/>
    <w:rsid w:val="0093180F"/>
    <w:rsid w:val="00932BA2"/>
    <w:rsid w:val="00943AFD"/>
    <w:rsid w:val="00944265"/>
    <w:rsid w:val="00945F1B"/>
    <w:rsid w:val="0095096A"/>
    <w:rsid w:val="00951ADC"/>
    <w:rsid w:val="00960B7E"/>
    <w:rsid w:val="00963A51"/>
    <w:rsid w:val="009728C7"/>
    <w:rsid w:val="00983B6E"/>
    <w:rsid w:val="0098580B"/>
    <w:rsid w:val="00987189"/>
    <w:rsid w:val="00992913"/>
    <w:rsid w:val="009936F8"/>
    <w:rsid w:val="009964AA"/>
    <w:rsid w:val="009A12CC"/>
    <w:rsid w:val="009A3772"/>
    <w:rsid w:val="009D17F0"/>
    <w:rsid w:val="009E0CA8"/>
    <w:rsid w:val="009E3168"/>
    <w:rsid w:val="009F46D4"/>
    <w:rsid w:val="009F5D55"/>
    <w:rsid w:val="009F616B"/>
    <w:rsid w:val="00A029AE"/>
    <w:rsid w:val="00A122A9"/>
    <w:rsid w:val="00A16296"/>
    <w:rsid w:val="00A17304"/>
    <w:rsid w:val="00A22D2E"/>
    <w:rsid w:val="00A26BEE"/>
    <w:rsid w:val="00A31D1C"/>
    <w:rsid w:val="00A37979"/>
    <w:rsid w:val="00A42796"/>
    <w:rsid w:val="00A50A55"/>
    <w:rsid w:val="00A5178E"/>
    <w:rsid w:val="00A5311D"/>
    <w:rsid w:val="00A62D10"/>
    <w:rsid w:val="00A723EF"/>
    <w:rsid w:val="00A85394"/>
    <w:rsid w:val="00A862C7"/>
    <w:rsid w:val="00A873B7"/>
    <w:rsid w:val="00A9453A"/>
    <w:rsid w:val="00A95A3F"/>
    <w:rsid w:val="00AA510D"/>
    <w:rsid w:val="00AA68BD"/>
    <w:rsid w:val="00AB5A4B"/>
    <w:rsid w:val="00AB5E7C"/>
    <w:rsid w:val="00AC29E2"/>
    <w:rsid w:val="00AC31EC"/>
    <w:rsid w:val="00AC7E86"/>
    <w:rsid w:val="00AD1745"/>
    <w:rsid w:val="00AD3B58"/>
    <w:rsid w:val="00AD3DBA"/>
    <w:rsid w:val="00AE298E"/>
    <w:rsid w:val="00AF09DE"/>
    <w:rsid w:val="00AF0D90"/>
    <w:rsid w:val="00AF1951"/>
    <w:rsid w:val="00AF2DC4"/>
    <w:rsid w:val="00AF56C6"/>
    <w:rsid w:val="00AF7CB2"/>
    <w:rsid w:val="00B032E8"/>
    <w:rsid w:val="00B07B82"/>
    <w:rsid w:val="00B1084D"/>
    <w:rsid w:val="00B238B8"/>
    <w:rsid w:val="00B2512D"/>
    <w:rsid w:val="00B25957"/>
    <w:rsid w:val="00B25E2F"/>
    <w:rsid w:val="00B2793F"/>
    <w:rsid w:val="00B354DB"/>
    <w:rsid w:val="00B358AA"/>
    <w:rsid w:val="00B464CF"/>
    <w:rsid w:val="00B57F96"/>
    <w:rsid w:val="00B62CF3"/>
    <w:rsid w:val="00B67892"/>
    <w:rsid w:val="00B76459"/>
    <w:rsid w:val="00B77F05"/>
    <w:rsid w:val="00B81695"/>
    <w:rsid w:val="00B82D2C"/>
    <w:rsid w:val="00B94BA8"/>
    <w:rsid w:val="00B9504E"/>
    <w:rsid w:val="00BA2F19"/>
    <w:rsid w:val="00BA300F"/>
    <w:rsid w:val="00BA4D33"/>
    <w:rsid w:val="00BA5B6E"/>
    <w:rsid w:val="00BA7CD9"/>
    <w:rsid w:val="00BB03F8"/>
    <w:rsid w:val="00BB15AF"/>
    <w:rsid w:val="00BC2D06"/>
    <w:rsid w:val="00BC465F"/>
    <w:rsid w:val="00BD33DE"/>
    <w:rsid w:val="00BD5EE5"/>
    <w:rsid w:val="00BE1A76"/>
    <w:rsid w:val="00BE1ACD"/>
    <w:rsid w:val="00BF2C3D"/>
    <w:rsid w:val="00C00A0A"/>
    <w:rsid w:val="00C025D3"/>
    <w:rsid w:val="00C03826"/>
    <w:rsid w:val="00C07063"/>
    <w:rsid w:val="00C12252"/>
    <w:rsid w:val="00C136A3"/>
    <w:rsid w:val="00C205D3"/>
    <w:rsid w:val="00C30115"/>
    <w:rsid w:val="00C31050"/>
    <w:rsid w:val="00C40D58"/>
    <w:rsid w:val="00C445F8"/>
    <w:rsid w:val="00C5725A"/>
    <w:rsid w:val="00C576B4"/>
    <w:rsid w:val="00C60579"/>
    <w:rsid w:val="00C62ACD"/>
    <w:rsid w:val="00C63671"/>
    <w:rsid w:val="00C64F7D"/>
    <w:rsid w:val="00C672FB"/>
    <w:rsid w:val="00C744EB"/>
    <w:rsid w:val="00C82BEC"/>
    <w:rsid w:val="00C90702"/>
    <w:rsid w:val="00C917FF"/>
    <w:rsid w:val="00C92E5E"/>
    <w:rsid w:val="00C9766A"/>
    <w:rsid w:val="00CA0067"/>
    <w:rsid w:val="00CA1D60"/>
    <w:rsid w:val="00CA6B4D"/>
    <w:rsid w:val="00CB050F"/>
    <w:rsid w:val="00CB2B9A"/>
    <w:rsid w:val="00CB4AE1"/>
    <w:rsid w:val="00CB5CA4"/>
    <w:rsid w:val="00CB6A1A"/>
    <w:rsid w:val="00CC4F39"/>
    <w:rsid w:val="00CD544C"/>
    <w:rsid w:val="00CD65D8"/>
    <w:rsid w:val="00CD6A80"/>
    <w:rsid w:val="00CD7374"/>
    <w:rsid w:val="00CE4B19"/>
    <w:rsid w:val="00CF4256"/>
    <w:rsid w:val="00D0472F"/>
    <w:rsid w:val="00D04FE8"/>
    <w:rsid w:val="00D12971"/>
    <w:rsid w:val="00D16912"/>
    <w:rsid w:val="00D16947"/>
    <w:rsid w:val="00D176CF"/>
    <w:rsid w:val="00D17AD5"/>
    <w:rsid w:val="00D17B76"/>
    <w:rsid w:val="00D20E0C"/>
    <w:rsid w:val="00D271E3"/>
    <w:rsid w:val="00D40FA1"/>
    <w:rsid w:val="00D413E8"/>
    <w:rsid w:val="00D4629F"/>
    <w:rsid w:val="00D47A80"/>
    <w:rsid w:val="00D51922"/>
    <w:rsid w:val="00D55202"/>
    <w:rsid w:val="00D56A14"/>
    <w:rsid w:val="00D601CB"/>
    <w:rsid w:val="00D65FC8"/>
    <w:rsid w:val="00D66C42"/>
    <w:rsid w:val="00D7682D"/>
    <w:rsid w:val="00D8301A"/>
    <w:rsid w:val="00D83239"/>
    <w:rsid w:val="00D85807"/>
    <w:rsid w:val="00D86189"/>
    <w:rsid w:val="00D87349"/>
    <w:rsid w:val="00D906B4"/>
    <w:rsid w:val="00D91EE9"/>
    <w:rsid w:val="00D9627A"/>
    <w:rsid w:val="00D964DA"/>
    <w:rsid w:val="00D97220"/>
    <w:rsid w:val="00DA2FEE"/>
    <w:rsid w:val="00DA45C3"/>
    <w:rsid w:val="00DA46CC"/>
    <w:rsid w:val="00DA5581"/>
    <w:rsid w:val="00DA634D"/>
    <w:rsid w:val="00DB75F1"/>
    <w:rsid w:val="00DB7A22"/>
    <w:rsid w:val="00DC10F7"/>
    <w:rsid w:val="00DC31E2"/>
    <w:rsid w:val="00DC58BC"/>
    <w:rsid w:val="00DD4F79"/>
    <w:rsid w:val="00DD4FCD"/>
    <w:rsid w:val="00DD5F96"/>
    <w:rsid w:val="00DE0F6B"/>
    <w:rsid w:val="00DE50CF"/>
    <w:rsid w:val="00DE7082"/>
    <w:rsid w:val="00DF0CBE"/>
    <w:rsid w:val="00DF1F9F"/>
    <w:rsid w:val="00E05CE3"/>
    <w:rsid w:val="00E065EA"/>
    <w:rsid w:val="00E06C3F"/>
    <w:rsid w:val="00E14D47"/>
    <w:rsid w:val="00E1641C"/>
    <w:rsid w:val="00E2153C"/>
    <w:rsid w:val="00E23606"/>
    <w:rsid w:val="00E245B8"/>
    <w:rsid w:val="00E26085"/>
    <w:rsid w:val="00E26708"/>
    <w:rsid w:val="00E31763"/>
    <w:rsid w:val="00E318BD"/>
    <w:rsid w:val="00E3258A"/>
    <w:rsid w:val="00E34958"/>
    <w:rsid w:val="00E36051"/>
    <w:rsid w:val="00E37AB0"/>
    <w:rsid w:val="00E40D5D"/>
    <w:rsid w:val="00E43115"/>
    <w:rsid w:val="00E457BB"/>
    <w:rsid w:val="00E45D6E"/>
    <w:rsid w:val="00E5398B"/>
    <w:rsid w:val="00E53FD6"/>
    <w:rsid w:val="00E7060F"/>
    <w:rsid w:val="00E71C39"/>
    <w:rsid w:val="00E76B04"/>
    <w:rsid w:val="00E906E0"/>
    <w:rsid w:val="00E93953"/>
    <w:rsid w:val="00EA56E6"/>
    <w:rsid w:val="00EA694D"/>
    <w:rsid w:val="00EA71F2"/>
    <w:rsid w:val="00EA7F74"/>
    <w:rsid w:val="00EB1C3C"/>
    <w:rsid w:val="00EB4BB8"/>
    <w:rsid w:val="00EC30A1"/>
    <w:rsid w:val="00EC335F"/>
    <w:rsid w:val="00EC48FB"/>
    <w:rsid w:val="00EC4CAB"/>
    <w:rsid w:val="00EC4F91"/>
    <w:rsid w:val="00EC59F2"/>
    <w:rsid w:val="00ED3965"/>
    <w:rsid w:val="00ED3CCE"/>
    <w:rsid w:val="00EE3CB1"/>
    <w:rsid w:val="00EF0752"/>
    <w:rsid w:val="00EF232A"/>
    <w:rsid w:val="00EF5EBE"/>
    <w:rsid w:val="00EF6E45"/>
    <w:rsid w:val="00F05A69"/>
    <w:rsid w:val="00F0790F"/>
    <w:rsid w:val="00F102C6"/>
    <w:rsid w:val="00F11047"/>
    <w:rsid w:val="00F1419C"/>
    <w:rsid w:val="00F229F3"/>
    <w:rsid w:val="00F23728"/>
    <w:rsid w:val="00F269A7"/>
    <w:rsid w:val="00F33808"/>
    <w:rsid w:val="00F40425"/>
    <w:rsid w:val="00F41A5E"/>
    <w:rsid w:val="00F43FFD"/>
    <w:rsid w:val="00F44236"/>
    <w:rsid w:val="00F51B68"/>
    <w:rsid w:val="00F52517"/>
    <w:rsid w:val="00F526A6"/>
    <w:rsid w:val="00F52D50"/>
    <w:rsid w:val="00F647B1"/>
    <w:rsid w:val="00F65DE9"/>
    <w:rsid w:val="00F76136"/>
    <w:rsid w:val="00F766DD"/>
    <w:rsid w:val="00F80941"/>
    <w:rsid w:val="00F83A88"/>
    <w:rsid w:val="00F90242"/>
    <w:rsid w:val="00F90DD1"/>
    <w:rsid w:val="00FA2392"/>
    <w:rsid w:val="00FA3C5E"/>
    <w:rsid w:val="00FA57B2"/>
    <w:rsid w:val="00FB0518"/>
    <w:rsid w:val="00FB384C"/>
    <w:rsid w:val="00FB509B"/>
    <w:rsid w:val="00FC313E"/>
    <w:rsid w:val="00FC357F"/>
    <w:rsid w:val="00FC3D4B"/>
    <w:rsid w:val="00FC4FC8"/>
    <w:rsid w:val="00FC6312"/>
    <w:rsid w:val="00FD175D"/>
    <w:rsid w:val="00FE36E3"/>
    <w:rsid w:val="00FE5088"/>
    <w:rsid w:val="00FE6B01"/>
    <w:rsid w:val="00FF2500"/>
    <w:rsid w:val="00FF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E23606"/>
    <w:rPr>
      <w:iCs/>
      <w:sz w:val="24"/>
    </w:rPr>
  </w:style>
  <w:style w:type="paragraph" w:customStyle="1" w:styleId="BodyTextNumbered">
    <w:name w:val="Body Text Numbered"/>
    <w:basedOn w:val="BodyText"/>
    <w:link w:val="BodyTextNumberedChar1"/>
    <w:rsid w:val="00E23606"/>
    <w:pPr>
      <w:ind w:left="720" w:hanging="720"/>
    </w:pPr>
    <w:rPr>
      <w:iCs/>
      <w:szCs w:val="20"/>
    </w:rPr>
  </w:style>
  <w:style w:type="character" w:customStyle="1" w:styleId="H4Char">
    <w:name w:val="H4 Char"/>
    <w:link w:val="H4"/>
    <w:rsid w:val="00E23606"/>
    <w:rPr>
      <w:b/>
      <w:bCs/>
      <w:snapToGrid w:val="0"/>
      <w:sz w:val="24"/>
    </w:rPr>
  </w:style>
  <w:style w:type="paragraph" w:styleId="ListParagraph">
    <w:name w:val="List Paragraph"/>
    <w:basedOn w:val="Normal"/>
    <w:uiPriority w:val="34"/>
    <w:qFormat/>
    <w:rsid w:val="00E26085"/>
    <w:pPr>
      <w:ind w:left="720"/>
      <w:contextualSpacing/>
    </w:pPr>
  </w:style>
  <w:style w:type="paragraph" w:customStyle="1" w:styleId="DocID">
    <w:name w:val="DocID"/>
    <w:basedOn w:val="Normal"/>
    <w:next w:val="Footer"/>
    <w:rsid w:val="007B7DE5"/>
    <w:rPr>
      <w:sz w:val="16"/>
    </w:rPr>
  </w:style>
  <w:style w:type="character" w:styleId="FootnoteReference">
    <w:name w:val="footnote reference"/>
    <w:basedOn w:val="DefaultParagraphFont"/>
    <w:rsid w:val="00E43115"/>
    <w:rPr>
      <w:vertAlign w:val="superscript"/>
    </w:rPr>
  </w:style>
  <w:style w:type="character" w:customStyle="1" w:styleId="H2Char">
    <w:name w:val="H2 Char"/>
    <w:link w:val="H2"/>
    <w:rsid w:val="00D66C42"/>
    <w:rPr>
      <w:b/>
      <w:sz w:val="24"/>
    </w:rPr>
  </w:style>
  <w:style w:type="character" w:customStyle="1" w:styleId="BodyTextChar">
    <w:name w:val="Body Text Char"/>
    <w:basedOn w:val="DefaultParagraphFont"/>
    <w:link w:val="BodyText"/>
    <w:rsid w:val="00D66C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206">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1742604">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62342667">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319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rtha.henson@oncor.com" TargetMode="External"/><Relationship Id="rId4" Type="http://schemas.openxmlformats.org/officeDocument/2006/relationships/styles" Target="styles.xml"/><Relationship Id="rId9" Type="http://schemas.openxmlformats.org/officeDocument/2006/relationships/hyperlink" Target="https://www.ercot.com/mktrules/issues/NPRR1274"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DMS!356800798.1</documentid>
  <senderid>16940</senderid>
  <senderemail>LFREELAND@HUNTON.COM</senderemail>
  <lastmodified>2026-07-07T14:14:00.0000000-05:00</lastmodified>
  <database>DMS</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05718-5167-4813-871B-FC5E90188148}">
  <ds:schemaRefs>
    <ds:schemaRef ds:uri="http://www.imanage.com/work/xmlschema"/>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2981</Words>
  <Characters>17082</Characters>
  <Application>Microsoft Office Word</Application>
  <DocSecurity>0</DocSecurity>
  <Lines>294</Lines>
  <Paragraphs>54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20009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2026-06-29T15:21:00Z</cp:lastPrinted>
  <dcterms:created xsi:type="dcterms:W3CDTF">2026-07-13T16:46:00Z</dcterms:created>
  <dcterms:modified xsi:type="dcterms:W3CDTF">2026-07-13T16:46:00Z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DOCXDOCID">
    <vt:lpwstr>088332.0000151 DMS 356527516v2</vt:lpwstr>
  </property>
  <property fmtid="{D5CDD505-2E9C-101B-9397-08002B2CF9AE}" pid="10" name="DocXFormat">
    <vt:lpwstr>Hunton</vt:lpwstr>
  </property>
  <property fmtid="{D5CDD505-2E9C-101B-9397-08002B2CF9AE}" pid="11" name="DocXLocation">
    <vt:lpwstr>NoDocId</vt:lpwstr>
  </property>
</Properties>
</file>