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6E23" w14:textId="60C88A59" w:rsidR="00E455BF" w:rsidRDefault="00BD04B3" w:rsidP="00E455BF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084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IBRWG </w:t>
      </w:r>
      <w:r w:rsidR="00F627B1">
        <w:rPr>
          <w:rFonts w:ascii="Times New Roman" w:eastAsia="Calibri" w:hAnsi="Times New Roman" w:cs="Times New Roman"/>
          <w:b/>
          <w:bCs/>
          <w:sz w:val="32"/>
          <w:szCs w:val="32"/>
        </w:rPr>
        <w:t>Update</w:t>
      </w:r>
      <w:r w:rsidRPr="00B70847">
        <w:rPr>
          <w:rFonts w:ascii="Times New Roman" w:eastAsia="Calibri" w:hAnsi="Times New Roman" w:cs="Times New Roman"/>
          <w:b/>
          <w:bCs/>
          <w:sz w:val="32"/>
          <w:szCs w:val="32"/>
        </w:rPr>
        <w:br/>
        <w:t>Ju</w:t>
      </w:r>
      <w:r w:rsidR="00F627B1">
        <w:rPr>
          <w:rFonts w:ascii="Times New Roman" w:eastAsia="Calibri" w:hAnsi="Times New Roman" w:cs="Times New Roman"/>
          <w:b/>
          <w:bCs/>
          <w:sz w:val="32"/>
          <w:szCs w:val="32"/>
        </w:rPr>
        <w:t>ly</w:t>
      </w:r>
      <w:r w:rsidRPr="00B7084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2026</w:t>
      </w:r>
      <w:r w:rsidRPr="00B70847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r w:rsidR="00E455BF" w:rsidRPr="002D4213">
        <w:rPr>
          <w:rFonts w:ascii="Times New Roman" w:eastAsia="Calibri" w:hAnsi="Times New Roman" w:cs="Times New Roman"/>
          <w:b/>
          <w:bCs/>
        </w:rPr>
        <w:t>Chair: Julia Matevosyan, Vice-Chair: Miguel Cova Acosta</w:t>
      </w:r>
    </w:p>
    <w:p w14:paraId="5075331A" w14:textId="7F831BE3" w:rsidR="00F26ACD" w:rsidRPr="00B70847" w:rsidRDefault="00F26ACD" w:rsidP="00B7084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C3BCFCE" w14:textId="77777777" w:rsidR="00F26ACD" w:rsidRPr="00884815" w:rsidRDefault="00BD04B3" w:rsidP="00884815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8481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IBRWG met on June 15th (Webex).</w:t>
      </w:r>
    </w:p>
    <w:p w14:paraId="0D9FDEDE" w14:textId="75E5C636" w:rsidR="00F26ACD" w:rsidRPr="005C16F1" w:rsidRDefault="00BD04B3">
      <w:pPr>
        <w:rPr>
          <w:rFonts w:ascii="Times New Roman" w:hAnsi="Times New Roman" w:cs="Times New Roman"/>
          <w:sz w:val="28"/>
          <w:szCs w:val="28"/>
        </w:rPr>
      </w:pPr>
      <w:r w:rsidRPr="005C16F1">
        <w:rPr>
          <w:rFonts w:ascii="Times New Roman" w:hAnsi="Times New Roman" w:cs="Times New Roman"/>
          <w:sz w:val="28"/>
          <w:szCs w:val="28"/>
        </w:rPr>
        <w:t xml:space="preserve">The agenda and presentation slides are available </w:t>
      </w:r>
      <w:hyperlink r:id="rId6" w:history="1">
        <w:r w:rsidRPr="005C16F1">
          <w:rPr>
            <w:rStyle w:val="Hyperlink"/>
            <w:rFonts w:ascii="Times New Roman" w:hAnsi="Times New Roman" w:cs="Times New Roman"/>
            <w:sz w:val="28"/>
            <w:szCs w:val="28"/>
          </w:rPr>
          <w:t>here</w:t>
        </w:r>
      </w:hyperlink>
      <w:r w:rsidRPr="005C16F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3593A2" w14:textId="77777777" w:rsidR="00F26ACD" w:rsidRPr="005C16F1" w:rsidRDefault="00BD04B3">
      <w:pPr>
        <w:rPr>
          <w:rFonts w:ascii="Times New Roman" w:hAnsi="Times New Roman" w:cs="Times New Roman"/>
          <w:sz w:val="28"/>
          <w:szCs w:val="28"/>
        </w:rPr>
      </w:pPr>
      <w:r w:rsidRPr="005C16F1">
        <w:rPr>
          <w:rFonts w:ascii="Times New Roman" w:hAnsi="Times New Roman" w:cs="Times New Roman"/>
          <w:sz w:val="28"/>
          <w:szCs w:val="28"/>
        </w:rPr>
        <w:t>~67 people attended the meeting (at peak)</w:t>
      </w:r>
    </w:p>
    <w:p w14:paraId="276D9567" w14:textId="77777777" w:rsidR="00F26ACD" w:rsidRPr="00E639E5" w:rsidRDefault="00BD04B3" w:rsidP="00E639E5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639E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IBRWG Meeting</w:t>
      </w:r>
    </w:p>
    <w:p w14:paraId="40CF6577" w14:textId="6F744BD6" w:rsidR="00353621" w:rsidRDefault="00BD04B3" w:rsidP="00F22B1C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7766CF">
        <w:rPr>
          <w:rFonts w:ascii="Times New Roman" w:eastAsia="Calibri" w:hAnsi="Times New Roman" w:cs="Times New Roman"/>
          <w:b/>
          <w:bCs/>
          <w:sz w:val="28"/>
          <w:szCs w:val="28"/>
        </w:rPr>
        <w:t>PSS/E v36 Transition: OEM DLL Status Update</w:t>
      </w:r>
    </w:p>
    <w:p w14:paraId="32096B4F" w14:textId="6CCE48E5" w:rsidR="00F26ACD" w:rsidRPr="007766CF" w:rsidRDefault="00BD04B3" w:rsidP="00F22B1C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A0164A">
        <w:rPr>
          <w:rFonts w:ascii="Times New Roman" w:eastAsia="Calibri" w:hAnsi="Times New Roman" w:cs="Times New Roman"/>
          <w:sz w:val="28"/>
          <w:szCs w:val="28"/>
        </w:rPr>
        <w:t>Christian Danielson, ERCOT</w:t>
      </w:r>
    </w:p>
    <w:p w14:paraId="2E6675D7" w14:textId="10456588" w:rsidR="00F26ACD" w:rsidRPr="00C14169" w:rsidRDefault="00BD04B3" w:rsidP="00C14169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14169">
        <w:rPr>
          <w:rFonts w:ascii="Times New Roman" w:eastAsia="Calibri" w:hAnsi="Times New Roman" w:cs="Times New Roman"/>
          <w:sz w:val="28"/>
          <w:szCs w:val="28"/>
        </w:rPr>
        <w:t xml:space="preserve">ERCOT reviewed progress on the transition to PSS®E v36 and noted that the June 1, </w:t>
      </w:r>
      <w:proofErr w:type="gramStart"/>
      <w:r w:rsidRPr="00C14169">
        <w:rPr>
          <w:rFonts w:ascii="Times New Roman" w:eastAsia="Calibri" w:hAnsi="Times New Roman" w:cs="Times New Roman"/>
          <w:sz w:val="28"/>
          <w:szCs w:val="28"/>
        </w:rPr>
        <w:t>2026</w:t>
      </w:r>
      <w:proofErr w:type="gramEnd"/>
      <w:r w:rsidRPr="00C14169">
        <w:rPr>
          <w:rFonts w:ascii="Times New Roman" w:eastAsia="Calibri" w:hAnsi="Times New Roman" w:cs="Times New Roman"/>
          <w:sz w:val="28"/>
          <w:szCs w:val="28"/>
        </w:rPr>
        <w:t xml:space="preserve"> deadline for submission of v36-compatible dynamic models has passed.</w:t>
      </w:r>
    </w:p>
    <w:p w14:paraId="05F241BB" w14:textId="2226A00A" w:rsidR="00F26ACD" w:rsidRPr="00C14169" w:rsidRDefault="00BD04B3" w:rsidP="00C14169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14169">
        <w:rPr>
          <w:rFonts w:ascii="Times New Roman" w:eastAsia="Calibri" w:hAnsi="Times New Roman" w:cs="Times New Roman"/>
          <w:sz w:val="28"/>
          <w:szCs w:val="28"/>
        </w:rPr>
        <w:t>Generator owners remain dependent on OEM release of v36-compatible DLLs before complete model packages can be submitted.</w:t>
      </w:r>
    </w:p>
    <w:p w14:paraId="39D063BF" w14:textId="429E1B25" w:rsidR="00F26ACD" w:rsidRPr="00C14169" w:rsidRDefault="00BD04B3" w:rsidP="00C14169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14169">
        <w:rPr>
          <w:rFonts w:ascii="Times New Roman" w:eastAsia="Calibri" w:hAnsi="Times New Roman" w:cs="Times New Roman"/>
          <w:sz w:val="28"/>
          <w:szCs w:val="28"/>
        </w:rPr>
        <w:t>ERCOT has been coordinating directly with OEMs regarding outstanding DLL releases and model submissions.</w:t>
      </w:r>
    </w:p>
    <w:p w14:paraId="0A8F74CD" w14:textId="12F2081A" w:rsidR="00F26ACD" w:rsidRPr="00C14169" w:rsidRDefault="00BD04B3" w:rsidP="00C14169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14169">
        <w:rPr>
          <w:rFonts w:ascii="Times New Roman" w:eastAsia="Calibri" w:hAnsi="Times New Roman" w:cs="Times New Roman"/>
          <w:sz w:val="28"/>
          <w:szCs w:val="28"/>
        </w:rPr>
        <w:t>Current OEM DLL status in planning cases: Tesla, Siemens Gamesa, SMA, Power Electronics, Ingeteam and EPC complete; GE partial; Vestas and Sungrow missing.</w:t>
      </w:r>
    </w:p>
    <w:p w14:paraId="6DFA252D" w14:textId="30711600" w:rsidR="00353621" w:rsidRDefault="00BD04B3" w:rsidP="00353621">
      <w:pPr>
        <w:spacing w:after="160"/>
        <w:rPr>
          <w:rFonts w:ascii="Times New Roman" w:hAnsi="Times New Roman" w:cs="Times New Roman"/>
          <w:bCs/>
          <w:sz w:val="28"/>
          <w:szCs w:val="28"/>
        </w:rPr>
      </w:pPr>
      <w:r w:rsidRPr="007766CF">
        <w:rPr>
          <w:rFonts w:ascii="Times New Roman" w:hAnsi="Times New Roman" w:cs="Times New Roman"/>
          <w:b/>
          <w:sz w:val="28"/>
          <w:szCs w:val="28"/>
        </w:rPr>
        <w:t>NPRR1333 Establish an Incentive Program for Advanced Grid Support</w:t>
      </w:r>
    </w:p>
    <w:p w14:paraId="3C5B63FE" w14:textId="4597DCB0" w:rsidR="00F26ACD" w:rsidRPr="00C46EFC" w:rsidRDefault="00BD04B3" w:rsidP="00353621">
      <w:pPr>
        <w:spacing w:after="160"/>
        <w:rPr>
          <w:rFonts w:ascii="Times New Roman" w:hAnsi="Times New Roman" w:cs="Times New Roman"/>
          <w:bCs/>
          <w:sz w:val="28"/>
          <w:szCs w:val="28"/>
        </w:rPr>
      </w:pPr>
      <w:r w:rsidRPr="00C46EFC">
        <w:rPr>
          <w:rFonts w:ascii="Times New Roman" w:hAnsi="Times New Roman" w:cs="Times New Roman"/>
          <w:bCs/>
          <w:sz w:val="28"/>
          <w:szCs w:val="28"/>
        </w:rPr>
        <w:t>Fred Huang, ERCOT</w:t>
      </w:r>
    </w:p>
    <w:p w14:paraId="1917E756" w14:textId="3D6EBECC" w:rsidR="00F26ACD" w:rsidRPr="00C46EFC" w:rsidRDefault="00BD04B3" w:rsidP="00C46EFC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46EFC">
        <w:rPr>
          <w:rFonts w:ascii="Times New Roman" w:eastAsia="Calibri" w:hAnsi="Times New Roman" w:cs="Times New Roman"/>
          <w:sz w:val="28"/>
          <w:szCs w:val="28"/>
        </w:rPr>
        <w:t>The NPRR proposes a one-time incentive mechanism to encourage resources that are not otherwise required to provide advanced grid support capabilities to voluntarily implement them.</w:t>
      </w:r>
    </w:p>
    <w:p w14:paraId="45127C79" w14:textId="4AE68958" w:rsidR="00F26ACD" w:rsidRPr="00C46EFC" w:rsidRDefault="00BD04B3" w:rsidP="00C46EFC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46EFC">
        <w:rPr>
          <w:rFonts w:ascii="Times New Roman" w:eastAsia="Calibri" w:hAnsi="Times New Roman" w:cs="Times New Roman"/>
          <w:sz w:val="28"/>
          <w:szCs w:val="28"/>
        </w:rPr>
        <w:t>The proposal is primarily focused on economic incentives and broader adoption of advanced grid-support functionality rather than establishing new reliability requirements.</w:t>
      </w:r>
    </w:p>
    <w:p w14:paraId="713E0A91" w14:textId="2CAC9230" w:rsidR="00F26ACD" w:rsidRPr="00C46EFC" w:rsidRDefault="002E04F1" w:rsidP="00C46EFC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</w:t>
      </w:r>
      <w:r w:rsidR="00BD04B3" w:rsidRPr="00C46EFC">
        <w:rPr>
          <w:rFonts w:ascii="Times New Roman" w:eastAsia="Calibri" w:hAnsi="Times New Roman" w:cs="Times New Roman"/>
          <w:sz w:val="28"/>
          <w:szCs w:val="28"/>
        </w:rPr>
        <w:t xml:space="preserve"> NPRR had already been discussed at </w:t>
      </w:r>
      <w:proofErr w:type="gramStart"/>
      <w:r w:rsidR="00BD04B3" w:rsidRPr="00C46EFC">
        <w:rPr>
          <w:rFonts w:ascii="Times New Roman" w:eastAsia="Calibri" w:hAnsi="Times New Roman" w:cs="Times New Roman"/>
          <w:sz w:val="28"/>
          <w:szCs w:val="28"/>
        </w:rPr>
        <w:t>PRS</w:t>
      </w:r>
      <w:proofErr w:type="gramEnd"/>
      <w:r w:rsidR="00BD04B3" w:rsidRPr="00C46EFC">
        <w:rPr>
          <w:rFonts w:ascii="Times New Roman" w:eastAsia="Calibri" w:hAnsi="Times New Roman" w:cs="Times New Roman"/>
          <w:sz w:val="28"/>
          <w:szCs w:val="28"/>
        </w:rPr>
        <w:t xml:space="preserve"> and no substantial concerns had been raised.</w:t>
      </w:r>
    </w:p>
    <w:p w14:paraId="742849FE" w14:textId="51FAF9A5" w:rsidR="00F26ACD" w:rsidRPr="00C46EFC" w:rsidRDefault="00BD04B3" w:rsidP="00C46EFC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C46EFC">
        <w:rPr>
          <w:rFonts w:ascii="Times New Roman" w:eastAsia="Calibri" w:hAnsi="Times New Roman" w:cs="Times New Roman"/>
          <w:sz w:val="28"/>
          <w:szCs w:val="28"/>
        </w:rPr>
        <w:lastRenderedPageBreak/>
        <w:t>Because the proposal is primarily market-oriented, it is expected to receive further discussion at WMS before continuing through the stakeholder process.</w:t>
      </w:r>
    </w:p>
    <w:p w14:paraId="1B451FF3" w14:textId="42891D4B" w:rsidR="00353621" w:rsidRDefault="00BD04B3" w:rsidP="00353621">
      <w:pPr>
        <w:spacing w:after="160"/>
        <w:rPr>
          <w:rFonts w:ascii="Times New Roman" w:hAnsi="Times New Roman" w:cs="Times New Roman"/>
          <w:bCs/>
          <w:sz w:val="28"/>
          <w:szCs w:val="28"/>
        </w:rPr>
      </w:pPr>
      <w:r w:rsidRPr="007766CF">
        <w:rPr>
          <w:rFonts w:ascii="Times New Roman" w:hAnsi="Times New Roman" w:cs="Times New Roman"/>
          <w:b/>
          <w:sz w:val="28"/>
          <w:szCs w:val="28"/>
        </w:rPr>
        <w:t>NERC Updates</w:t>
      </w:r>
    </w:p>
    <w:p w14:paraId="48AB9613" w14:textId="798326B3" w:rsidR="00F26ACD" w:rsidRPr="00353621" w:rsidRDefault="00BD04B3" w:rsidP="00353621">
      <w:pPr>
        <w:spacing w:after="160"/>
        <w:rPr>
          <w:rFonts w:ascii="Times New Roman" w:hAnsi="Times New Roman" w:cs="Times New Roman"/>
          <w:bCs/>
          <w:sz w:val="28"/>
          <w:szCs w:val="28"/>
        </w:rPr>
      </w:pPr>
      <w:r w:rsidRPr="00353621">
        <w:rPr>
          <w:rFonts w:ascii="Times New Roman" w:hAnsi="Times New Roman" w:cs="Times New Roman"/>
          <w:bCs/>
          <w:sz w:val="28"/>
          <w:szCs w:val="28"/>
        </w:rPr>
        <w:t>Mark Henry, TRE</w:t>
      </w:r>
    </w:p>
    <w:p w14:paraId="07296C42" w14:textId="041569F6" w:rsidR="002E04F1" w:rsidRDefault="00BD04B3" w:rsidP="002E04F1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353621">
        <w:rPr>
          <w:rFonts w:ascii="Times New Roman" w:eastAsia="Calibri" w:hAnsi="Times New Roman" w:cs="Times New Roman"/>
          <w:sz w:val="28"/>
          <w:szCs w:val="28"/>
        </w:rPr>
        <w:t xml:space="preserve">FERC Order 901 Milestone 2 standards (PRC‑028‑1, PRC‑029‑1 and PRC‑030‑1) have been approved. </w:t>
      </w:r>
    </w:p>
    <w:p w14:paraId="6C242AA8" w14:textId="4D759430" w:rsidR="00F26ACD" w:rsidRPr="002E04F1" w:rsidRDefault="00BD04B3" w:rsidP="002E04F1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2E04F1">
        <w:rPr>
          <w:rFonts w:ascii="Times New Roman" w:eastAsia="Calibri" w:hAnsi="Times New Roman" w:cs="Times New Roman"/>
          <w:sz w:val="28"/>
          <w:szCs w:val="28"/>
        </w:rPr>
        <w:t xml:space="preserve">Project 2025‑05 Ride-through Revisions (PRC‑029‑2) narrowly missed passing its ballot; final filing remains targeted for August 28, 2026. </w:t>
      </w:r>
    </w:p>
    <w:p w14:paraId="428562A5" w14:textId="68646F48" w:rsidR="00F26ACD" w:rsidRPr="00353621" w:rsidRDefault="00BD04B3" w:rsidP="00353621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353621">
        <w:rPr>
          <w:rFonts w:ascii="Times New Roman" w:eastAsia="Calibri" w:hAnsi="Times New Roman" w:cs="Times New Roman"/>
          <w:sz w:val="28"/>
          <w:szCs w:val="28"/>
        </w:rPr>
        <w:t>Milestone 3 standards associated with model verification</w:t>
      </w:r>
      <w:r w:rsidR="001F65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F65B1" w:rsidRPr="001F65B1">
        <w:rPr>
          <w:rFonts w:ascii="Times New Roman" w:eastAsia="Calibri" w:hAnsi="Times New Roman" w:cs="Times New Roman"/>
          <w:sz w:val="28"/>
          <w:szCs w:val="28"/>
        </w:rPr>
        <w:t>MOD‑026‑2 and MOD‑033‑3</w:t>
      </w:r>
      <w:r w:rsidR="001F65B1">
        <w:rPr>
          <w:rFonts w:ascii="Times New Roman" w:eastAsia="Calibri" w:hAnsi="Times New Roman" w:cs="Times New Roman"/>
          <w:sz w:val="28"/>
          <w:szCs w:val="28"/>
        </w:rPr>
        <w:t>)</w:t>
      </w:r>
      <w:r w:rsidRPr="00353621">
        <w:rPr>
          <w:rFonts w:ascii="Times New Roman" w:eastAsia="Calibri" w:hAnsi="Times New Roman" w:cs="Times New Roman"/>
          <w:sz w:val="28"/>
          <w:szCs w:val="28"/>
        </w:rPr>
        <w:t xml:space="preserve"> and validation were approved by FERC in February 2026. </w:t>
      </w:r>
    </w:p>
    <w:p w14:paraId="12263846" w14:textId="2E6BE96A" w:rsidR="00F26ACD" w:rsidRPr="00353621" w:rsidRDefault="00BD04B3" w:rsidP="00353621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353621">
        <w:rPr>
          <w:rFonts w:ascii="Times New Roman" w:eastAsia="Calibri" w:hAnsi="Times New Roman" w:cs="Times New Roman"/>
          <w:sz w:val="28"/>
          <w:szCs w:val="28"/>
        </w:rPr>
        <w:t>Project 2022‑02 Uniform Modeling Framework for IBRs continues with draft for MOD‑032‑2, TOP‑003‑8 and IRO‑010‑6.</w:t>
      </w:r>
    </w:p>
    <w:p w14:paraId="2AD5C02A" w14:textId="77777777" w:rsidR="00791412" w:rsidRDefault="00BD04B3" w:rsidP="00353621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353621">
        <w:rPr>
          <w:rFonts w:ascii="Times New Roman" w:eastAsia="Calibri" w:hAnsi="Times New Roman" w:cs="Times New Roman"/>
          <w:sz w:val="28"/>
          <w:szCs w:val="28"/>
        </w:rPr>
        <w:t xml:space="preserve">Project 2025‑04 Order 901 Planning Studies (TPL‑001‑6) achieved passing votes and quorum. </w:t>
      </w:r>
    </w:p>
    <w:p w14:paraId="0F9BC436" w14:textId="77777777" w:rsidR="00791412" w:rsidRDefault="00BD04B3" w:rsidP="00791412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353621">
        <w:rPr>
          <w:rFonts w:ascii="Times New Roman" w:eastAsia="Calibri" w:hAnsi="Times New Roman" w:cs="Times New Roman"/>
          <w:sz w:val="28"/>
          <w:szCs w:val="28"/>
        </w:rPr>
        <w:t>Project 2025‑03 Operational Studies did not achieve passing votes.</w:t>
      </w:r>
    </w:p>
    <w:p w14:paraId="13FFDE10" w14:textId="77777777" w:rsidR="00791412" w:rsidRPr="00791412" w:rsidRDefault="00BD04B3" w:rsidP="00B927A0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791412">
        <w:rPr>
          <w:rFonts w:ascii="Times New Roman" w:eastAsia="Calibri" w:hAnsi="Times New Roman" w:cs="Times New Roman"/>
          <w:sz w:val="28"/>
          <w:szCs w:val="28"/>
        </w:rPr>
        <w:t>Project 2022‑04 EMT Modeling remains under development; industry comments from the first ballot are under review.</w:t>
      </w:r>
      <w:r w:rsidR="00B927A0" w:rsidRPr="00791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443CE4" w14:textId="763EE9FA" w:rsidR="00F26ACD" w:rsidRPr="00791412" w:rsidRDefault="00BD04B3" w:rsidP="00B927A0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791412">
        <w:rPr>
          <w:rFonts w:ascii="Times New Roman" w:eastAsia="Calibri" w:hAnsi="Times New Roman" w:cs="Times New Roman"/>
          <w:sz w:val="28"/>
          <w:szCs w:val="28"/>
        </w:rPr>
        <w:t xml:space="preserve">Project 2023‑01 EOP‑004 IBR Event Reporting was approved and is headed to the NERC Board. The ERCOT reporting threshold for IBR disturbances </w:t>
      </w:r>
      <w:r w:rsidR="006E1AD5" w:rsidRPr="00791412">
        <w:rPr>
          <w:rFonts w:ascii="Times New Roman" w:eastAsia="Calibri" w:hAnsi="Times New Roman" w:cs="Times New Roman"/>
          <w:sz w:val="28"/>
          <w:szCs w:val="28"/>
        </w:rPr>
        <w:t>increased</w:t>
      </w:r>
      <w:r w:rsidRPr="00791412">
        <w:rPr>
          <w:rFonts w:ascii="Times New Roman" w:eastAsia="Calibri" w:hAnsi="Times New Roman" w:cs="Times New Roman"/>
          <w:sz w:val="28"/>
          <w:szCs w:val="28"/>
        </w:rPr>
        <w:t xml:space="preserve"> from 500 MW to 800 MW.</w:t>
      </w:r>
      <w:r w:rsidR="00B927A0" w:rsidRPr="00791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C2619E" w14:textId="77777777" w:rsidR="001246F5" w:rsidRPr="001246F5" w:rsidRDefault="00BD04B3" w:rsidP="00041D50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1246F5">
        <w:rPr>
          <w:rFonts w:ascii="Times New Roman" w:eastAsia="Calibri" w:hAnsi="Times New Roman" w:cs="Times New Roman"/>
          <w:sz w:val="28"/>
          <w:szCs w:val="28"/>
        </w:rPr>
        <w:t>NERC finalized the Category 2 GO/GOP registration initiative. Mark noted that 32 generators were registered in Texas RE and roughly 800 entities across NERC’s six Regions.</w:t>
      </w:r>
    </w:p>
    <w:p w14:paraId="322FCE24" w14:textId="2427A2BF" w:rsidR="00F26ACD" w:rsidRPr="001246F5" w:rsidRDefault="00BD04B3" w:rsidP="00041D50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 w:rsidRPr="001246F5">
        <w:rPr>
          <w:rFonts w:ascii="Times New Roman" w:eastAsia="Calibri" w:hAnsi="Times New Roman" w:cs="Times New Roman"/>
          <w:sz w:val="28"/>
          <w:szCs w:val="28"/>
        </w:rPr>
        <w:t>IRPS activities include work on large-load EMT modeling</w:t>
      </w:r>
      <w:proofErr w:type="gramStart"/>
      <w:r w:rsidRPr="001246F5">
        <w:rPr>
          <w:rFonts w:ascii="Times New Roman" w:eastAsia="Calibri" w:hAnsi="Times New Roman" w:cs="Times New Roman"/>
          <w:sz w:val="28"/>
          <w:szCs w:val="28"/>
        </w:rPr>
        <w:t>, IBR</w:t>
      </w:r>
      <w:proofErr w:type="gramEnd"/>
      <w:r w:rsidRPr="001246F5">
        <w:rPr>
          <w:rFonts w:ascii="Times New Roman" w:eastAsia="Calibri" w:hAnsi="Times New Roman" w:cs="Times New Roman"/>
          <w:sz w:val="28"/>
          <w:szCs w:val="28"/>
        </w:rPr>
        <w:t xml:space="preserve"> commissioning best practices, equipment model validation, and interconnection study guidance.</w:t>
      </w:r>
      <w:r w:rsidR="00041D50" w:rsidRPr="00124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28922" w14:textId="77777777" w:rsidR="001B7344" w:rsidRDefault="001B7344">
      <w:pPr>
        <w:rPr>
          <w:rFonts w:ascii="Times New Roman" w:hAnsi="Times New Roman" w:cs="Times New Roman"/>
          <w:b/>
          <w:sz w:val="28"/>
          <w:szCs w:val="28"/>
        </w:rPr>
      </w:pPr>
    </w:p>
    <w:p w14:paraId="02A572A5" w14:textId="77777777" w:rsidR="001B7344" w:rsidRDefault="001B7344">
      <w:pPr>
        <w:rPr>
          <w:rFonts w:ascii="Times New Roman" w:hAnsi="Times New Roman" w:cs="Times New Roman"/>
          <w:b/>
          <w:sz w:val="28"/>
          <w:szCs w:val="28"/>
        </w:rPr>
      </w:pPr>
    </w:p>
    <w:p w14:paraId="1A93A863" w14:textId="60539C71" w:rsidR="006E1AD5" w:rsidRDefault="00BD04B3">
      <w:pPr>
        <w:rPr>
          <w:rFonts w:ascii="Times New Roman" w:hAnsi="Times New Roman" w:cs="Times New Roman"/>
          <w:bCs/>
          <w:sz w:val="28"/>
          <w:szCs w:val="28"/>
        </w:rPr>
      </w:pPr>
      <w:r w:rsidRPr="007766CF">
        <w:rPr>
          <w:rFonts w:ascii="Times New Roman" w:hAnsi="Times New Roman" w:cs="Times New Roman"/>
          <w:b/>
          <w:sz w:val="28"/>
          <w:szCs w:val="28"/>
        </w:rPr>
        <w:lastRenderedPageBreak/>
        <w:t>Other Industry Updates</w:t>
      </w:r>
    </w:p>
    <w:p w14:paraId="2C95670B" w14:textId="160CA346" w:rsidR="00F26ACD" w:rsidRPr="007766CF" w:rsidRDefault="00BD04B3">
      <w:pPr>
        <w:rPr>
          <w:rFonts w:ascii="Times New Roman" w:hAnsi="Times New Roman" w:cs="Times New Roman"/>
          <w:sz w:val="28"/>
          <w:szCs w:val="28"/>
        </w:rPr>
      </w:pPr>
      <w:r w:rsidRPr="006E1AD5">
        <w:rPr>
          <w:rFonts w:ascii="Times New Roman" w:hAnsi="Times New Roman" w:cs="Times New Roman"/>
          <w:bCs/>
          <w:sz w:val="28"/>
          <w:szCs w:val="28"/>
        </w:rPr>
        <w:t>Julia Matevosyan, ESIG</w:t>
      </w:r>
    </w:p>
    <w:p w14:paraId="7A9ED10E" w14:textId="30021902" w:rsidR="00F26ACD" w:rsidRPr="006E1AD5" w:rsidRDefault="00BD04B3" w:rsidP="006E1AD5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6E1AD5">
        <w:rPr>
          <w:rFonts w:ascii="Times New Roman" w:eastAsia="Calibri" w:hAnsi="Times New Roman" w:cs="Times New Roman"/>
          <w:sz w:val="28"/>
          <w:szCs w:val="28"/>
        </w:rPr>
        <w:t>France now requires grid-forming capability for newly interconnecting battery energy storage systems above specified thresholds effective May 2026.</w:t>
      </w:r>
    </w:p>
    <w:p w14:paraId="3FB0E08A" w14:textId="77777777" w:rsidR="001B7344" w:rsidRDefault="00BD04B3" w:rsidP="001B7344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6E1AD5">
        <w:rPr>
          <w:rFonts w:ascii="Times New Roman" w:eastAsia="Calibri" w:hAnsi="Times New Roman" w:cs="Times New Roman"/>
          <w:sz w:val="28"/>
          <w:szCs w:val="28"/>
        </w:rPr>
        <w:t>Mexico’s regulator CNE established grid-forming capability requirements for energy storage systems, with detailed technical specifications to be developed by CENACE.</w:t>
      </w:r>
    </w:p>
    <w:p w14:paraId="65987F80" w14:textId="052A1DFA" w:rsidR="001B7344" w:rsidRPr="001B7344" w:rsidRDefault="00BD04B3" w:rsidP="001B7344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1B7344">
        <w:rPr>
          <w:rFonts w:ascii="Times New Roman" w:eastAsia="Calibri" w:hAnsi="Times New Roman" w:cs="Times New Roman"/>
          <w:sz w:val="28"/>
          <w:szCs w:val="28"/>
        </w:rPr>
        <w:t>DOE i2X STITCH continues to focus on harmonization, standardization and automation of interconnection studies. The June 23</w:t>
      </w:r>
      <w:r w:rsidR="006E1AD5" w:rsidRPr="001B7344">
        <w:rPr>
          <w:rFonts w:ascii="Times New Roman" w:eastAsia="Calibri" w:hAnsi="Times New Roman" w:cs="Times New Roman"/>
          <w:sz w:val="28"/>
          <w:szCs w:val="28"/>
          <w:vertAlign w:val="superscript"/>
        </w:rPr>
        <w:t>rd</w:t>
      </w:r>
      <w:r w:rsidR="006E1AD5" w:rsidRPr="001B73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344">
        <w:rPr>
          <w:rFonts w:ascii="Times New Roman" w:eastAsia="Calibri" w:hAnsi="Times New Roman" w:cs="Times New Roman"/>
          <w:sz w:val="28"/>
          <w:szCs w:val="28"/>
        </w:rPr>
        <w:t>meeting will focus on ERCOT and MISO study processes.</w:t>
      </w:r>
      <w:r w:rsidR="00C775F9" w:rsidRPr="001B73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80F102" w14:textId="3BCCBBFD" w:rsidR="001B7344" w:rsidRPr="001B7344" w:rsidRDefault="00BD04B3" w:rsidP="001B7344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1B7344">
        <w:rPr>
          <w:rFonts w:ascii="Times New Roman" w:eastAsia="Calibri" w:hAnsi="Times New Roman" w:cs="Times New Roman"/>
          <w:sz w:val="28"/>
          <w:szCs w:val="28"/>
        </w:rPr>
        <w:t>DOE i2X FIRST Season 3 launched on June 4 with a deep dive into PRC‑029 implementation and future sessions covering Milestone 4 projects, EMT modeling and IEEE 2800.2.</w:t>
      </w:r>
      <w:r w:rsidR="00B927A0" w:rsidRPr="001B73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62D543" w14:textId="135F3918" w:rsidR="00B927A0" w:rsidRPr="0028756C" w:rsidRDefault="00BD04B3" w:rsidP="0028756C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eastAsia="Calibri" w:hAnsi="Times New Roman" w:cs="Times New Roman"/>
          <w:sz w:val="28"/>
          <w:szCs w:val="28"/>
        </w:rPr>
      </w:pPr>
      <w:r w:rsidRPr="001B7344">
        <w:rPr>
          <w:rFonts w:ascii="Times New Roman" w:eastAsia="Calibri" w:hAnsi="Times New Roman" w:cs="Times New Roman"/>
          <w:sz w:val="28"/>
          <w:szCs w:val="28"/>
        </w:rPr>
        <w:t>ESIG and Elevate Energy Consulting continue to provide</w:t>
      </w:r>
      <w:r w:rsidR="00C775F9" w:rsidRPr="001B7344">
        <w:rPr>
          <w:rFonts w:ascii="Times New Roman" w:eastAsia="Calibri" w:hAnsi="Times New Roman" w:cs="Times New Roman"/>
          <w:sz w:val="28"/>
          <w:szCs w:val="28"/>
        </w:rPr>
        <w:t xml:space="preserve"> DOE-funded</w:t>
      </w:r>
      <w:r w:rsidRPr="001B7344">
        <w:rPr>
          <w:rFonts w:ascii="Times New Roman" w:eastAsia="Calibri" w:hAnsi="Times New Roman" w:cs="Times New Roman"/>
          <w:sz w:val="28"/>
          <w:szCs w:val="28"/>
        </w:rPr>
        <w:t xml:space="preserve"> i2X Technical Assistance Hours.</w:t>
      </w:r>
      <w:r w:rsidR="00C775F9" w:rsidRPr="001B7344">
        <w:rPr>
          <w:rFonts w:ascii="Times New Roman" w:eastAsia="Calibri" w:hAnsi="Times New Roman" w:cs="Times New Roman"/>
          <w:sz w:val="28"/>
          <w:szCs w:val="28"/>
        </w:rPr>
        <w:t xml:space="preserve"> Sign up here </w:t>
      </w:r>
      <w:hyperlink r:id="rId7" w:history="1">
        <w:r w:rsidR="00C775F9" w:rsidRPr="001B7344">
          <w:rPr>
            <w:rStyle w:val="Hyperlink"/>
            <w:rFonts w:ascii="Times New Roman" w:hAnsi="Times New Roman" w:cs="Times New Roman"/>
            <w:sz w:val="28"/>
            <w:szCs w:val="28"/>
          </w:rPr>
          <w:t>https://www.esig.energy/i2x-initiatives/#Office-Hours</w:t>
        </w:r>
      </w:hyperlink>
      <w:r w:rsidR="00C775F9" w:rsidRPr="001B73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7A0" w:rsidRPr="002875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E68F0"/>
    <w:multiLevelType w:val="hybridMultilevel"/>
    <w:tmpl w:val="3E0C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B4794"/>
    <w:multiLevelType w:val="hybridMultilevel"/>
    <w:tmpl w:val="7906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4E33"/>
    <w:multiLevelType w:val="hybridMultilevel"/>
    <w:tmpl w:val="9570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B34DF"/>
    <w:multiLevelType w:val="hybridMultilevel"/>
    <w:tmpl w:val="CB367022"/>
    <w:lvl w:ilvl="0" w:tplc="72BAB0A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5F2"/>
    <w:multiLevelType w:val="hybridMultilevel"/>
    <w:tmpl w:val="DE804F46"/>
    <w:lvl w:ilvl="0" w:tplc="513C05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45995">
    <w:abstractNumId w:val="8"/>
  </w:num>
  <w:num w:numId="2" w16cid:durableId="1163660666">
    <w:abstractNumId w:val="6"/>
  </w:num>
  <w:num w:numId="3" w16cid:durableId="311563521">
    <w:abstractNumId w:val="5"/>
  </w:num>
  <w:num w:numId="4" w16cid:durableId="26686595">
    <w:abstractNumId w:val="4"/>
  </w:num>
  <w:num w:numId="5" w16cid:durableId="797064539">
    <w:abstractNumId w:val="7"/>
  </w:num>
  <w:num w:numId="6" w16cid:durableId="45767076">
    <w:abstractNumId w:val="3"/>
  </w:num>
  <w:num w:numId="7" w16cid:durableId="360014624">
    <w:abstractNumId w:val="2"/>
  </w:num>
  <w:num w:numId="8" w16cid:durableId="878467864">
    <w:abstractNumId w:val="1"/>
  </w:num>
  <w:num w:numId="9" w16cid:durableId="1224096054">
    <w:abstractNumId w:val="0"/>
  </w:num>
  <w:num w:numId="10" w16cid:durableId="600652367">
    <w:abstractNumId w:val="11"/>
  </w:num>
  <w:num w:numId="11" w16cid:durableId="1575969245">
    <w:abstractNumId w:val="13"/>
  </w:num>
  <w:num w:numId="12" w16cid:durableId="1213078110">
    <w:abstractNumId w:val="10"/>
  </w:num>
  <w:num w:numId="13" w16cid:durableId="789276462">
    <w:abstractNumId w:val="9"/>
  </w:num>
  <w:num w:numId="14" w16cid:durableId="1253315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D17"/>
    <w:rsid w:val="00034616"/>
    <w:rsid w:val="00041D50"/>
    <w:rsid w:val="0006063C"/>
    <w:rsid w:val="001246F5"/>
    <w:rsid w:val="0015074B"/>
    <w:rsid w:val="001B7344"/>
    <w:rsid w:val="001F65B1"/>
    <w:rsid w:val="00202192"/>
    <w:rsid w:val="0028756C"/>
    <w:rsid w:val="0029639D"/>
    <w:rsid w:val="002D4A7E"/>
    <w:rsid w:val="002E04F1"/>
    <w:rsid w:val="00326F90"/>
    <w:rsid w:val="00353621"/>
    <w:rsid w:val="005C16F1"/>
    <w:rsid w:val="00666DC3"/>
    <w:rsid w:val="006B6602"/>
    <w:rsid w:val="006E1AD5"/>
    <w:rsid w:val="007766CF"/>
    <w:rsid w:val="00791412"/>
    <w:rsid w:val="00884815"/>
    <w:rsid w:val="0093235A"/>
    <w:rsid w:val="009F42EA"/>
    <w:rsid w:val="00A0164A"/>
    <w:rsid w:val="00AA1D8D"/>
    <w:rsid w:val="00B47730"/>
    <w:rsid w:val="00B5400D"/>
    <w:rsid w:val="00B70847"/>
    <w:rsid w:val="00B927A0"/>
    <w:rsid w:val="00BD04B3"/>
    <w:rsid w:val="00C14169"/>
    <w:rsid w:val="00C46EFC"/>
    <w:rsid w:val="00C5168C"/>
    <w:rsid w:val="00C775F9"/>
    <w:rsid w:val="00CB0664"/>
    <w:rsid w:val="00E04717"/>
    <w:rsid w:val="00E455BF"/>
    <w:rsid w:val="00E639E5"/>
    <w:rsid w:val="00F22B1C"/>
    <w:rsid w:val="00F26ACD"/>
    <w:rsid w:val="00F627B1"/>
    <w:rsid w:val="00FC6755"/>
    <w:rsid w:val="00FC693F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ABA8F"/>
  <w14:defaultImageDpi w14:val="300"/>
  <w15:docId w15:val="{32B3EE7A-71FF-4E87-A7DF-F8E15B5E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4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sig.energy/i2x-initiatives/#Office-Hou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rcot.com/calendar/06152026-IBRWG-Meeting-_-Web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Matevosyan</cp:lastModifiedBy>
  <cp:revision>12</cp:revision>
  <dcterms:created xsi:type="dcterms:W3CDTF">2026-07-02T20:09:00Z</dcterms:created>
  <dcterms:modified xsi:type="dcterms:W3CDTF">2026-07-02T20:17:00Z</dcterms:modified>
  <cp:category/>
</cp:coreProperties>
</file>