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152993" w14:paraId="21F5EF0C" w14:textId="77777777">
        <w:tc>
          <w:tcPr>
            <w:tcW w:w="1620" w:type="dxa"/>
            <w:tcBorders>
              <w:bottom w:val="single" w:sz="4" w:space="0" w:color="auto"/>
            </w:tcBorders>
            <w:shd w:val="clear" w:color="auto" w:fill="FFFFFF"/>
            <w:vAlign w:val="center"/>
          </w:tcPr>
          <w:p w14:paraId="7608D0F0" w14:textId="77777777" w:rsidR="00152993" w:rsidRDefault="00EE6681">
            <w:pPr>
              <w:pStyle w:val="Header"/>
              <w:rPr>
                <w:rFonts w:ascii="Verdana" w:hAnsi="Verdana"/>
                <w:sz w:val="22"/>
              </w:rPr>
            </w:pPr>
            <w:r>
              <w:t>N</w:t>
            </w:r>
            <w:r w:rsidR="00152993">
              <w:t>PRR Number</w:t>
            </w:r>
          </w:p>
        </w:tc>
        <w:tc>
          <w:tcPr>
            <w:tcW w:w="1260" w:type="dxa"/>
            <w:tcBorders>
              <w:bottom w:val="single" w:sz="4" w:space="0" w:color="auto"/>
            </w:tcBorders>
            <w:vAlign w:val="center"/>
          </w:tcPr>
          <w:p w14:paraId="4B447F86" w14:textId="77777777" w:rsidR="00152993" w:rsidRDefault="00AB1A46">
            <w:pPr>
              <w:pStyle w:val="Header"/>
            </w:pPr>
            <w:hyperlink r:id="rId8" w:history="1">
              <w:r w:rsidRPr="000917E4">
                <w:rPr>
                  <w:rStyle w:val="Hyperlink"/>
                </w:rPr>
                <w:t>1328</w:t>
              </w:r>
            </w:hyperlink>
          </w:p>
        </w:tc>
        <w:tc>
          <w:tcPr>
            <w:tcW w:w="900" w:type="dxa"/>
            <w:tcBorders>
              <w:bottom w:val="single" w:sz="4" w:space="0" w:color="auto"/>
            </w:tcBorders>
            <w:shd w:val="clear" w:color="auto" w:fill="FFFFFF"/>
            <w:vAlign w:val="center"/>
          </w:tcPr>
          <w:p w14:paraId="1DDD06BB" w14:textId="77777777" w:rsidR="00152993" w:rsidRDefault="00EE6681">
            <w:pPr>
              <w:pStyle w:val="Header"/>
            </w:pPr>
            <w:r>
              <w:t>N</w:t>
            </w:r>
            <w:r w:rsidR="00152993">
              <w:t>PRR Title</w:t>
            </w:r>
          </w:p>
        </w:tc>
        <w:tc>
          <w:tcPr>
            <w:tcW w:w="6660" w:type="dxa"/>
            <w:tcBorders>
              <w:bottom w:val="single" w:sz="4" w:space="0" w:color="auto"/>
            </w:tcBorders>
            <w:vAlign w:val="center"/>
          </w:tcPr>
          <w:p w14:paraId="4357FF9C" w14:textId="77777777" w:rsidR="00152993" w:rsidRDefault="00AB1A46">
            <w:pPr>
              <w:pStyle w:val="Header"/>
            </w:pPr>
            <w:r>
              <w:t>Establishment of Generation Firming Program</w:t>
            </w:r>
          </w:p>
        </w:tc>
      </w:tr>
      <w:tr w:rsidR="00152993" w14:paraId="4FC336AE" w14:textId="77777777">
        <w:trPr>
          <w:trHeight w:val="413"/>
        </w:trPr>
        <w:tc>
          <w:tcPr>
            <w:tcW w:w="2880" w:type="dxa"/>
            <w:gridSpan w:val="2"/>
            <w:tcBorders>
              <w:top w:val="nil"/>
              <w:left w:val="nil"/>
              <w:bottom w:val="single" w:sz="4" w:space="0" w:color="auto"/>
              <w:right w:val="nil"/>
            </w:tcBorders>
            <w:vAlign w:val="center"/>
          </w:tcPr>
          <w:p w14:paraId="72E05DFF" w14:textId="77777777" w:rsidR="00152993" w:rsidRDefault="00152993">
            <w:pPr>
              <w:pStyle w:val="NormalArial"/>
            </w:pPr>
          </w:p>
        </w:tc>
        <w:tc>
          <w:tcPr>
            <w:tcW w:w="7560" w:type="dxa"/>
            <w:gridSpan w:val="2"/>
            <w:tcBorders>
              <w:top w:val="single" w:sz="4" w:space="0" w:color="auto"/>
              <w:left w:val="nil"/>
              <w:bottom w:val="nil"/>
              <w:right w:val="nil"/>
            </w:tcBorders>
            <w:vAlign w:val="center"/>
          </w:tcPr>
          <w:p w14:paraId="2482FA25" w14:textId="77777777" w:rsidR="00152993" w:rsidRDefault="00152993">
            <w:pPr>
              <w:pStyle w:val="NormalArial"/>
            </w:pPr>
          </w:p>
        </w:tc>
      </w:tr>
      <w:tr w:rsidR="00152993" w14:paraId="3E230E62" w14:textId="77777777">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0F1597DE" w14:textId="77777777" w:rsidR="00152993" w:rsidRDefault="00152993">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4A6FCD48" w14:textId="76DA0383" w:rsidR="00152993" w:rsidRPr="00B65499" w:rsidRDefault="00791FA2">
            <w:pPr>
              <w:pStyle w:val="NormalArial"/>
              <w:rPr>
                <w:highlight w:val="yellow"/>
              </w:rPr>
            </w:pPr>
            <w:r>
              <w:t>June</w:t>
            </w:r>
            <w:r w:rsidR="005505EF" w:rsidRPr="00B16BBE">
              <w:t xml:space="preserve"> </w:t>
            </w:r>
            <w:r w:rsidR="00B16BBE">
              <w:t>22</w:t>
            </w:r>
            <w:r w:rsidR="00AB1A46" w:rsidRPr="00B16BBE">
              <w:t>, 2026</w:t>
            </w:r>
          </w:p>
        </w:tc>
      </w:tr>
      <w:tr w:rsidR="00152993" w14:paraId="528FED0A" w14:textId="77777777">
        <w:trPr>
          <w:trHeight w:val="467"/>
        </w:trPr>
        <w:tc>
          <w:tcPr>
            <w:tcW w:w="2880" w:type="dxa"/>
            <w:gridSpan w:val="2"/>
            <w:tcBorders>
              <w:top w:val="single" w:sz="4" w:space="0" w:color="auto"/>
              <w:left w:val="nil"/>
              <w:bottom w:val="nil"/>
              <w:right w:val="nil"/>
            </w:tcBorders>
            <w:shd w:val="clear" w:color="auto" w:fill="FFFFFF"/>
            <w:vAlign w:val="center"/>
          </w:tcPr>
          <w:p w14:paraId="61EBAD86" w14:textId="77777777" w:rsidR="00152993" w:rsidRDefault="00152993">
            <w:pPr>
              <w:pStyle w:val="NormalArial"/>
            </w:pPr>
          </w:p>
        </w:tc>
        <w:tc>
          <w:tcPr>
            <w:tcW w:w="7560" w:type="dxa"/>
            <w:gridSpan w:val="2"/>
            <w:tcBorders>
              <w:top w:val="nil"/>
              <w:left w:val="nil"/>
              <w:bottom w:val="nil"/>
              <w:right w:val="nil"/>
            </w:tcBorders>
            <w:vAlign w:val="center"/>
          </w:tcPr>
          <w:p w14:paraId="296CEB69" w14:textId="77777777" w:rsidR="00152993" w:rsidRDefault="00152993">
            <w:pPr>
              <w:pStyle w:val="NormalArial"/>
            </w:pPr>
          </w:p>
        </w:tc>
      </w:tr>
      <w:tr w:rsidR="00152993" w14:paraId="7B961A52" w14:textId="77777777">
        <w:trPr>
          <w:trHeight w:val="440"/>
        </w:trPr>
        <w:tc>
          <w:tcPr>
            <w:tcW w:w="10440" w:type="dxa"/>
            <w:gridSpan w:val="4"/>
            <w:tcBorders>
              <w:top w:val="single" w:sz="4" w:space="0" w:color="auto"/>
            </w:tcBorders>
            <w:shd w:val="clear" w:color="auto" w:fill="FFFFFF"/>
            <w:vAlign w:val="center"/>
          </w:tcPr>
          <w:p w14:paraId="768586ED" w14:textId="77777777" w:rsidR="00152993" w:rsidRDefault="00152993">
            <w:pPr>
              <w:pStyle w:val="Header"/>
              <w:jc w:val="center"/>
            </w:pPr>
            <w:r>
              <w:t>Submitter’s Information</w:t>
            </w:r>
          </w:p>
        </w:tc>
      </w:tr>
      <w:tr w:rsidR="00791FA2" w14:paraId="77C467FA" w14:textId="77777777">
        <w:trPr>
          <w:trHeight w:val="350"/>
        </w:trPr>
        <w:tc>
          <w:tcPr>
            <w:tcW w:w="2880" w:type="dxa"/>
            <w:gridSpan w:val="2"/>
            <w:shd w:val="clear" w:color="auto" w:fill="FFFFFF"/>
            <w:vAlign w:val="center"/>
          </w:tcPr>
          <w:p w14:paraId="487CAF1B" w14:textId="77777777" w:rsidR="00791FA2" w:rsidRPr="00EC55B3" w:rsidRDefault="00791FA2" w:rsidP="00791FA2">
            <w:pPr>
              <w:pStyle w:val="Header"/>
            </w:pPr>
            <w:r w:rsidRPr="00EC55B3">
              <w:t>Name</w:t>
            </w:r>
          </w:p>
        </w:tc>
        <w:tc>
          <w:tcPr>
            <w:tcW w:w="7560" w:type="dxa"/>
            <w:gridSpan w:val="2"/>
            <w:vAlign w:val="center"/>
          </w:tcPr>
          <w:p w14:paraId="72566743" w14:textId="29609C15" w:rsidR="00791FA2" w:rsidRDefault="00791FA2" w:rsidP="00791FA2">
            <w:pPr>
              <w:pStyle w:val="NormalArial"/>
            </w:pPr>
            <w:r w:rsidRPr="00D21547">
              <w:t>Judd Messer, Texas Vice President / Charlie Hemmeline, Senior Director</w:t>
            </w:r>
          </w:p>
        </w:tc>
      </w:tr>
      <w:tr w:rsidR="00791FA2" w14:paraId="16041E45" w14:textId="77777777">
        <w:trPr>
          <w:trHeight w:val="350"/>
        </w:trPr>
        <w:tc>
          <w:tcPr>
            <w:tcW w:w="2880" w:type="dxa"/>
            <w:gridSpan w:val="2"/>
            <w:shd w:val="clear" w:color="auto" w:fill="FFFFFF"/>
            <w:vAlign w:val="center"/>
          </w:tcPr>
          <w:p w14:paraId="44D5DEBA" w14:textId="77777777" w:rsidR="00791FA2" w:rsidRPr="00EC55B3" w:rsidRDefault="00791FA2" w:rsidP="00791FA2">
            <w:pPr>
              <w:pStyle w:val="Header"/>
            </w:pPr>
            <w:r w:rsidRPr="00EC55B3">
              <w:t>E-mail Address</w:t>
            </w:r>
          </w:p>
        </w:tc>
        <w:tc>
          <w:tcPr>
            <w:tcW w:w="7560" w:type="dxa"/>
            <w:gridSpan w:val="2"/>
            <w:vAlign w:val="center"/>
          </w:tcPr>
          <w:p w14:paraId="5BCE579E" w14:textId="7F2EA18B" w:rsidR="00791FA2" w:rsidRDefault="00791FA2" w:rsidP="00791FA2">
            <w:pPr>
              <w:pStyle w:val="NormalArial"/>
            </w:pPr>
            <w:hyperlink r:id="rId9" w:history="1">
              <w:r w:rsidRPr="00EB5C41">
                <w:rPr>
                  <w:rStyle w:val="Hyperlink"/>
                </w:rPr>
                <w:t>Judd.Messer@poweralliance.org</w:t>
              </w:r>
            </w:hyperlink>
            <w:r>
              <w:t xml:space="preserve"> </w:t>
            </w:r>
            <w:r w:rsidRPr="00D21547">
              <w:t xml:space="preserve">/ </w:t>
            </w:r>
            <w:hyperlink r:id="rId10" w:history="1">
              <w:r w:rsidRPr="00EB5C41">
                <w:rPr>
                  <w:rStyle w:val="Hyperlink"/>
                </w:rPr>
                <w:t>chemmeline@cleanpower.org</w:t>
              </w:r>
            </w:hyperlink>
            <w:r w:rsidRPr="00D21547">
              <w:t xml:space="preserve"> </w:t>
            </w:r>
          </w:p>
        </w:tc>
      </w:tr>
      <w:tr w:rsidR="00791FA2" w14:paraId="647BF40B" w14:textId="77777777">
        <w:trPr>
          <w:trHeight w:val="350"/>
        </w:trPr>
        <w:tc>
          <w:tcPr>
            <w:tcW w:w="2880" w:type="dxa"/>
            <w:gridSpan w:val="2"/>
            <w:shd w:val="clear" w:color="auto" w:fill="FFFFFF"/>
            <w:vAlign w:val="center"/>
          </w:tcPr>
          <w:p w14:paraId="3709F6B0" w14:textId="77777777" w:rsidR="00791FA2" w:rsidRPr="00EC55B3" w:rsidRDefault="00791FA2" w:rsidP="00791FA2">
            <w:pPr>
              <w:pStyle w:val="Header"/>
            </w:pPr>
            <w:r w:rsidRPr="00EC55B3">
              <w:t>Company</w:t>
            </w:r>
          </w:p>
        </w:tc>
        <w:tc>
          <w:tcPr>
            <w:tcW w:w="7560" w:type="dxa"/>
            <w:gridSpan w:val="2"/>
            <w:vAlign w:val="center"/>
          </w:tcPr>
          <w:p w14:paraId="14498B91" w14:textId="64D30138" w:rsidR="00791FA2" w:rsidRDefault="00791FA2" w:rsidP="00791FA2">
            <w:pPr>
              <w:pStyle w:val="NormalArial"/>
            </w:pPr>
            <w:r w:rsidRPr="00D21547">
              <w:t>Advanced Power Alliance / American Clean Power Association</w:t>
            </w:r>
          </w:p>
        </w:tc>
      </w:tr>
      <w:tr w:rsidR="00791FA2" w14:paraId="18712805" w14:textId="77777777">
        <w:trPr>
          <w:trHeight w:val="350"/>
        </w:trPr>
        <w:tc>
          <w:tcPr>
            <w:tcW w:w="2880" w:type="dxa"/>
            <w:gridSpan w:val="2"/>
            <w:tcBorders>
              <w:bottom w:val="single" w:sz="4" w:space="0" w:color="auto"/>
            </w:tcBorders>
            <w:shd w:val="clear" w:color="auto" w:fill="FFFFFF"/>
            <w:vAlign w:val="center"/>
          </w:tcPr>
          <w:p w14:paraId="024E36F2" w14:textId="77777777" w:rsidR="00791FA2" w:rsidRPr="00EC55B3" w:rsidRDefault="00791FA2" w:rsidP="00791FA2">
            <w:pPr>
              <w:pStyle w:val="Header"/>
            </w:pPr>
            <w:r w:rsidRPr="00EC55B3">
              <w:t>Phone Number</w:t>
            </w:r>
          </w:p>
        </w:tc>
        <w:tc>
          <w:tcPr>
            <w:tcW w:w="7560" w:type="dxa"/>
            <w:gridSpan w:val="2"/>
            <w:tcBorders>
              <w:bottom w:val="single" w:sz="4" w:space="0" w:color="auto"/>
            </w:tcBorders>
            <w:vAlign w:val="center"/>
          </w:tcPr>
          <w:p w14:paraId="0D9E9970" w14:textId="0DE2AB4C" w:rsidR="00791FA2" w:rsidRDefault="00791FA2" w:rsidP="00791FA2">
            <w:pPr>
              <w:pStyle w:val="NormalArial"/>
            </w:pPr>
            <w:r w:rsidRPr="00496728">
              <w:t>254-230-0620 / 202-383-2500</w:t>
            </w:r>
          </w:p>
        </w:tc>
      </w:tr>
      <w:tr w:rsidR="00791FA2" w14:paraId="6FC5EBB2" w14:textId="77777777">
        <w:trPr>
          <w:trHeight w:val="350"/>
        </w:trPr>
        <w:tc>
          <w:tcPr>
            <w:tcW w:w="2880" w:type="dxa"/>
            <w:gridSpan w:val="2"/>
            <w:shd w:val="clear" w:color="auto" w:fill="FFFFFF"/>
            <w:vAlign w:val="center"/>
          </w:tcPr>
          <w:p w14:paraId="4819197D" w14:textId="77777777" w:rsidR="00791FA2" w:rsidRPr="00EC55B3" w:rsidRDefault="00791FA2" w:rsidP="00791FA2">
            <w:pPr>
              <w:pStyle w:val="Header"/>
            </w:pPr>
            <w:r>
              <w:t>Cell</w:t>
            </w:r>
            <w:r w:rsidRPr="00EC55B3">
              <w:t xml:space="preserve"> Number</w:t>
            </w:r>
          </w:p>
        </w:tc>
        <w:tc>
          <w:tcPr>
            <w:tcW w:w="7560" w:type="dxa"/>
            <w:gridSpan w:val="2"/>
            <w:vAlign w:val="center"/>
          </w:tcPr>
          <w:p w14:paraId="05F3A9CE" w14:textId="4BD22FF1" w:rsidR="00791FA2" w:rsidRDefault="00791FA2" w:rsidP="00791FA2">
            <w:pPr>
              <w:pStyle w:val="NormalArial"/>
            </w:pPr>
          </w:p>
        </w:tc>
      </w:tr>
      <w:tr w:rsidR="00791FA2" w14:paraId="45FFE09B" w14:textId="77777777">
        <w:trPr>
          <w:trHeight w:val="350"/>
        </w:trPr>
        <w:tc>
          <w:tcPr>
            <w:tcW w:w="2880" w:type="dxa"/>
            <w:gridSpan w:val="2"/>
            <w:tcBorders>
              <w:bottom w:val="single" w:sz="4" w:space="0" w:color="auto"/>
            </w:tcBorders>
            <w:shd w:val="clear" w:color="auto" w:fill="FFFFFF"/>
            <w:vAlign w:val="center"/>
          </w:tcPr>
          <w:p w14:paraId="16EFFDC8" w14:textId="77777777" w:rsidR="00791FA2" w:rsidRPr="00EC55B3" w:rsidDel="00075A94" w:rsidRDefault="00791FA2" w:rsidP="00791FA2">
            <w:pPr>
              <w:pStyle w:val="Header"/>
            </w:pPr>
            <w:r>
              <w:t>Market Segment</w:t>
            </w:r>
          </w:p>
        </w:tc>
        <w:tc>
          <w:tcPr>
            <w:tcW w:w="7560" w:type="dxa"/>
            <w:gridSpan w:val="2"/>
            <w:tcBorders>
              <w:bottom w:val="single" w:sz="4" w:space="0" w:color="auto"/>
            </w:tcBorders>
            <w:vAlign w:val="center"/>
          </w:tcPr>
          <w:p w14:paraId="0FE7ADB6" w14:textId="05AB571E" w:rsidR="00791FA2" w:rsidRDefault="00791FA2" w:rsidP="00791FA2">
            <w:pPr>
              <w:pStyle w:val="NormalArial"/>
            </w:pPr>
            <w:r>
              <w:t>Independent Generator</w:t>
            </w:r>
          </w:p>
        </w:tc>
      </w:tr>
    </w:tbl>
    <w:p w14:paraId="04586AB6" w14:textId="77777777" w:rsidR="00152993" w:rsidRDefault="00152993">
      <w:pPr>
        <w:pStyle w:val="NormalArial"/>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075A94" w:rsidRPr="00B5080A" w14:paraId="6A67B6CB" w14:textId="77777777" w:rsidTr="00B5080A">
        <w:trPr>
          <w:trHeight w:val="422"/>
          <w:jc w:val="center"/>
        </w:trPr>
        <w:tc>
          <w:tcPr>
            <w:tcW w:w="10440" w:type="dxa"/>
            <w:vAlign w:val="center"/>
          </w:tcPr>
          <w:p w14:paraId="2CB9AE7D" w14:textId="77777777" w:rsidR="00075A94" w:rsidRPr="00075A94" w:rsidRDefault="00075A94" w:rsidP="00B5080A">
            <w:pPr>
              <w:pStyle w:val="Header"/>
              <w:jc w:val="center"/>
            </w:pPr>
            <w:r w:rsidRPr="00075A94">
              <w:t>Comments</w:t>
            </w:r>
          </w:p>
        </w:tc>
      </w:tr>
    </w:tbl>
    <w:p w14:paraId="7A06F602" w14:textId="77777777" w:rsidR="0081142B" w:rsidRDefault="0081142B" w:rsidP="00791FA2">
      <w:pPr>
        <w:jc w:val="both"/>
        <w:rPr>
          <w:rFonts w:ascii="Arial" w:hAnsi="Arial"/>
        </w:rPr>
      </w:pPr>
    </w:p>
    <w:p w14:paraId="1E773D82" w14:textId="0B2F3C79" w:rsidR="00791FA2" w:rsidRPr="00791FA2" w:rsidRDefault="00791FA2" w:rsidP="00791FA2">
      <w:pPr>
        <w:jc w:val="both"/>
        <w:rPr>
          <w:rFonts w:ascii="Arial" w:hAnsi="Arial"/>
        </w:rPr>
      </w:pPr>
      <w:r w:rsidRPr="00791FA2">
        <w:rPr>
          <w:rFonts w:ascii="Arial" w:hAnsi="Arial"/>
        </w:rPr>
        <w:t>The Advanced Power Alliance (APA) and American Clean Power Association (ACP) appreciate the opportunity to submit comments on Nodal Protocol Revision Request (NPRR) 1328.</w:t>
      </w:r>
    </w:p>
    <w:p w14:paraId="5F7F72E6" w14:textId="77777777" w:rsidR="00791FA2" w:rsidRPr="00791FA2" w:rsidRDefault="00791FA2" w:rsidP="00791FA2">
      <w:pPr>
        <w:jc w:val="both"/>
        <w:rPr>
          <w:rFonts w:ascii="Arial" w:hAnsi="Arial"/>
        </w:rPr>
      </w:pPr>
    </w:p>
    <w:p w14:paraId="3767D71E" w14:textId="77777777" w:rsidR="00791FA2" w:rsidRPr="00791FA2" w:rsidRDefault="00791FA2" w:rsidP="00791FA2">
      <w:pPr>
        <w:jc w:val="both"/>
        <w:rPr>
          <w:rFonts w:ascii="Arial" w:hAnsi="Arial"/>
        </w:rPr>
      </w:pPr>
      <w:r w:rsidRPr="00791FA2">
        <w:rPr>
          <w:rFonts w:ascii="Arial" w:hAnsi="Arial"/>
        </w:rPr>
        <w:t xml:space="preserve">APA and ACP also appreciate ERCOT’s April 14, </w:t>
      </w:r>
      <w:proofErr w:type="gramStart"/>
      <w:r w:rsidRPr="00791FA2">
        <w:rPr>
          <w:rFonts w:ascii="Arial" w:hAnsi="Arial"/>
        </w:rPr>
        <w:t>2026</w:t>
      </w:r>
      <w:proofErr w:type="gramEnd"/>
      <w:r w:rsidRPr="00791FA2">
        <w:rPr>
          <w:rFonts w:ascii="Arial" w:hAnsi="Arial"/>
        </w:rPr>
        <w:t xml:space="preserve"> comments clarifying that Firming Transfers between a pair of Qualified Scheduling Entities (QSEs) are limited to one per Resource per hour and are not capped for the entire QSE pair. This is a significant refinement.</w:t>
      </w:r>
    </w:p>
    <w:p w14:paraId="25B47384" w14:textId="77777777" w:rsidR="00791FA2" w:rsidRPr="00791FA2" w:rsidRDefault="00791FA2" w:rsidP="00791FA2">
      <w:pPr>
        <w:jc w:val="both"/>
        <w:rPr>
          <w:rFonts w:ascii="Arial" w:hAnsi="Arial"/>
        </w:rPr>
      </w:pPr>
    </w:p>
    <w:p w14:paraId="16C04BB9" w14:textId="77777777" w:rsidR="00791FA2" w:rsidRPr="00791FA2" w:rsidRDefault="00791FA2" w:rsidP="00791FA2">
      <w:pPr>
        <w:jc w:val="both"/>
        <w:rPr>
          <w:rFonts w:ascii="Arial" w:hAnsi="Arial"/>
        </w:rPr>
      </w:pPr>
      <w:r w:rsidRPr="00791FA2">
        <w:rPr>
          <w:rFonts w:ascii="Arial" w:hAnsi="Arial"/>
        </w:rPr>
        <w:t>To align the Protocols with regulatory mandates, we propose targeted revisions to ensure ERCOT’s Protocol amendments strictly conform to 16 Texas Administrative Code (TAC) § 25.65, adopted by the Public Utility Commission of Texas (PUCT) on December 18, 2025. These revisions clarify the structure and operation of the firming program while enhancing transparency, predictability, and compliance certainty for Market Participants.</w:t>
      </w:r>
    </w:p>
    <w:p w14:paraId="6A25B798" w14:textId="77777777" w:rsidR="00791FA2" w:rsidRPr="00791FA2" w:rsidRDefault="00791FA2" w:rsidP="00791FA2">
      <w:pPr>
        <w:jc w:val="both"/>
        <w:rPr>
          <w:rFonts w:ascii="Arial" w:hAnsi="Arial"/>
        </w:rPr>
      </w:pPr>
    </w:p>
    <w:p w14:paraId="440135AF" w14:textId="77777777" w:rsidR="00791FA2" w:rsidRPr="00791FA2" w:rsidRDefault="00791FA2" w:rsidP="00791FA2">
      <w:pPr>
        <w:jc w:val="both"/>
        <w:rPr>
          <w:rFonts w:ascii="Arial" w:hAnsi="Arial"/>
        </w:rPr>
      </w:pPr>
    </w:p>
    <w:p w14:paraId="7D7550E3" w14:textId="77777777" w:rsidR="00791FA2" w:rsidRPr="00791FA2" w:rsidRDefault="00791FA2" w:rsidP="00791FA2">
      <w:pPr>
        <w:numPr>
          <w:ilvl w:val="0"/>
          <w:numId w:val="44"/>
        </w:numPr>
        <w:ind w:left="360"/>
        <w:jc w:val="both"/>
        <w:rPr>
          <w:rFonts w:ascii="Arial" w:hAnsi="Arial"/>
          <w:b/>
          <w:bCs/>
          <w:u w:val="single"/>
        </w:rPr>
      </w:pPr>
      <w:r w:rsidRPr="00791FA2">
        <w:rPr>
          <w:rFonts w:ascii="Arial" w:hAnsi="Arial"/>
          <w:b/>
          <w:bCs/>
          <w:u w:val="single"/>
        </w:rPr>
        <w:t>Modification of ERCOT's Proposed Formula in Section 28.8 to Align with the Commission's Day-Ahead Exemption.</w:t>
      </w:r>
    </w:p>
    <w:p w14:paraId="18AD1E43" w14:textId="77777777" w:rsidR="00791FA2" w:rsidRPr="00791FA2" w:rsidRDefault="00791FA2" w:rsidP="00791FA2">
      <w:pPr>
        <w:jc w:val="both"/>
        <w:rPr>
          <w:rFonts w:ascii="Arial" w:hAnsi="Arial"/>
        </w:rPr>
      </w:pPr>
      <w:r w:rsidRPr="00791FA2">
        <w:rPr>
          <w:rFonts w:ascii="Arial" w:hAnsi="Arial"/>
        </w:rPr>
        <w:t xml:space="preserve">ERCOT’s proposed formula in NPRR 1328, Section 28.8 (Firming Capacity Penalty Charge), fails to adequately exempt the portion of a Resource with a Day-Ahead Market (DAM) energy or Ancillary Service obligation from the firming requirement and improperly subjects that capacity to both a standard protocol performance penalty and a subsequent </w:t>
      </w:r>
      <w:r w:rsidRPr="00791FA2">
        <w:rPr>
          <w:rFonts w:ascii="Arial" w:hAnsi="Arial"/>
        </w:rPr>
        <w:lastRenderedPageBreak/>
        <w:t>firming penalty for the same physical megawatt, effectively imposing a double penalty. In the Order Adopting the Rule (Order)</w:t>
      </w:r>
      <w:r w:rsidRPr="00791FA2">
        <w:rPr>
          <w:rFonts w:ascii="Arial" w:hAnsi="Arial"/>
          <w:vertAlign w:val="superscript"/>
        </w:rPr>
        <w:footnoteReference w:id="1"/>
      </w:r>
      <w:r w:rsidRPr="00791FA2">
        <w:rPr>
          <w:rFonts w:ascii="Arial" w:hAnsi="Arial"/>
        </w:rPr>
        <w:t>, the Commission was clear:</w:t>
      </w:r>
    </w:p>
    <w:p w14:paraId="446EA550" w14:textId="77777777" w:rsidR="00791FA2" w:rsidRPr="00791FA2" w:rsidRDefault="00791FA2" w:rsidP="00791FA2">
      <w:pPr>
        <w:ind w:left="720"/>
        <w:jc w:val="both"/>
        <w:rPr>
          <w:rFonts w:ascii="Arial" w:hAnsi="Arial"/>
          <w:i/>
          <w:iCs/>
        </w:rPr>
      </w:pPr>
      <w:r w:rsidRPr="00791FA2">
        <w:rPr>
          <w:rFonts w:ascii="Arial" w:hAnsi="Arial"/>
          <w:i/>
          <w:iCs/>
        </w:rPr>
        <w:t>“The portion of capacity of an electric generation facility that is awarded energy or ancillary services in the Day-Ahead Market is exempt from assignment of a financial penalty during the applicable hour.”</w:t>
      </w:r>
      <w:r w:rsidRPr="00791FA2">
        <w:rPr>
          <w:rFonts w:ascii="Arial" w:hAnsi="Arial"/>
          <w:i/>
          <w:iCs/>
          <w:vertAlign w:val="superscript"/>
        </w:rPr>
        <w:footnoteReference w:id="2"/>
      </w:r>
    </w:p>
    <w:p w14:paraId="63C8D802" w14:textId="77777777" w:rsidR="00791FA2" w:rsidRPr="00791FA2" w:rsidRDefault="00791FA2" w:rsidP="00791FA2">
      <w:pPr>
        <w:jc w:val="both"/>
        <w:rPr>
          <w:rFonts w:ascii="Arial" w:hAnsi="Arial"/>
        </w:rPr>
      </w:pPr>
    </w:p>
    <w:p w14:paraId="2B13BEC9" w14:textId="77777777" w:rsidR="00791FA2" w:rsidRPr="00791FA2" w:rsidRDefault="00791FA2" w:rsidP="00791FA2">
      <w:pPr>
        <w:jc w:val="both"/>
        <w:rPr>
          <w:rFonts w:ascii="Arial" w:hAnsi="Arial"/>
        </w:rPr>
      </w:pPr>
      <w:r w:rsidRPr="00791FA2">
        <w:rPr>
          <w:rFonts w:ascii="Arial" w:hAnsi="Arial"/>
        </w:rPr>
        <w:t>The Commission also clarified in the Order:</w:t>
      </w:r>
    </w:p>
    <w:p w14:paraId="2F8AFABD" w14:textId="77777777" w:rsidR="00791FA2" w:rsidRPr="00791FA2" w:rsidRDefault="00791FA2" w:rsidP="00791FA2">
      <w:pPr>
        <w:ind w:left="720"/>
        <w:jc w:val="both"/>
        <w:rPr>
          <w:rFonts w:ascii="Arial" w:hAnsi="Arial"/>
          <w:i/>
          <w:iCs/>
        </w:rPr>
      </w:pPr>
      <w:r w:rsidRPr="00791FA2">
        <w:rPr>
          <w:rFonts w:ascii="Arial" w:hAnsi="Arial"/>
          <w:i/>
          <w:iCs/>
        </w:rPr>
        <w:t>“The Commission adopts Southern Power’s recommendation to clarify that only the portion of an electric generating facility that is subject to a performance obligation for capacity that cleared in the DAM is exempt from the performance requirements under the adopted rule.” (Order at 83).</w:t>
      </w:r>
    </w:p>
    <w:p w14:paraId="01C1F6B6" w14:textId="77777777" w:rsidR="00791FA2" w:rsidRPr="00791FA2" w:rsidRDefault="00791FA2" w:rsidP="00791FA2">
      <w:pPr>
        <w:jc w:val="both"/>
        <w:rPr>
          <w:rFonts w:ascii="Arial" w:hAnsi="Arial"/>
        </w:rPr>
      </w:pPr>
    </w:p>
    <w:p w14:paraId="092253A0" w14:textId="77777777" w:rsidR="00791FA2" w:rsidRPr="00791FA2" w:rsidRDefault="00791FA2" w:rsidP="00791FA2">
      <w:pPr>
        <w:jc w:val="both"/>
        <w:rPr>
          <w:rFonts w:ascii="Arial" w:hAnsi="Arial"/>
        </w:rPr>
      </w:pPr>
      <w:r w:rsidRPr="00791FA2">
        <w:rPr>
          <w:rFonts w:ascii="Arial" w:hAnsi="Arial"/>
        </w:rPr>
        <w:t>And at 85:</w:t>
      </w:r>
    </w:p>
    <w:p w14:paraId="04EEDAC0" w14:textId="77777777" w:rsidR="00791FA2" w:rsidRPr="00791FA2" w:rsidRDefault="00791FA2" w:rsidP="00791FA2">
      <w:pPr>
        <w:ind w:left="720"/>
        <w:jc w:val="both"/>
        <w:rPr>
          <w:rFonts w:ascii="Arial" w:hAnsi="Arial"/>
          <w:i/>
          <w:iCs/>
        </w:rPr>
      </w:pPr>
      <w:r w:rsidRPr="00791FA2">
        <w:rPr>
          <w:rFonts w:ascii="Arial" w:hAnsi="Arial"/>
          <w:i/>
          <w:iCs/>
        </w:rPr>
        <w:t>“This approach ensures that the portion of the electric generating facility that is not awarded in the DAM is still subject to the performance requirements under the adopted rule and recognizes that for the portion awarded in the DAM, the electric generating facility is already incentivized to perform because of the risk of a financial penalty for failure to perform under its obligations in the DAM.” (Order at 85).</w:t>
      </w:r>
    </w:p>
    <w:p w14:paraId="5A4AB601" w14:textId="77777777" w:rsidR="00791FA2" w:rsidRPr="00791FA2" w:rsidRDefault="00791FA2" w:rsidP="00791FA2">
      <w:pPr>
        <w:jc w:val="both"/>
        <w:rPr>
          <w:rFonts w:ascii="Arial" w:hAnsi="Arial"/>
        </w:rPr>
      </w:pPr>
    </w:p>
    <w:p w14:paraId="7F353322" w14:textId="77777777" w:rsidR="00791FA2" w:rsidRPr="00791FA2" w:rsidRDefault="00791FA2" w:rsidP="00791FA2">
      <w:pPr>
        <w:jc w:val="both"/>
        <w:rPr>
          <w:rFonts w:ascii="Arial" w:hAnsi="Arial"/>
        </w:rPr>
      </w:pPr>
      <w:r w:rsidRPr="00791FA2">
        <w:rPr>
          <w:rFonts w:ascii="Arial" w:hAnsi="Arial"/>
        </w:rPr>
        <w:t>However, ERCOT’s proposed formula does not accurately exempt the portion of capacity that clears the DAM because it does not correctly account for capacity awarded in the DAM and therefore produces a result inconsistent with the Commission’s Rule. The Commission explicitly stated it would not subject capacity awarded in the DAM to a firming penalty because that portion already faces non-performance exposure under ERCOT Protocols.</w:t>
      </w:r>
    </w:p>
    <w:p w14:paraId="36F79271" w14:textId="77777777" w:rsidR="00791FA2" w:rsidRPr="00791FA2" w:rsidRDefault="00791FA2" w:rsidP="00791FA2">
      <w:pPr>
        <w:jc w:val="both"/>
        <w:rPr>
          <w:rFonts w:ascii="Arial" w:hAnsi="Arial"/>
        </w:rPr>
      </w:pPr>
    </w:p>
    <w:p w14:paraId="52B9D2E4" w14:textId="77777777" w:rsidR="00791FA2" w:rsidRPr="00791FA2" w:rsidRDefault="00791FA2" w:rsidP="00791FA2">
      <w:pPr>
        <w:jc w:val="both"/>
        <w:rPr>
          <w:rFonts w:ascii="Arial" w:hAnsi="Arial"/>
          <w:u w:val="single"/>
        </w:rPr>
      </w:pPr>
      <w:r w:rsidRPr="00791FA2">
        <w:rPr>
          <w:rFonts w:ascii="Arial" w:hAnsi="Arial"/>
          <w:u w:val="single"/>
        </w:rPr>
        <w:t>Recommended Solution:</w:t>
      </w:r>
    </w:p>
    <w:p w14:paraId="3DDC4680" w14:textId="77777777" w:rsidR="00791FA2" w:rsidRPr="00791FA2" w:rsidRDefault="00791FA2" w:rsidP="00791FA2">
      <w:pPr>
        <w:jc w:val="both"/>
        <w:rPr>
          <w:rFonts w:ascii="Arial" w:hAnsi="Arial"/>
        </w:rPr>
      </w:pPr>
      <w:r w:rsidRPr="00791FA2">
        <w:rPr>
          <w:rFonts w:ascii="Arial" w:hAnsi="Arial"/>
        </w:rPr>
        <w:t>To correct the compounding effect described above and align the Protocols with the Commission’s Rule, we submit the following structural revision to reflect that capacity awarded in the DAM is not penalized under the firming program.</w:t>
      </w:r>
    </w:p>
    <w:p w14:paraId="468975E4" w14:textId="77777777" w:rsidR="00791FA2" w:rsidRPr="00791FA2" w:rsidRDefault="00791FA2" w:rsidP="00791FA2">
      <w:pPr>
        <w:jc w:val="both"/>
        <w:rPr>
          <w:rFonts w:ascii="Arial" w:hAnsi="Arial"/>
        </w:rPr>
      </w:pPr>
    </w:p>
    <w:p w14:paraId="227C7A0E" w14:textId="77777777" w:rsidR="00791FA2" w:rsidRPr="00791FA2" w:rsidRDefault="00791FA2" w:rsidP="00791FA2">
      <w:pPr>
        <w:jc w:val="both"/>
        <w:rPr>
          <w:rFonts w:ascii="Arial" w:hAnsi="Arial"/>
        </w:rPr>
      </w:pPr>
      <w:r w:rsidRPr="00791FA2">
        <w:rPr>
          <w:rFonts w:ascii="Arial" w:hAnsi="Arial"/>
        </w:rPr>
        <w:t>Proposed Formula:</w:t>
      </w:r>
    </w:p>
    <w:p w14:paraId="1C6336D7" w14:textId="77777777" w:rsidR="00791FA2" w:rsidRPr="00791FA2" w:rsidRDefault="00791FA2" w:rsidP="00791FA2">
      <w:pPr>
        <w:ind w:firstLine="720"/>
        <w:jc w:val="both"/>
        <w:rPr>
          <w:rFonts w:ascii="Arial" w:hAnsi="Arial"/>
        </w:rPr>
      </w:pPr>
      <w:r w:rsidRPr="00791FA2">
        <w:rPr>
          <w:rFonts w:ascii="Arial" w:hAnsi="Arial"/>
        </w:rPr>
        <w:t>FCPQ = Max (0, FCRQ – Max (FCAV, DAESR + DAASQ, RCCRS) – FTCP)</w:t>
      </w:r>
    </w:p>
    <w:p w14:paraId="253BA216" w14:textId="77777777" w:rsidR="00791FA2" w:rsidRPr="00791FA2" w:rsidRDefault="00791FA2" w:rsidP="00791FA2">
      <w:pPr>
        <w:jc w:val="both"/>
        <w:rPr>
          <w:rFonts w:ascii="Arial" w:hAnsi="Arial"/>
        </w:rPr>
      </w:pPr>
      <w:r w:rsidRPr="00791FA2">
        <w:rPr>
          <w:rFonts w:ascii="Arial" w:hAnsi="Arial"/>
        </w:rPr>
        <w:t>Where:</w:t>
      </w:r>
    </w:p>
    <w:p w14:paraId="7BC5E082" w14:textId="77777777" w:rsidR="00791FA2" w:rsidRPr="00791FA2" w:rsidRDefault="00791FA2" w:rsidP="00791FA2">
      <w:pPr>
        <w:ind w:firstLine="720"/>
        <w:jc w:val="both"/>
        <w:rPr>
          <w:rFonts w:ascii="Arial" w:hAnsi="Arial"/>
        </w:rPr>
      </w:pPr>
      <w:r w:rsidRPr="00791FA2">
        <w:rPr>
          <w:rFonts w:ascii="Arial" w:hAnsi="Arial"/>
        </w:rPr>
        <w:t xml:space="preserve">FCRQ= SAGC + FTCS </w:t>
      </w:r>
    </w:p>
    <w:p w14:paraId="7142D61B" w14:textId="77777777" w:rsidR="00791FA2" w:rsidRPr="00791FA2" w:rsidRDefault="00791FA2" w:rsidP="00791FA2">
      <w:pPr>
        <w:ind w:firstLine="720"/>
        <w:jc w:val="both"/>
        <w:rPr>
          <w:rFonts w:ascii="Arial" w:hAnsi="Arial"/>
        </w:rPr>
      </w:pPr>
      <w:r w:rsidRPr="00791FA2">
        <w:rPr>
          <w:rFonts w:ascii="Arial" w:hAnsi="Arial"/>
        </w:rPr>
        <w:t>FCAV = HATHSL</w:t>
      </w:r>
    </w:p>
    <w:p w14:paraId="2C1CC5D1" w14:textId="77777777" w:rsidR="00791FA2" w:rsidRPr="00791FA2" w:rsidRDefault="00791FA2" w:rsidP="00791FA2">
      <w:pPr>
        <w:jc w:val="both"/>
        <w:rPr>
          <w:rFonts w:ascii="Arial" w:hAnsi="Arial"/>
        </w:rPr>
      </w:pPr>
    </w:p>
    <w:p w14:paraId="66DDAE14" w14:textId="77777777" w:rsidR="00791FA2" w:rsidRPr="00791FA2" w:rsidRDefault="00791FA2" w:rsidP="00791FA2">
      <w:pPr>
        <w:jc w:val="both"/>
        <w:rPr>
          <w:rFonts w:ascii="Arial" w:hAnsi="Arial"/>
        </w:rPr>
      </w:pPr>
    </w:p>
    <w:p w14:paraId="616C1639" w14:textId="77777777" w:rsidR="00791FA2" w:rsidRPr="00791FA2" w:rsidRDefault="00791FA2" w:rsidP="00791FA2">
      <w:pPr>
        <w:jc w:val="both"/>
        <w:rPr>
          <w:rFonts w:ascii="Arial" w:hAnsi="Arial"/>
          <w:b/>
          <w:bCs/>
          <w:u w:val="single"/>
        </w:rPr>
      </w:pPr>
      <w:r w:rsidRPr="00791FA2">
        <w:rPr>
          <w:rFonts w:ascii="Arial" w:hAnsi="Arial"/>
          <w:b/>
          <w:bCs/>
          <w:u w:val="single"/>
        </w:rPr>
        <w:t>2. Realigning ERCOT's Transfer Validation Window with PURA Non-Discrimination Mandates.</w:t>
      </w:r>
    </w:p>
    <w:p w14:paraId="0A9D6433" w14:textId="77777777" w:rsidR="00791FA2" w:rsidRPr="00791FA2" w:rsidRDefault="00791FA2" w:rsidP="00791FA2">
      <w:pPr>
        <w:jc w:val="both"/>
        <w:rPr>
          <w:rFonts w:ascii="Arial" w:hAnsi="Arial"/>
          <w:b/>
          <w:bCs/>
          <w:u w:val="single"/>
        </w:rPr>
      </w:pPr>
      <w:r w:rsidRPr="00791FA2">
        <w:rPr>
          <w:rFonts w:ascii="Arial" w:hAnsi="Arial"/>
        </w:rPr>
        <w:lastRenderedPageBreak/>
        <w:t xml:space="preserve">In Section 28.5, ERCOT proposes a window for each season during which Market Participants may submit Firming Transfers. This window begins at the start of each season and ends 30 days after the end of the Firming Season. All trades must be submitted and confirmed as valid by ERCOT within this window. If ERCOT notifies </w:t>
      </w:r>
      <w:proofErr w:type="gramStart"/>
      <w:r w:rsidRPr="00791FA2">
        <w:rPr>
          <w:rFonts w:ascii="Arial" w:hAnsi="Arial"/>
        </w:rPr>
        <w:t>a QSE</w:t>
      </w:r>
      <w:proofErr w:type="gramEnd"/>
      <w:r w:rsidRPr="00791FA2">
        <w:rPr>
          <w:rFonts w:ascii="Arial" w:hAnsi="Arial"/>
        </w:rPr>
        <w:t xml:space="preserve"> that its submitted transfers are invalid at any point, the QSE must modify, correct, and obtain ERCOT approval within that same timeline.</w:t>
      </w:r>
    </w:p>
    <w:p w14:paraId="5319A3AF" w14:textId="77777777" w:rsidR="00791FA2" w:rsidRPr="00791FA2" w:rsidRDefault="00791FA2" w:rsidP="00791FA2">
      <w:pPr>
        <w:jc w:val="both"/>
        <w:rPr>
          <w:rFonts w:ascii="Arial" w:hAnsi="Arial"/>
        </w:rPr>
      </w:pPr>
    </w:p>
    <w:p w14:paraId="19A96265" w14:textId="77777777" w:rsidR="00791FA2" w:rsidRPr="00791FA2" w:rsidRDefault="00791FA2" w:rsidP="00791FA2">
      <w:pPr>
        <w:jc w:val="both"/>
        <w:rPr>
          <w:rFonts w:ascii="Arial" w:hAnsi="Arial"/>
        </w:rPr>
      </w:pPr>
      <w:r w:rsidRPr="00791FA2">
        <w:rPr>
          <w:rFonts w:ascii="Arial" w:hAnsi="Arial"/>
        </w:rPr>
        <w:t>However, in a scenario where ERCOT determines a transfer is invalid on or near the last day of the window, Market Participants would lack adequate time to correct and resubmit the data within ERCOT’s window, potentially resulting in unfair financial penalties despite having appropriately firmed their capacity.</w:t>
      </w:r>
    </w:p>
    <w:p w14:paraId="12306CCC" w14:textId="77777777" w:rsidR="00791FA2" w:rsidRPr="00791FA2" w:rsidRDefault="00791FA2" w:rsidP="00791FA2">
      <w:pPr>
        <w:jc w:val="both"/>
        <w:rPr>
          <w:rFonts w:ascii="Arial" w:hAnsi="Arial"/>
        </w:rPr>
      </w:pPr>
    </w:p>
    <w:p w14:paraId="66CA991C" w14:textId="77777777" w:rsidR="00791FA2" w:rsidRPr="00791FA2" w:rsidRDefault="00791FA2" w:rsidP="00791FA2">
      <w:pPr>
        <w:jc w:val="both"/>
        <w:rPr>
          <w:rFonts w:ascii="Arial" w:hAnsi="Arial"/>
        </w:rPr>
      </w:pPr>
      <w:r w:rsidRPr="00791FA2">
        <w:rPr>
          <w:rFonts w:ascii="Arial" w:hAnsi="Arial"/>
        </w:rPr>
        <w:t>ERCOT’s current language does not provide a fair or reasonable opportunity for Market Participants to address issues identified by ERCOT near the end of the window and this could result in discriminatory outcomes depending on ERCOT’s internal timeline for validating trades.</w:t>
      </w:r>
    </w:p>
    <w:p w14:paraId="0560C08F" w14:textId="77777777" w:rsidR="00791FA2" w:rsidRPr="00791FA2" w:rsidRDefault="00791FA2" w:rsidP="00791FA2">
      <w:pPr>
        <w:jc w:val="both"/>
        <w:rPr>
          <w:rFonts w:ascii="Arial" w:hAnsi="Arial"/>
          <w:u w:val="single"/>
        </w:rPr>
      </w:pPr>
    </w:p>
    <w:p w14:paraId="6BC7EB50" w14:textId="77777777" w:rsidR="00791FA2" w:rsidRPr="00791FA2" w:rsidRDefault="00791FA2" w:rsidP="00791FA2">
      <w:pPr>
        <w:jc w:val="both"/>
        <w:rPr>
          <w:rFonts w:ascii="Arial" w:hAnsi="Arial"/>
          <w:u w:val="single"/>
        </w:rPr>
      </w:pPr>
      <w:r w:rsidRPr="00791FA2">
        <w:rPr>
          <w:rFonts w:ascii="Arial" w:hAnsi="Arial"/>
          <w:u w:val="single"/>
        </w:rPr>
        <w:t>We recommend two modifications:</w:t>
      </w:r>
    </w:p>
    <w:p w14:paraId="6F9B5332" w14:textId="77777777" w:rsidR="00791FA2" w:rsidRPr="00791FA2" w:rsidRDefault="00791FA2" w:rsidP="00791FA2">
      <w:pPr>
        <w:numPr>
          <w:ilvl w:val="0"/>
          <w:numId w:val="46"/>
        </w:numPr>
        <w:contextualSpacing/>
        <w:jc w:val="both"/>
        <w:rPr>
          <w:rFonts w:ascii="Arial" w:hAnsi="Arial"/>
        </w:rPr>
      </w:pPr>
      <w:r w:rsidRPr="00791FA2">
        <w:rPr>
          <w:rFonts w:ascii="Arial" w:hAnsi="Arial"/>
        </w:rPr>
        <w:t>First, the firming trading window should be defined as the period beginning at the start of each season and ending 30 days after the end of each season.</w:t>
      </w:r>
    </w:p>
    <w:p w14:paraId="34D39E2D" w14:textId="77777777" w:rsidR="00791FA2" w:rsidRPr="00791FA2" w:rsidRDefault="00791FA2" w:rsidP="00791FA2">
      <w:pPr>
        <w:numPr>
          <w:ilvl w:val="0"/>
          <w:numId w:val="46"/>
        </w:numPr>
        <w:jc w:val="both"/>
        <w:rPr>
          <w:rFonts w:ascii="Arial" w:hAnsi="Arial"/>
        </w:rPr>
      </w:pPr>
      <w:r w:rsidRPr="00791FA2">
        <w:rPr>
          <w:rFonts w:ascii="Arial" w:hAnsi="Arial"/>
        </w:rPr>
        <w:t>Second, if trades are submitted timely within the firming trading window, ERCOT must confirm the validity of the trades and communicate its determination within 10 calendar days of submission. Market Participants must then correct and resubmit their transfers within 10 calendar days of receiving ERCOT’s determination or the end of the firming trading window, whichever is later.</w:t>
      </w:r>
    </w:p>
    <w:p w14:paraId="3567E550" w14:textId="77777777" w:rsidR="00791FA2" w:rsidRPr="00791FA2" w:rsidRDefault="00791FA2" w:rsidP="00791FA2">
      <w:pPr>
        <w:jc w:val="both"/>
        <w:rPr>
          <w:rFonts w:ascii="Arial" w:hAnsi="Arial"/>
        </w:rPr>
      </w:pPr>
    </w:p>
    <w:p w14:paraId="6DD4F40B" w14:textId="77777777" w:rsidR="00791FA2" w:rsidRPr="00791FA2" w:rsidRDefault="00791FA2" w:rsidP="00791FA2">
      <w:pPr>
        <w:jc w:val="both"/>
        <w:rPr>
          <w:rFonts w:ascii="Arial" w:hAnsi="Arial"/>
        </w:rPr>
      </w:pPr>
      <w:r w:rsidRPr="00791FA2">
        <w:rPr>
          <w:rFonts w:ascii="Arial" w:hAnsi="Arial"/>
        </w:rPr>
        <w:t xml:space="preserve">These modifications ensure that both ERCOT and Market Participants have transparent, functionally possible, and enforceable deadlines. This is particularly important if ERCOT issues a determination near the end of the window, because Market Participants reviewed later in the process must receive the same 10-day period to make corrections and resubmit as those evaluated near the beginning of the window; </w:t>
      </w:r>
      <w:proofErr w:type="gramStart"/>
      <w:r w:rsidRPr="00791FA2">
        <w:rPr>
          <w:rFonts w:ascii="Arial" w:hAnsi="Arial"/>
        </w:rPr>
        <w:t>otherwise</w:t>
      </w:r>
      <w:proofErr w:type="gramEnd"/>
      <w:r w:rsidRPr="00791FA2">
        <w:rPr>
          <w:rFonts w:ascii="Arial" w:hAnsi="Arial"/>
        </w:rPr>
        <w:t xml:space="preserve"> they are placed at a disadvantage and risk disparate treatment. This framework ensures that all transfers are finalized within 40 days of the seasonal close while guaranteeing that Market Participants retain an equal opportunity to correct a transfer regardless of when ERCOT issues its notification. Ultimately, this protects the non-discriminatory treatment of Resources, which is a core statutory mandate of PURA.</w:t>
      </w:r>
    </w:p>
    <w:p w14:paraId="1DA33CDD" w14:textId="77777777" w:rsidR="00791FA2" w:rsidRPr="00791FA2" w:rsidRDefault="00791FA2" w:rsidP="00791FA2">
      <w:pPr>
        <w:jc w:val="both"/>
        <w:rPr>
          <w:rFonts w:ascii="Arial" w:hAnsi="Arial"/>
          <w:b/>
          <w:bCs/>
          <w:u w:val="single"/>
        </w:rPr>
      </w:pPr>
    </w:p>
    <w:p w14:paraId="1A62AF4C" w14:textId="77777777" w:rsidR="00791FA2" w:rsidRPr="00791FA2" w:rsidRDefault="00791FA2" w:rsidP="00791FA2">
      <w:pPr>
        <w:jc w:val="both"/>
        <w:rPr>
          <w:rFonts w:ascii="Arial" w:hAnsi="Arial"/>
          <w:b/>
          <w:bCs/>
          <w:u w:val="single"/>
        </w:rPr>
      </w:pPr>
    </w:p>
    <w:p w14:paraId="56EBB540" w14:textId="77777777" w:rsidR="00791FA2" w:rsidRPr="00791FA2" w:rsidRDefault="00791FA2" w:rsidP="00791FA2">
      <w:pPr>
        <w:jc w:val="both"/>
        <w:rPr>
          <w:rFonts w:ascii="Arial" w:hAnsi="Arial"/>
          <w:b/>
          <w:bCs/>
          <w:u w:val="single"/>
        </w:rPr>
      </w:pPr>
      <w:r w:rsidRPr="00791FA2">
        <w:rPr>
          <w:rFonts w:ascii="Arial" w:hAnsi="Arial"/>
          <w:b/>
          <w:bCs/>
          <w:u w:val="single"/>
        </w:rPr>
        <w:t>3. Modification of Section 28.4 to Define "High-Risk Hours" Consistent with MORA Criteria.</w:t>
      </w:r>
    </w:p>
    <w:p w14:paraId="2B952C65" w14:textId="77777777" w:rsidR="00791FA2" w:rsidRPr="00791FA2" w:rsidRDefault="00791FA2" w:rsidP="00791FA2">
      <w:pPr>
        <w:jc w:val="both"/>
        <w:rPr>
          <w:rFonts w:ascii="Arial" w:hAnsi="Arial"/>
        </w:rPr>
      </w:pPr>
      <w:r w:rsidRPr="00791FA2">
        <w:rPr>
          <w:rFonts w:ascii="Arial" w:hAnsi="Arial"/>
        </w:rPr>
        <w:t>In Section 28.4 (Firming Baseline Period), paragraph (2), ERCOT defines the baseline period to include "high-risk hours" identified via ERCOT’s annual North American Electric Reliability Corporation (NERC) probabilistic assessment for that season. However, the Protocols lack a clear definition of what constitutes a "high-risk hour" in the probabilistic assessment.</w:t>
      </w:r>
    </w:p>
    <w:p w14:paraId="14D4F7DC" w14:textId="77777777" w:rsidR="00791FA2" w:rsidRPr="00791FA2" w:rsidRDefault="00791FA2" w:rsidP="00791FA2">
      <w:pPr>
        <w:jc w:val="both"/>
        <w:rPr>
          <w:rFonts w:ascii="Arial" w:hAnsi="Arial"/>
        </w:rPr>
      </w:pPr>
    </w:p>
    <w:p w14:paraId="49356C3E" w14:textId="77777777" w:rsidR="00791FA2" w:rsidRPr="00791FA2" w:rsidRDefault="00791FA2" w:rsidP="00791FA2">
      <w:pPr>
        <w:jc w:val="both"/>
        <w:rPr>
          <w:rFonts w:ascii="Arial" w:hAnsi="Arial"/>
        </w:rPr>
      </w:pPr>
      <w:r w:rsidRPr="00791FA2">
        <w:rPr>
          <w:rFonts w:ascii="Arial" w:hAnsi="Arial"/>
        </w:rPr>
        <w:lastRenderedPageBreak/>
        <w:t>Additionally, ongoing regulatory proceedings are evaluating the order of operations for curtailing large Loads in ERCOT pursuant to Senate Bill (SB) 6, 89th Texas Legislature, Regular Session (89th RS). Given the magnitude of projected large Loads, the ability of these Resources to respond, and the order in which they are used to maintain operating reserves, these large Loads could substantially influence Energy Emergency Alert (EEA) risk. Based on the latest NERC probabilistic assessment, conducted in 2025 for the 2027 and 2029 study years, ERCOT published reliability metrics and a monthly heatmap distributing Expected Unserved Energy (EUE) as shown in Tables 1 and 2 below.</w:t>
      </w:r>
      <w:r w:rsidRPr="00791FA2">
        <w:rPr>
          <w:rFonts w:ascii="Arial" w:hAnsi="Arial"/>
          <w:vertAlign w:val="superscript"/>
        </w:rPr>
        <w:footnoteReference w:id="3"/>
      </w:r>
    </w:p>
    <w:p w14:paraId="21865EA4" w14:textId="77777777" w:rsidR="00791FA2" w:rsidRPr="00791FA2" w:rsidRDefault="00791FA2" w:rsidP="00791FA2">
      <w:pPr>
        <w:ind w:left="720"/>
        <w:jc w:val="both"/>
        <w:rPr>
          <w:rFonts w:ascii="Arial" w:hAnsi="Arial"/>
          <w:i/>
          <w:iCs/>
          <w:lang w:val="en-GB"/>
        </w:rPr>
      </w:pPr>
    </w:p>
    <w:p w14:paraId="3AE9846F" w14:textId="77777777" w:rsidR="00791FA2" w:rsidRPr="00791FA2" w:rsidRDefault="00791FA2" w:rsidP="00791FA2">
      <w:pPr>
        <w:ind w:left="720"/>
        <w:jc w:val="both"/>
        <w:rPr>
          <w:rFonts w:ascii="Arial" w:hAnsi="Arial"/>
          <w:i/>
          <w:iCs/>
          <w:lang w:val="en-GB"/>
        </w:rPr>
      </w:pPr>
      <w:r w:rsidRPr="00791FA2">
        <w:rPr>
          <w:rFonts w:ascii="Arial" w:hAnsi="Arial"/>
          <w:i/>
          <w:iCs/>
          <w:lang w:val="en-GB"/>
        </w:rPr>
        <w:t xml:space="preserve">Table </w:t>
      </w:r>
      <w:r w:rsidRPr="00791FA2">
        <w:rPr>
          <w:rFonts w:ascii="Arial" w:hAnsi="Arial"/>
          <w:i/>
          <w:iCs/>
          <w:lang w:val="en-GB"/>
        </w:rPr>
        <w:fldChar w:fldCharType="begin"/>
      </w:r>
      <w:r w:rsidRPr="00791FA2">
        <w:rPr>
          <w:rFonts w:ascii="Arial" w:hAnsi="Arial"/>
          <w:i/>
          <w:iCs/>
          <w:lang w:val="en-GB"/>
        </w:rPr>
        <w:instrText xml:space="preserve"> SEQ Table \* ARABIC </w:instrText>
      </w:r>
      <w:r w:rsidRPr="00791FA2">
        <w:rPr>
          <w:rFonts w:ascii="Arial" w:hAnsi="Arial"/>
          <w:i/>
          <w:iCs/>
          <w:lang w:val="en-GB"/>
        </w:rPr>
        <w:fldChar w:fldCharType="separate"/>
      </w:r>
      <w:r w:rsidRPr="00791FA2">
        <w:rPr>
          <w:rFonts w:ascii="Arial" w:hAnsi="Arial"/>
          <w:i/>
          <w:iCs/>
          <w:noProof/>
          <w:lang w:val="en-GB"/>
        </w:rPr>
        <w:t>1</w:t>
      </w:r>
      <w:r w:rsidRPr="00791FA2">
        <w:rPr>
          <w:rFonts w:ascii="Arial" w:hAnsi="Arial"/>
        </w:rPr>
        <w:fldChar w:fldCharType="end"/>
      </w:r>
      <w:r w:rsidRPr="00791FA2">
        <w:rPr>
          <w:rFonts w:ascii="Arial" w:hAnsi="Arial"/>
          <w:i/>
          <w:iCs/>
          <w:lang w:val="en-GB"/>
        </w:rPr>
        <w:t xml:space="preserve"> – 2025 Probabilistic Assessment Reliability Metrics</w:t>
      </w:r>
    </w:p>
    <w:p w14:paraId="2B8A5B69" w14:textId="77777777" w:rsidR="00791FA2" w:rsidRPr="00791FA2" w:rsidRDefault="00791FA2" w:rsidP="00791FA2">
      <w:pPr>
        <w:ind w:left="720"/>
        <w:jc w:val="both"/>
        <w:rPr>
          <w:rFonts w:ascii="Arial" w:hAnsi="Arial"/>
        </w:rPr>
      </w:pPr>
      <w:r w:rsidRPr="00791FA2">
        <w:rPr>
          <w:rFonts w:ascii="Arial" w:hAnsi="Arial"/>
          <w:noProof/>
        </w:rPr>
        <w:drawing>
          <wp:inline distT="0" distB="0" distL="0" distR="0" wp14:anchorId="5C016B08" wp14:editId="3D73F184">
            <wp:extent cx="3035935" cy="1347470"/>
            <wp:effectExtent l="0" t="0" r="0" b="5080"/>
            <wp:docPr id="10131630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35935" cy="1347470"/>
                    </a:xfrm>
                    <a:prstGeom prst="rect">
                      <a:avLst/>
                    </a:prstGeom>
                    <a:noFill/>
                  </pic:spPr>
                </pic:pic>
              </a:graphicData>
            </a:graphic>
          </wp:inline>
        </w:drawing>
      </w:r>
    </w:p>
    <w:p w14:paraId="75E190C0" w14:textId="77777777" w:rsidR="00791FA2" w:rsidRPr="00791FA2" w:rsidRDefault="00791FA2" w:rsidP="00791FA2">
      <w:pPr>
        <w:jc w:val="both"/>
        <w:rPr>
          <w:rFonts w:ascii="Arial" w:hAnsi="Arial"/>
          <w:lang w:val="en-GB"/>
        </w:rPr>
      </w:pPr>
    </w:p>
    <w:p w14:paraId="697B0C22" w14:textId="77777777" w:rsidR="00791FA2" w:rsidRPr="00791FA2" w:rsidRDefault="00791FA2" w:rsidP="00791FA2">
      <w:pPr>
        <w:ind w:left="720"/>
        <w:jc w:val="both"/>
        <w:rPr>
          <w:rFonts w:ascii="Arial" w:hAnsi="Arial"/>
        </w:rPr>
      </w:pPr>
      <w:r w:rsidRPr="00791FA2">
        <w:rPr>
          <w:rFonts w:ascii="Arial" w:hAnsi="Arial"/>
          <w:lang w:val="en-GB"/>
        </w:rPr>
        <w:t xml:space="preserve">Table </w:t>
      </w:r>
      <w:r w:rsidRPr="00791FA2">
        <w:rPr>
          <w:rFonts w:ascii="Arial" w:hAnsi="Arial"/>
          <w:lang w:val="en-GB"/>
        </w:rPr>
        <w:fldChar w:fldCharType="begin"/>
      </w:r>
      <w:r w:rsidRPr="00791FA2">
        <w:rPr>
          <w:rFonts w:ascii="Arial" w:hAnsi="Arial"/>
          <w:lang w:val="en-GB"/>
        </w:rPr>
        <w:instrText xml:space="preserve"> SEQ Table \* ARABIC </w:instrText>
      </w:r>
      <w:r w:rsidRPr="00791FA2">
        <w:rPr>
          <w:rFonts w:ascii="Arial" w:hAnsi="Arial"/>
          <w:lang w:val="en-GB"/>
        </w:rPr>
        <w:fldChar w:fldCharType="separate"/>
      </w:r>
      <w:r w:rsidRPr="00791FA2">
        <w:rPr>
          <w:rFonts w:ascii="Arial" w:hAnsi="Arial"/>
          <w:noProof/>
          <w:lang w:val="en-GB"/>
        </w:rPr>
        <w:t>2</w:t>
      </w:r>
      <w:r w:rsidRPr="00791FA2">
        <w:rPr>
          <w:rFonts w:ascii="Arial" w:hAnsi="Arial"/>
        </w:rPr>
        <w:fldChar w:fldCharType="end"/>
      </w:r>
      <w:r w:rsidRPr="00791FA2">
        <w:rPr>
          <w:rFonts w:ascii="Arial" w:hAnsi="Arial"/>
          <w:lang w:val="en-GB"/>
        </w:rPr>
        <w:t xml:space="preserve"> – 2025 Probabilistic Assessment EUE Heatmap</w:t>
      </w:r>
    </w:p>
    <w:p w14:paraId="308D7441" w14:textId="77777777" w:rsidR="00791FA2" w:rsidRPr="00791FA2" w:rsidRDefault="00791FA2" w:rsidP="00791FA2">
      <w:pPr>
        <w:spacing w:before="120" w:after="120"/>
        <w:jc w:val="both"/>
        <w:rPr>
          <w:rFonts w:ascii="Arial" w:hAnsi="Arial"/>
        </w:rPr>
      </w:pPr>
      <w:r w:rsidRPr="00791FA2">
        <w:rPr>
          <w:rFonts w:ascii="Arial" w:hAnsi="Arial"/>
          <w:noProof/>
        </w:rPr>
        <w:drawing>
          <wp:inline distT="0" distB="0" distL="0" distR="0" wp14:anchorId="2405261A" wp14:editId="7493826B">
            <wp:extent cx="5084445" cy="3371215"/>
            <wp:effectExtent l="0" t="0" r="1905" b="635"/>
            <wp:docPr id="585242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84445" cy="3371215"/>
                    </a:xfrm>
                    <a:prstGeom prst="rect">
                      <a:avLst/>
                    </a:prstGeom>
                    <a:noFill/>
                  </pic:spPr>
                </pic:pic>
              </a:graphicData>
            </a:graphic>
          </wp:inline>
        </w:drawing>
      </w:r>
    </w:p>
    <w:p w14:paraId="3DB1BDC7" w14:textId="77777777" w:rsidR="00791FA2" w:rsidRPr="00791FA2" w:rsidRDefault="00791FA2" w:rsidP="00791FA2">
      <w:pPr>
        <w:jc w:val="both"/>
        <w:rPr>
          <w:rFonts w:ascii="Arial" w:hAnsi="Arial"/>
        </w:rPr>
      </w:pPr>
      <w:r w:rsidRPr="00791FA2">
        <w:rPr>
          <w:rFonts w:ascii="Arial" w:hAnsi="Arial"/>
        </w:rPr>
        <w:t>However, these results do not indicate which hours are considered "high-risk," nor do they define what level or percentage of annual EUE triggers that designation. The results also acknowledge significant uncertainty regarding large Load integration standards.</w:t>
      </w:r>
    </w:p>
    <w:p w14:paraId="66CA3ECD" w14:textId="77777777" w:rsidR="00791FA2" w:rsidRPr="00791FA2" w:rsidRDefault="00791FA2" w:rsidP="00791FA2">
      <w:pPr>
        <w:jc w:val="both"/>
        <w:rPr>
          <w:rFonts w:ascii="Arial" w:hAnsi="Arial"/>
        </w:rPr>
      </w:pPr>
    </w:p>
    <w:p w14:paraId="77D8318F" w14:textId="77777777" w:rsidR="00791FA2" w:rsidRPr="00791FA2" w:rsidRDefault="00791FA2" w:rsidP="00791FA2">
      <w:pPr>
        <w:jc w:val="both"/>
        <w:rPr>
          <w:rFonts w:ascii="Arial" w:hAnsi="Arial"/>
        </w:rPr>
      </w:pPr>
      <w:r w:rsidRPr="00791FA2">
        <w:rPr>
          <w:rFonts w:ascii="Arial" w:hAnsi="Arial"/>
        </w:rPr>
        <w:lastRenderedPageBreak/>
        <w:t>As ERCOT states in its presentation, the heatmaps show the percentage of annual EUE distributed during a particular hour of the day for a particular season. Consequently, the distribution may reflect the percentage of EUE risk, regardless of the absolute magnitude of the projected EUE.</w:t>
      </w:r>
    </w:p>
    <w:p w14:paraId="3BF23B27" w14:textId="77777777" w:rsidR="00791FA2" w:rsidRPr="00791FA2" w:rsidRDefault="00791FA2" w:rsidP="00791FA2">
      <w:pPr>
        <w:jc w:val="both"/>
        <w:rPr>
          <w:rFonts w:ascii="Arial" w:hAnsi="Arial"/>
        </w:rPr>
      </w:pPr>
    </w:p>
    <w:p w14:paraId="56D418EA" w14:textId="77777777" w:rsidR="00791FA2" w:rsidRPr="00791FA2" w:rsidRDefault="00791FA2" w:rsidP="00791FA2">
      <w:pPr>
        <w:jc w:val="both"/>
        <w:rPr>
          <w:rFonts w:ascii="Arial" w:hAnsi="Arial"/>
        </w:rPr>
      </w:pPr>
      <w:r w:rsidRPr="00791FA2">
        <w:rPr>
          <w:rFonts w:ascii="Arial" w:hAnsi="Arial"/>
        </w:rPr>
        <w:t>Without mapping to the Commission-approved ERCOT Reliability Standard, the probabilistic assessment does not indicate whether the risk in any given hour or month is high, low, or moderate. This is due to the absence of both an acceptable level of EUE and defined probability thresholds to definitively isolate what constitutes a high-risk hour.</w:t>
      </w:r>
    </w:p>
    <w:p w14:paraId="21CCA95E" w14:textId="77777777" w:rsidR="00791FA2" w:rsidRPr="00791FA2" w:rsidRDefault="00791FA2" w:rsidP="00791FA2">
      <w:pPr>
        <w:jc w:val="both"/>
        <w:rPr>
          <w:rFonts w:ascii="Arial" w:hAnsi="Arial"/>
          <w:u w:val="single"/>
        </w:rPr>
      </w:pPr>
    </w:p>
    <w:p w14:paraId="438A4541" w14:textId="77777777" w:rsidR="00791FA2" w:rsidRPr="00791FA2" w:rsidRDefault="00791FA2" w:rsidP="00791FA2">
      <w:pPr>
        <w:jc w:val="both"/>
        <w:rPr>
          <w:rFonts w:ascii="Arial" w:hAnsi="Arial"/>
          <w:u w:val="single"/>
        </w:rPr>
      </w:pPr>
      <w:r w:rsidRPr="00791FA2">
        <w:rPr>
          <w:rFonts w:ascii="Arial" w:hAnsi="Arial"/>
          <w:u w:val="single"/>
        </w:rPr>
        <w:t xml:space="preserve">Recommended Modifications: </w:t>
      </w:r>
    </w:p>
    <w:p w14:paraId="2A8F9ABE" w14:textId="77777777" w:rsidR="00791FA2" w:rsidRPr="00791FA2" w:rsidRDefault="00791FA2" w:rsidP="00791FA2">
      <w:pPr>
        <w:jc w:val="both"/>
        <w:rPr>
          <w:rFonts w:ascii="Arial" w:hAnsi="Arial"/>
        </w:rPr>
      </w:pPr>
      <w:r w:rsidRPr="00791FA2">
        <w:rPr>
          <w:rFonts w:ascii="Arial" w:hAnsi="Arial"/>
        </w:rPr>
        <w:t>In the Monthly Operational Reliability Assessment (MORA) report, ERCOT publishes the probability of Capacity Available for Operating Reserves (CAFOR) falling below 2,500 MW for each hour, which correlates directly to an Energy Emergency Alert (EEA) risk.</w:t>
      </w:r>
      <w:r w:rsidRPr="00791FA2">
        <w:rPr>
          <w:rFonts w:ascii="Arial" w:hAnsi="Arial"/>
          <w:vertAlign w:val="superscript"/>
        </w:rPr>
        <w:footnoteReference w:id="4"/>
      </w:r>
      <w:r w:rsidRPr="00791FA2">
        <w:rPr>
          <w:rFonts w:ascii="Arial" w:hAnsi="Arial"/>
        </w:rPr>
        <w:t xml:space="preserve"> ERCOT states that an EEA probability above 10% indicates an elevated reserve adequacy risk. We recommend that ERCOT:</w:t>
      </w:r>
    </w:p>
    <w:p w14:paraId="6230337A" w14:textId="77777777" w:rsidR="00791FA2" w:rsidRPr="00791FA2" w:rsidRDefault="00791FA2" w:rsidP="00791FA2">
      <w:pPr>
        <w:numPr>
          <w:ilvl w:val="0"/>
          <w:numId w:val="45"/>
        </w:numPr>
        <w:jc w:val="both"/>
        <w:rPr>
          <w:rFonts w:ascii="Arial" w:hAnsi="Arial"/>
        </w:rPr>
      </w:pPr>
      <w:r w:rsidRPr="00791FA2">
        <w:rPr>
          <w:rFonts w:ascii="Arial" w:hAnsi="Arial"/>
        </w:rPr>
        <w:t>Apply the same MORA criteria in the NERC probabilistic assessment to identify "high-risk hours" as those where the probability of an EEA or CAFOR dropping below 2,500 MW exceeds 10%.</w:t>
      </w:r>
    </w:p>
    <w:p w14:paraId="6E33C1F5" w14:textId="77777777" w:rsidR="00791FA2" w:rsidRPr="00791FA2" w:rsidRDefault="00791FA2" w:rsidP="00791FA2">
      <w:pPr>
        <w:numPr>
          <w:ilvl w:val="0"/>
          <w:numId w:val="45"/>
        </w:numPr>
        <w:jc w:val="both"/>
        <w:rPr>
          <w:rFonts w:ascii="Arial" w:hAnsi="Arial"/>
        </w:rPr>
      </w:pPr>
      <w:r w:rsidRPr="00791FA2">
        <w:rPr>
          <w:rFonts w:ascii="Arial" w:hAnsi="Arial"/>
        </w:rPr>
        <w:t>Consistent with Commission guidance in the Triennial Reliability Standard Assessment proceeding,</w:t>
      </w:r>
      <w:r w:rsidRPr="00791FA2">
        <w:rPr>
          <w:rFonts w:ascii="Arial" w:hAnsi="Arial"/>
          <w:vertAlign w:val="superscript"/>
        </w:rPr>
        <w:footnoteReference w:id="5"/>
      </w:r>
      <w:r w:rsidRPr="00791FA2">
        <w:rPr>
          <w:rFonts w:ascii="Arial" w:hAnsi="Arial"/>
        </w:rPr>
        <w:t xml:space="preserve">  treat large Load curtailments as a Resource prior to declaring an EEA in reliability assessments.</w:t>
      </w:r>
    </w:p>
    <w:p w14:paraId="52A4D0C2" w14:textId="77777777" w:rsidR="00791FA2" w:rsidRPr="00791FA2" w:rsidRDefault="00791FA2" w:rsidP="00791FA2">
      <w:pPr>
        <w:numPr>
          <w:ilvl w:val="0"/>
          <w:numId w:val="45"/>
        </w:numPr>
        <w:jc w:val="both"/>
        <w:rPr>
          <w:rFonts w:ascii="Arial" w:hAnsi="Arial"/>
        </w:rPr>
      </w:pPr>
      <w:r w:rsidRPr="00791FA2">
        <w:rPr>
          <w:rFonts w:ascii="Arial" w:hAnsi="Arial"/>
        </w:rPr>
        <w:t>Revisit this definition once the standards for integrating large Loads and large Load demand response rules are finalized in compliance with SB 6.</w:t>
      </w:r>
    </w:p>
    <w:p w14:paraId="17E98CF4" w14:textId="77777777" w:rsidR="00791FA2" w:rsidRPr="00791FA2" w:rsidRDefault="00791FA2" w:rsidP="00791FA2">
      <w:pPr>
        <w:jc w:val="both"/>
        <w:rPr>
          <w:rFonts w:ascii="Arial" w:hAnsi="Arial"/>
          <w:b/>
          <w:bCs/>
          <w:u w:val="single"/>
        </w:rPr>
      </w:pPr>
    </w:p>
    <w:p w14:paraId="75D12462" w14:textId="77777777" w:rsidR="00791FA2" w:rsidRPr="00791FA2" w:rsidRDefault="00791FA2" w:rsidP="00791FA2">
      <w:pPr>
        <w:jc w:val="both"/>
        <w:rPr>
          <w:rFonts w:ascii="Arial" w:hAnsi="Arial"/>
          <w:b/>
          <w:bCs/>
          <w:u w:val="single"/>
        </w:rPr>
      </w:pPr>
    </w:p>
    <w:p w14:paraId="736DC932" w14:textId="77777777" w:rsidR="00791FA2" w:rsidRPr="00791FA2" w:rsidRDefault="00791FA2" w:rsidP="00791FA2">
      <w:pPr>
        <w:jc w:val="both"/>
        <w:rPr>
          <w:rFonts w:ascii="Arial" w:hAnsi="Arial"/>
          <w:b/>
          <w:bCs/>
          <w:u w:val="single"/>
        </w:rPr>
      </w:pPr>
      <w:r w:rsidRPr="00791FA2">
        <w:rPr>
          <w:rFonts w:ascii="Arial" w:hAnsi="Arial"/>
          <w:b/>
          <w:bCs/>
          <w:u w:val="single"/>
        </w:rPr>
        <w:t>4. Modification of Section 28.2.1 to Eliminate Arbitrary Post-Commissioning Attestation Deadlines for Private Use Networks.</w:t>
      </w:r>
    </w:p>
    <w:p w14:paraId="55CC7E45" w14:textId="77777777" w:rsidR="00791FA2" w:rsidRPr="00791FA2" w:rsidRDefault="00791FA2" w:rsidP="00791FA2">
      <w:pPr>
        <w:jc w:val="both"/>
        <w:rPr>
          <w:rFonts w:ascii="Arial" w:hAnsi="Arial"/>
        </w:rPr>
      </w:pPr>
      <w:r w:rsidRPr="00791FA2">
        <w:rPr>
          <w:rFonts w:ascii="Arial" w:hAnsi="Arial"/>
        </w:rPr>
        <w:t>Section 28.2.1 requires an attestation form for Resources co-located with Load in a Private Use Network (PUN) to be filed within 30 days of the Resource's commissioning date. This arbitrary, fixed deadline unfairly imposes firming requirements on Resources that are not part of a PUN at commissioning, but later transition to a PUN during their operating life. Moreover, nothing in PUCT Rule 25.65 conditions the statutory firming exemption for PUN</w:t>
      </w:r>
      <w:r w:rsidRPr="00791FA2">
        <w:rPr>
          <w:rFonts w:ascii="Cambria Math" w:hAnsi="Cambria Math" w:cs="Cambria Math"/>
        </w:rPr>
        <w:t>‑</w:t>
      </w:r>
      <w:r w:rsidRPr="00791FA2">
        <w:rPr>
          <w:rFonts w:ascii="Arial" w:hAnsi="Arial"/>
        </w:rPr>
        <w:t>dedicated Resources on the timing of an attestation or on the submission of such an attestation within a specific post</w:t>
      </w:r>
      <w:r w:rsidRPr="00791FA2">
        <w:rPr>
          <w:rFonts w:ascii="Cambria Math" w:hAnsi="Cambria Math" w:cs="Cambria Math"/>
        </w:rPr>
        <w:t>‑</w:t>
      </w:r>
      <w:r w:rsidRPr="00791FA2">
        <w:rPr>
          <w:rFonts w:ascii="Arial" w:hAnsi="Arial"/>
        </w:rPr>
        <w:t xml:space="preserve">commissioning window. </w:t>
      </w:r>
      <w:proofErr w:type="gramStart"/>
      <w:r w:rsidRPr="00791FA2">
        <w:rPr>
          <w:rFonts w:ascii="Arial" w:hAnsi="Arial"/>
        </w:rPr>
        <w:t>The exemption</w:t>
      </w:r>
      <w:proofErr w:type="gramEnd"/>
      <w:r w:rsidRPr="00791FA2">
        <w:rPr>
          <w:rFonts w:ascii="Arial" w:hAnsi="Arial"/>
        </w:rPr>
        <w:t xml:space="preserve"> applies by </w:t>
      </w:r>
      <w:proofErr w:type="gramStart"/>
      <w:r w:rsidRPr="00791FA2">
        <w:rPr>
          <w:rFonts w:ascii="Arial" w:hAnsi="Arial"/>
        </w:rPr>
        <w:t>operation of law</w:t>
      </w:r>
      <w:proofErr w:type="gramEnd"/>
      <w:r w:rsidRPr="00791FA2">
        <w:rPr>
          <w:rFonts w:ascii="Arial" w:hAnsi="Arial"/>
        </w:rPr>
        <w:t xml:space="preserve"> when more than 50% of a Generation Resource</w:t>
      </w:r>
      <w:r w:rsidRPr="00791FA2">
        <w:rPr>
          <w:rFonts w:ascii="Arial" w:hAnsi="Arial" w:cs="Arial"/>
        </w:rPr>
        <w:t>’</w:t>
      </w:r>
      <w:r w:rsidRPr="00791FA2">
        <w:rPr>
          <w:rFonts w:ascii="Arial" w:hAnsi="Arial"/>
        </w:rPr>
        <w:t>s nameplate capacity is dedicated to Load within a PUN.</w:t>
      </w:r>
    </w:p>
    <w:p w14:paraId="211507B1" w14:textId="77777777" w:rsidR="00791FA2" w:rsidRPr="00791FA2" w:rsidRDefault="00791FA2" w:rsidP="00791FA2">
      <w:pPr>
        <w:jc w:val="both"/>
        <w:rPr>
          <w:rFonts w:ascii="Arial" w:hAnsi="Arial"/>
        </w:rPr>
      </w:pPr>
    </w:p>
    <w:p w14:paraId="3ED4D6FC" w14:textId="77777777" w:rsidR="00791FA2" w:rsidRPr="00791FA2" w:rsidRDefault="00791FA2" w:rsidP="00791FA2">
      <w:pPr>
        <w:jc w:val="both"/>
        <w:rPr>
          <w:rFonts w:ascii="Arial" w:hAnsi="Arial"/>
        </w:rPr>
      </w:pPr>
      <w:r w:rsidRPr="00791FA2">
        <w:rPr>
          <w:rFonts w:ascii="Arial" w:hAnsi="Arial"/>
        </w:rPr>
        <w:t xml:space="preserve">ERCOT’s proposed deadline therefore creates a compliance barrier that does not exist in the Firming Rule and could improperly disqualify otherwise eligible Resources from an exemption the Commission expressly adopted. A Resource that becomes part of a PUN after commissioning would, under ERCOT’s proposal, lose an exemption it is legally </w:t>
      </w:r>
      <w:r w:rsidRPr="00791FA2">
        <w:rPr>
          <w:rFonts w:ascii="Arial" w:hAnsi="Arial"/>
        </w:rPr>
        <w:lastRenderedPageBreak/>
        <w:t>entitled to solely because the attestation could not have been filed at commissioning. This outcome is inconsistent with the Firming Rule, impractical for evolving PUN configurations, and creates an unnecessary administrative hurdle that could lead to discriminatory treatment of similarly situated Resources.</w:t>
      </w:r>
    </w:p>
    <w:p w14:paraId="0648588B" w14:textId="77777777" w:rsidR="00791FA2" w:rsidRPr="00791FA2" w:rsidRDefault="00791FA2" w:rsidP="00791FA2">
      <w:pPr>
        <w:jc w:val="both"/>
        <w:rPr>
          <w:rFonts w:ascii="Arial" w:hAnsi="Arial"/>
          <w:u w:val="single"/>
        </w:rPr>
      </w:pPr>
    </w:p>
    <w:p w14:paraId="20797B8E" w14:textId="77777777" w:rsidR="00791FA2" w:rsidRPr="00791FA2" w:rsidRDefault="00791FA2" w:rsidP="00791FA2">
      <w:pPr>
        <w:jc w:val="both"/>
        <w:rPr>
          <w:rFonts w:ascii="Arial" w:hAnsi="Arial"/>
          <w:u w:val="single"/>
        </w:rPr>
      </w:pPr>
      <w:r w:rsidRPr="00791FA2">
        <w:rPr>
          <w:rFonts w:ascii="Arial" w:hAnsi="Arial"/>
          <w:u w:val="single"/>
        </w:rPr>
        <w:t>Recommended Modification:</w:t>
      </w:r>
    </w:p>
    <w:p w14:paraId="6F85ACC2" w14:textId="77777777" w:rsidR="00791FA2" w:rsidRPr="00791FA2" w:rsidRDefault="00791FA2" w:rsidP="00791FA2">
      <w:pPr>
        <w:jc w:val="both"/>
        <w:rPr>
          <w:rFonts w:ascii="Arial" w:hAnsi="Arial"/>
        </w:rPr>
      </w:pPr>
      <w:r w:rsidRPr="00791FA2">
        <w:rPr>
          <w:rFonts w:ascii="Arial" w:hAnsi="Arial"/>
        </w:rPr>
        <w:t xml:space="preserve">We recommend that ERCOT eliminate the 30-day post-commissioning deadline. Instead, a Resource that joins a PUN should qualify for the firming exemption upon providing notice that it will be co-located with Load in a PUN at or prior to the time of the transition, regardless of its original commissioning date. This approach aligns ERCOT’s Protocols with the Firming Rule, preserves </w:t>
      </w:r>
      <w:proofErr w:type="gramStart"/>
      <w:r w:rsidRPr="00791FA2">
        <w:rPr>
          <w:rFonts w:ascii="Arial" w:hAnsi="Arial"/>
        </w:rPr>
        <w:t>the statutory</w:t>
      </w:r>
      <w:proofErr w:type="gramEnd"/>
      <w:r w:rsidRPr="00791FA2">
        <w:rPr>
          <w:rFonts w:ascii="Arial" w:hAnsi="Arial"/>
        </w:rPr>
        <w:t xml:space="preserve"> exemption, and ensures that Resources are not penalized for legitimate operational or commercial decisions to transition into PUN arrangements after commissioning. This achieves ERCOT’s requirement for notification while ensuring Market Participants are not penalized for late-lifecycle transitions. Ultimately, nothing in the Commission’s Rule lends itself to punishing a Resource by withholding a valid Exemption simply because a Resource elects to join a PUN post-commissioning.</w:t>
      </w:r>
    </w:p>
    <w:p w14:paraId="764174D3" w14:textId="77777777" w:rsidR="00791FA2" w:rsidRPr="00791FA2" w:rsidRDefault="00791FA2" w:rsidP="00791FA2">
      <w:pPr>
        <w:jc w:val="both"/>
        <w:rPr>
          <w:rFonts w:ascii="Arial" w:hAnsi="Arial"/>
        </w:rPr>
      </w:pPr>
    </w:p>
    <w:p w14:paraId="482BC7A6" w14:textId="77777777" w:rsidR="00791FA2" w:rsidRPr="00791FA2" w:rsidRDefault="00791FA2" w:rsidP="00791FA2">
      <w:pPr>
        <w:jc w:val="both"/>
        <w:rPr>
          <w:rFonts w:ascii="Arial" w:hAnsi="Arial"/>
        </w:rPr>
      </w:pPr>
    </w:p>
    <w:p w14:paraId="52971507" w14:textId="77777777" w:rsidR="00791FA2" w:rsidRPr="00791FA2" w:rsidRDefault="00791FA2" w:rsidP="00791FA2">
      <w:pPr>
        <w:jc w:val="both"/>
        <w:rPr>
          <w:rFonts w:ascii="Arial" w:hAnsi="Arial"/>
          <w:b/>
          <w:bCs/>
          <w:u w:val="single"/>
        </w:rPr>
      </w:pPr>
      <w:r w:rsidRPr="00791FA2">
        <w:rPr>
          <w:rFonts w:ascii="Arial" w:hAnsi="Arial"/>
          <w:b/>
          <w:bCs/>
          <w:u w:val="single"/>
        </w:rPr>
        <w:t>5. Modification of Sections 28.3.1 and 28.3.2 to Establish Firm Pre-Season and Post-Season Information Posting Timelines.</w:t>
      </w:r>
    </w:p>
    <w:p w14:paraId="090E92B3" w14:textId="77777777" w:rsidR="00791FA2" w:rsidRPr="00791FA2" w:rsidRDefault="00791FA2" w:rsidP="00791FA2">
      <w:pPr>
        <w:jc w:val="both"/>
        <w:rPr>
          <w:rFonts w:ascii="Arial" w:hAnsi="Arial"/>
        </w:rPr>
      </w:pPr>
      <w:r w:rsidRPr="00791FA2">
        <w:rPr>
          <w:rFonts w:ascii="Arial" w:hAnsi="Arial"/>
          <w:b/>
          <w:bCs/>
        </w:rPr>
        <w:t>Section 28.3.1 (Pre-Season)</w:t>
      </w:r>
      <w:r w:rsidRPr="00791FA2">
        <w:rPr>
          <w:rFonts w:ascii="Arial" w:hAnsi="Arial"/>
        </w:rPr>
        <w:t>: We recommend that ERCOT post the Seasonal Average Generation Capability (SAGC) and Firming Baseline Period at least 30 days prior to the beginning of each firming season. This advance notice ensures Market Participants can adequately plan and prepare to meet seasonal firming obligations.</w:t>
      </w:r>
    </w:p>
    <w:p w14:paraId="0F1E98C0" w14:textId="77777777" w:rsidR="00791FA2" w:rsidRPr="00791FA2" w:rsidRDefault="00791FA2" w:rsidP="00791FA2">
      <w:pPr>
        <w:jc w:val="both"/>
        <w:rPr>
          <w:rFonts w:ascii="Arial" w:hAnsi="Arial"/>
          <w:b/>
          <w:bCs/>
        </w:rPr>
      </w:pPr>
    </w:p>
    <w:p w14:paraId="23D6A850" w14:textId="77777777" w:rsidR="00791FA2" w:rsidRPr="00791FA2" w:rsidRDefault="00791FA2" w:rsidP="00791FA2">
      <w:pPr>
        <w:jc w:val="both"/>
        <w:rPr>
          <w:rFonts w:ascii="Arial" w:hAnsi="Arial"/>
        </w:rPr>
      </w:pPr>
      <w:r w:rsidRPr="00791FA2">
        <w:rPr>
          <w:rFonts w:ascii="Arial" w:hAnsi="Arial"/>
          <w:b/>
          <w:bCs/>
        </w:rPr>
        <w:t>Section 28.3.2 (Post-Season</w:t>
      </w:r>
      <w:r w:rsidRPr="00791FA2">
        <w:rPr>
          <w:rFonts w:ascii="Arial" w:hAnsi="Arial"/>
        </w:rPr>
        <w:t>): We recommend that ERCOT be required to post the final compliance data within 10 calendar days after the end of each season. This posting must indicate whether Resources subject to firming performance obligations were long or short during Low Operating Reserve Hours.</w:t>
      </w:r>
    </w:p>
    <w:p w14:paraId="7D03BF21" w14:textId="77777777" w:rsidR="00791FA2" w:rsidRPr="00791FA2" w:rsidRDefault="00791FA2" w:rsidP="00791FA2">
      <w:pPr>
        <w:jc w:val="both"/>
        <w:rPr>
          <w:rFonts w:ascii="Arial" w:hAnsi="Arial"/>
        </w:rPr>
      </w:pPr>
    </w:p>
    <w:p w14:paraId="13C84C6D" w14:textId="77777777" w:rsidR="00791FA2" w:rsidRPr="00791FA2" w:rsidRDefault="00791FA2" w:rsidP="00791FA2">
      <w:pPr>
        <w:jc w:val="both"/>
        <w:rPr>
          <w:rFonts w:ascii="Arial" w:hAnsi="Arial"/>
          <w:b/>
          <w:bCs/>
          <w:u w:val="single"/>
        </w:rPr>
      </w:pPr>
    </w:p>
    <w:p w14:paraId="0628B9C2" w14:textId="77777777" w:rsidR="00791FA2" w:rsidRPr="00791FA2" w:rsidRDefault="00791FA2" w:rsidP="00791FA2">
      <w:pPr>
        <w:jc w:val="both"/>
        <w:rPr>
          <w:rFonts w:ascii="Arial" w:hAnsi="Arial"/>
          <w:b/>
          <w:bCs/>
          <w:u w:val="single"/>
        </w:rPr>
      </w:pPr>
      <w:r w:rsidRPr="00791FA2">
        <w:rPr>
          <w:rFonts w:ascii="Arial" w:hAnsi="Arial"/>
          <w:b/>
          <w:bCs/>
          <w:u w:val="single"/>
        </w:rPr>
        <w:t>6. Response to TCPA’s Comments (submitted May 7, 2026).</w:t>
      </w:r>
    </w:p>
    <w:p w14:paraId="636AF7E1" w14:textId="77777777" w:rsidR="00791FA2" w:rsidRDefault="00791FA2" w:rsidP="00791FA2">
      <w:pPr>
        <w:jc w:val="both"/>
        <w:rPr>
          <w:rFonts w:ascii="Arial" w:hAnsi="Arial"/>
        </w:rPr>
      </w:pPr>
      <w:r w:rsidRPr="00791FA2">
        <w:rPr>
          <w:rFonts w:ascii="Arial" w:hAnsi="Arial"/>
        </w:rPr>
        <w:t>We disagree with TCPA’s recommendation to prioritize high-risk hours within the baseline period over ramp hours for enforcing firming requirements when a season contains more than 15 Low Operating Reserve Hours. The Commission’s Order was clear that the firming requirements must apply strictly to the 15 hours with the lowest Physical Responsive Capability (PRC). TCPA’s recommended change is therefore inconsistent with the Commission's Order, as 16 TAC § 25.65(f)(1)(B) states:</w:t>
      </w:r>
    </w:p>
    <w:p w14:paraId="43BA1EBC" w14:textId="77777777" w:rsidR="0081142B" w:rsidRPr="00791FA2" w:rsidRDefault="0081142B" w:rsidP="00791FA2">
      <w:pPr>
        <w:jc w:val="both"/>
        <w:rPr>
          <w:rFonts w:ascii="Arial" w:hAnsi="Arial"/>
        </w:rPr>
      </w:pPr>
    </w:p>
    <w:p w14:paraId="19B4599E" w14:textId="77777777" w:rsidR="00791FA2" w:rsidRPr="00791FA2" w:rsidRDefault="00791FA2" w:rsidP="00791FA2">
      <w:pPr>
        <w:ind w:left="720"/>
        <w:jc w:val="both"/>
        <w:rPr>
          <w:rFonts w:ascii="Arial" w:hAnsi="Arial"/>
          <w:i/>
          <w:iCs/>
        </w:rPr>
      </w:pPr>
      <w:r w:rsidRPr="00791FA2">
        <w:rPr>
          <w:rFonts w:ascii="Arial" w:hAnsi="Arial"/>
          <w:i/>
          <w:iCs/>
        </w:rPr>
        <w:t>“In seasons in which more than 15 low operating reserve hours occur during the seasonal baseline period, only the 15 low operating reserve hours with the lowest levels of PRC are subject to the financial penalty under this section.”</w:t>
      </w:r>
    </w:p>
    <w:p w14:paraId="36DEC4F0" w14:textId="77777777" w:rsidR="00791FA2" w:rsidRPr="00791FA2" w:rsidRDefault="00791FA2" w:rsidP="00791FA2">
      <w:pPr>
        <w:jc w:val="both"/>
        <w:rPr>
          <w:rFonts w:ascii="Arial" w:hAnsi="Arial"/>
        </w:rPr>
      </w:pPr>
    </w:p>
    <w:p w14:paraId="1B35EA0E" w14:textId="77777777" w:rsidR="00791FA2" w:rsidRDefault="00791FA2" w:rsidP="00791FA2">
      <w:pPr>
        <w:jc w:val="both"/>
        <w:rPr>
          <w:rFonts w:ascii="Arial" w:hAnsi="Arial"/>
          <w:b/>
          <w:bCs/>
          <w:u w:val="single"/>
        </w:rPr>
      </w:pPr>
    </w:p>
    <w:p w14:paraId="72C722B6" w14:textId="77777777" w:rsidR="0081142B" w:rsidRDefault="0081142B" w:rsidP="00791FA2">
      <w:pPr>
        <w:jc w:val="both"/>
        <w:rPr>
          <w:rFonts w:ascii="Arial" w:hAnsi="Arial"/>
          <w:b/>
          <w:bCs/>
          <w:u w:val="single"/>
        </w:rPr>
      </w:pPr>
    </w:p>
    <w:p w14:paraId="7E60DDC5" w14:textId="77777777" w:rsidR="00791FA2" w:rsidRPr="00791FA2" w:rsidRDefault="00791FA2" w:rsidP="00791FA2">
      <w:pPr>
        <w:jc w:val="both"/>
        <w:rPr>
          <w:rFonts w:ascii="Arial" w:hAnsi="Arial"/>
          <w:b/>
          <w:bCs/>
          <w:u w:val="single"/>
        </w:rPr>
      </w:pPr>
      <w:r w:rsidRPr="00791FA2">
        <w:rPr>
          <w:rFonts w:ascii="Arial" w:hAnsi="Arial"/>
          <w:b/>
          <w:bCs/>
          <w:u w:val="single"/>
        </w:rPr>
        <w:lastRenderedPageBreak/>
        <w:t>Conclusion.</w:t>
      </w:r>
    </w:p>
    <w:p w14:paraId="6528C1BB" w14:textId="77777777" w:rsidR="00791FA2" w:rsidRPr="00791FA2" w:rsidRDefault="00791FA2" w:rsidP="00791FA2">
      <w:pPr>
        <w:jc w:val="both"/>
        <w:rPr>
          <w:rFonts w:ascii="Arial" w:hAnsi="Arial"/>
        </w:rPr>
      </w:pPr>
      <w:r w:rsidRPr="00791FA2">
        <w:rPr>
          <w:rFonts w:ascii="Arial" w:hAnsi="Arial"/>
        </w:rPr>
        <w:t>While we support a robust framework to implement the Generation Firming Program and appreciate ERCOT’s clarifications to date, we strongly urge ERCOT to incorporate these targeted amendments. The current NPRR1328 proposal introduces critical computational gaps regarding DAM exemptions, creates unnecessary administrative risk for seasonal transfers, and lacks granular statistical benchmarks for defining high-risk periods. Adopting our recommendations will directly align the Nodal Protocols with 16 TAC § 25.65, eliminate redundant penalties, and secure the operational flexibility required for Market Participants to effectively Texas grid reliability.</w:t>
      </w:r>
    </w:p>
    <w:p w14:paraId="679D03D0" w14:textId="77777777" w:rsidR="00791FA2" w:rsidRPr="00791FA2" w:rsidRDefault="00791FA2" w:rsidP="00791FA2">
      <w:pPr>
        <w:jc w:val="both"/>
        <w:rPr>
          <w:rFonts w:ascii="Arial" w:hAnsi="Arial"/>
        </w:rPr>
      </w:pPr>
    </w:p>
    <w:p w14:paraId="0DA83D73" w14:textId="77777777" w:rsidR="00791FA2" w:rsidRPr="00791FA2" w:rsidRDefault="00791FA2" w:rsidP="00791FA2">
      <w:pPr>
        <w:jc w:val="both"/>
        <w:rPr>
          <w:rFonts w:ascii="Arial" w:hAnsi="Arial"/>
        </w:rPr>
      </w:pPr>
      <w:r w:rsidRPr="00791FA2">
        <w:rPr>
          <w:rFonts w:ascii="Arial" w:hAnsi="Arial"/>
        </w:rPr>
        <w:t>As a matter of statutory compliance, the Nodal Protocols must strictly conform to the parameters established by the Commission to ensure full consistency with 16 TAC § 25.65 and provide regulatory certainty for the market.</w:t>
      </w:r>
    </w:p>
    <w:p w14:paraId="0A4A1410" w14:textId="77777777" w:rsidR="00791FA2" w:rsidRPr="00791FA2" w:rsidRDefault="00791FA2" w:rsidP="00791FA2">
      <w:pPr>
        <w:jc w:val="both"/>
        <w:rPr>
          <w:rFonts w:ascii="Arial" w:hAnsi="Arial"/>
        </w:rPr>
      </w:pPr>
    </w:p>
    <w:p w14:paraId="4B787EBC" w14:textId="12BFDC42" w:rsidR="005505EF" w:rsidRDefault="00791FA2" w:rsidP="00791FA2">
      <w:pPr>
        <w:jc w:val="both"/>
        <w:rPr>
          <w:rFonts w:ascii="Arial" w:hAnsi="Arial"/>
        </w:rPr>
      </w:pPr>
      <w:r w:rsidRPr="00791FA2">
        <w:rPr>
          <w:rFonts w:ascii="Arial" w:hAnsi="Arial"/>
        </w:rPr>
        <w:t>We appreciate the opportunity to file comments on NPRR1328 and look forward to continuing to work with ERCOT and Stakeholders on these important matters.</w:t>
      </w:r>
    </w:p>
    <w:p w14:paraId="4F56C49B" w14:textId="77777777" w:rsidR="00791FA2" w:rsidRPr="00791FA2" w:rsidRDefault="00791FA2" w:rsidP="00791FA2">
      <w:pPr>
        <w:jc w:val="both"/>
        <w:rPr>
          <w:rFonts w:ascii="Arial" w:hAnsi="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D7258" w14:paraId="6659B376" w14:textId="77777777" w:rsidTr="00B5080A">
        <w:trPr>
          <w:trHeight w:val="350"/>
        </w:trPr>
        <w:tc>
          <w:tcPr>
            <w:tcW w:w="10440" w:type="dxa"/>
            <w:tcBorders>
              <w:bottom w:val="single" w:sz="4" w:space="0" w:color="auto"/>
            </w:tcBorders>
            <w:shd w:val="clear" w:color="auto" w:fill="FFFFFF"/>
            <w:vAlign w:val="center"/>
          </w:tcPr>
          <w:p w14:paraId="196F854E" w14:textId="77777777" w:rsidR="00BD7258" w:rsidRDefault="00BD7258" w:rsidP="00B5080A">
            <w:pPr>
              <w:pStyle w:val="Header"/>
              <w:jc w:val="center"/>
            </w:pPr>
            <w:r>
              <w:t>Revised Cover Page Language</w:t>
            </w:r>
          </w:p>
        </w:tc>
      </w:tr>
    </w:tbl>
    <w:p w14:paraId="73A7B0F5" w14:textId="55AB9F21" w:rsidR="00BD7258" w:rsidRDefault="00FC4EDB" w:rsidP="00FC4EDB">
      <w:pPr>
        <w:pStyle w:val="NormalArial"/>
        <w:spacing w:before="120" w:after="120"/>
      </w:pPr>
      <w:r>
        <w:t>None</w:t>
      </w:r>
      <w:r w:rsidR="00791FA2">
        <w:t xml:space="preserve"> </w:t>
      </w:r>
      <w:proofErr w:type="gramStart"/>
      <w:r w:rsidR="00791FA2">
        <w:t>at this time</w:t>
      </w:r>
      <w:proofErr w:type="gramEnd"/>
      <w:r w:rsidR="00791FA2">
        <w:t>.</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44FF1B02" w14:textId="77777777">
        <w:trPr>
          <w:trHeight w:val="350"/>
        </w:trPr>
        <w:tc>
          <w:tcPr>
            <w:tcW w:w="10440" w:type="dxa"/>
            <w:tcBorders>
              <w:bottom w:val="single" w:sz="4" w:space="0" w:color="auto"/>
            </w:tcBorders>
            <w:shd w:val="clear" w:color="auto" w:fill="FFFFFF"/>
            <w:vAlign w:val="center"/>
          </w:tcPr>
          <w:p w14:paraId="033C8D23" w14:textId="77777777" w:rsidR="00152993" w:rsidRDefault="00152993">
            <w:pPr>
              <w:pStyle w:val="Header"/>
              <w:jc w:val="center"/>
            </w:pPr>
            <w:r>
              <w:t>Revised Proposed Protocol Language</w:t>
            </w:r>
          </w:p>
        </w:tc>
      </w:tr>
    </w:tbl>
    <w:p w14:paraId="5C9D767D" w14:textId="70D998BB" w:rsidR="00152993" w:rsidRDefault="00791FA2" w:rsidP="00791FA2">
      <w:pPr>
        <w:pStyle w:val="NormalArial"/>
        <w:spacing w:before="120" w:after="120"/>
      </w:pPr>
      <w:r>
        <w:t xml:space="preserve">None </w:t>
      </w:r>
      <w:proofErr w:type="gramStart"/>
      <w:r>
        <w:t>at this time</w:t>
      </w:r>
      <w:proofErr w:type="gramEnd"/>
      <w:r>
        <w:t>.</w:t>
      </w:r>
    </w:p>
    <w:sectPr w:rsidR="00152993" w:rsidSect="0074209E">
      <w:headerReference w:type="default" r:id="rId13"/>
      <w:footerReference w:type="defaul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5D56B" w14:textId="77777777" w:rsidR="008F0FED" w:rsidRDefault="008F0FED">
      <w:r>
        <w:separator/>
      </w:r>
    </w:p>
  </w:endnote>
  <w:endnote w:type="continuationSeparator" w:id="0">
    <w:p w14:paraId="2C2D092C" w14:textId="77777777" w:rsidR="008F0FED" w:rsidRDefault="008F0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6CB30" w14:textId="79113B04" w:rsidR="00EE6681" w:rsidRDefault="00604512" w:rsidP="0074209E">
    <w:pPr>
      <w:pStyle w:val="Footer"/>
      <w:tabs>
        <w:tab w:val="clear" w:pos="4320"/>
        <w:tab w:val="clear" w:pos="8640"/>
        <w:tab w:val="right" w:pos="9360"/>
      </w:tabs>
      <w:rPr>
        <w:rFonts w:ascii="Arial" w:hAnsi="Arial"/>
        <w:sz w:val="18"/>
      </w:rPr>
    </w:pPr>
    <w:r>
      <w:rPr>
        <w:rFonts w:ascii="Arial" w:hAnsi="Arial"/>
        <w:sz w:val="18"/>
      </w:rPr>
      <w:fldChar w:fldCharType="begin"/>
    </w:r>
    <w:r>
      <w:rPr>
        <w:rFonts w:ascii="Arial" w:hAnsi="Arial"/>
        <w:sz w:val="18"/>
      </w:rPr>
      <w:instrText xml:space="preserve"> FILENAME   \* MERGEFORMAT </w:instrText>
    </w:r>
    <w:r>
      <w:rPr>
        <w:rFonts w:ascii="Arial" w:hAnsi="Arial"/>
        <w:sz w:val="18"/>
      </w:rPr>
      <w:fldChar w:fldCharType="separate"/>
    </w:r>
    <w:r w:rsidR="0081142B">
      <w:rPr>
        <w:rFonts w:ascii="Arial" w:hAnsi="Arial"/>
        <w:noProof/>
        <w:sz w:val="18"/>
      </w:rPr>
      <w:t>1328NPRR-11 APA and ACP Comments 062226</w:t>
    </w:r>
    <w:r>
      <w:rPr>
        <w:rFonts w:ascii="Arial" w:hAnsi="Arial"/>
        <w:sz w:val="18"/>
      </w:rPr>
      <w:fldChar w:fldCharType="end"/>
    </w:r>
    <w:r w:rsidR="00EE6681">
      <w:rPr>
        <w:rFonts w:ascii="Arial" w:hAnsi="Arial"/>
        <w:sz w:val="18"/>
      </w:rPr>
      <w:tab/>
      <w:t xml:space="preserve">Page </w:t>
    </w:r>
    <w:r w:rsidR="00EE6681">
      <w:rPr>
        <w:rFonts w:ascii="Arial" w:hAnsi="Arial"/>
        <w:sz w:val="18"/>
      </w:rPr>
      <w:fldChar w:fldCharType="begin"/>
    </w:r>
    <w:r w:rsidR="00EE6681">
      <w:rPr>
        <w:rFonts w:ascii="Arial" w:hAnsi="Arial"/>
        <w:sz w:val="18"/>
      </w:rPr>
      <w:instrText xml:space="preserve"> PAGE </w:instrText>
    </w:r>
    <w:r w:rsidR="00EE6681">
      <w:rPr>
        <w:rFonts w:ascii="Arial" w:hAnsi="Arial"/>
        <w:sz w:val="18"/>
      </w:rPr>
      <w:fldChar w:fldCharType="separate"/>
    </w:r>
    <w:r>
      <w:rPr>
        <w:rFonts w:ascii="Arial" w:hAnsi="Arial"/>
        <w:noProof/>
        <w:sz w:val="18"/>
      </w:rPr>
      <w:t>1</w:t>
    </w:r>
    <w:r w:rsidR="00EE6681">
      <w:rPr>
        <w:rFonts w:ascii="Arial" w:hAnsi="Arial"/>
        <w:sz w:val="18"/>
      </w:rPr>
      <w:fldChar w:fldCharType="end"/>
    </w:r>
    <w:r w:rsidR="00EE6681">
      <w:rPr>
        <w:rFonts w:ascii="Arial" w:hAnsi="Arial"/>
        <w:sz w:val="18"/>
      </w:rPr>
      <w:t xml:space="preserve"> of </w:t>
    </w:r>
    <w:r w:rsidR="00EE6681">
      <w:rPr>
        <w:rFonts w:ascii="Arial" w:hAnsi="Arial"/>
        <w:sz w:val="18"/>
      </w:rPr>
      <w:fldChar w:fldCharType="begin"/>
    </w:r>
    <w:r w:rsidR="00EE6681">
      <w:rPr>
        <w:rFonts w:ascii="Arial" w:hAnsi="Arial"/>
        <w:sz w:val="18"/>
      </w:rPr>
      <w:instrText xml:space="preserve"> NUMPAGES </w:instrText>
    </w:r>
    <w:r w:rsidR="00EE6681">
      <w:rPr>
        <w:rFonts w:ascii="Arial" w:hAnsi="Arial"/>
        <w:sz w:val="18"/>
      </w:rPr>
      <w:fldChar w:fldCharType="separate"/>
    </w:r>
    <w:r>
      <w:rPr>
        <w:rFonts w:ascii="Arial" w:hAnsi="Arial"/>
        <w:noProof/>
        <w:sz w:val="18"/>
      </w:rPr>
      <w:t>1</w:t>
    </w:r>
    <w:r w:rsidR="00EE6681">
      <w:rPr>
        <w:rFonts w:ascii="Arial" w:hAnsi="Arial"/>
        <w:sz w:val="18"/>
      </w:rPr>
      <w:fldChar w:fldCharType="end"/>
    </w:r>
  </w:p>
  <w:p w14:paraId="37DDA0B1" w14:textId="77777777" w:rsidR="00EE6681" w:rsidRDefault="00EE6681"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85E64" w14:textId="77777777" w:rsidR="008F0FED" w:rsidRDefault="008F0FED">
      <w:r>
        <w:separator/>
      </w:r>
    </w:p>
  </w:footnote>
  <w:footnote w:type="continuationSeparator" w:id="0">
    <w:p w14:paraId="06E43F26" w14:textId="77777777" w:rsidR="008F0FED" w:rsidRDefault="008F0FED">
      <w:r>
        <w:continuationSeparator/>
      </w:r>
    </w:p>
  </w:footnote>
  <w:footnote w:id="1">
    <w:p w14:paraId="59FF2DF1" w14:textId="77777777" w:rsidR="00791FA2" w:rsidRPr="00CE5FF4" w:rsidRDefault="00791FA2" w:rsidP="00791FA2">
      <w:pPr>
        <w:pStyle w:val="FootnoteText"/>
        <w:rPr>
          <w:rFonts w:ascii="Arial" w:hAnsi="Arial" w:cs="Arial"/>
        </w:rPr>
      </w:pPr>
      <w:r>
        <w:rPr>
          <w:rStyle w:val="FootnoteReference"/>
        </w:rPr>
        <w:footnoteRef/>
      </w:r>
      <w:r>
        <w:t xml:space="preserve"> </w:t>
      </w:r>
      <w:r w:rsidRPr="00CE5FF4">
        <w:rPr>
          <w:rFonts w:ascii="Arial" w:hAnsi="Arial" w:cs="Arial"/>
        </w:rPr>
        <w:t xml:space="preserve">PUCT Project No. 58198, Rulemaking to Implement Firming Reliability Requirements for Electric Generating Facilities in the ERCOT Region Under PURA §39.1592, Order Adopting New 16 TAC §25.65 (December 18, 2025) (“Firming Rule”) which can be accessed at </w:t>
      </w:r>
      <w:hyperlink r:id="rId1" w:history="1">
        <w:r w:rsidRPr="00CE5FF4">
          <w:rPr>
            <w:rStyle w:val="Hyperlink"/>
            <w:rFonts w:ascii="Arial" w:hAnsi="Arial" w:cs="Arial"/>
          </w:rPr>
          <w:t>https://interchange.puc.texas.gov/search/documents/?controlNumber=58198&amp;itemNumber=77</w:t>
        </w:r>
      </w:hyperlink>
      <w:r w:rsidRPr="00CE5FF4">
        <w:rPr>
          <w:rFonts w:ascii="Arial" w:hAnsi="Arial" w:cs="Arial"/>
        </w:rPr>
        <w:t xml:space="preserve">. </w:t>
      </w:r>
    </w:p>
  </w:footnote>
  <w:footnote w:id="2">
    <w:p w14:paraId="2D92661F" w14:textId="77777777" w:rsidR="00791FA2" w:rsidRPr="00CE5FF4" w:rsidRDefault="00791FA2" w:rsidP="00791FA2">
      <w:pPr>
        <w:pStyle w:val="FootnoteText"/>
        <w:rPr>
          <w:rFonts w:ascii="Arial" w:hAnsi="Arial" w:cs="Arial"/>
        </w:rPr>
      </w:pPr>
      <w:r w:rsidRPr="00CE5FF4">
        <w:rPr>
          <w:rStyle w:val="FootnoteReference"/>
          <w:rFonts w:ascii="Arial" w:hAnsi="Arial" w:cs="Arial"/>
        </w:rPr>
        <w:footnoteRef/>
      </w:r>
      <w:r w:rsidRPr="00CE5FF4">
        <w:rPr>
          <w:rFonts w:ascii="Arial" w:hAnsi="Arial" w:cs="Arial"/>
        </w:rPr>
        <w:t xml:space="preserve"> 16 TAC §25.65 (f)(2)(C).</w:t>
      </w:r>
    </w:p>
  </w:footnote>
  <w:footnote w:id="3">
    <w:p w14:paraId="6464787E" w14:textId="77777777" w:rsidR="00791FA2" w:rsidRPr="00805548" w:rsidRDefault="00791FA2" w:rsidP="00791FA2">
      <w:pPr>
        <w:pStyle w:val="FootnoteText"/>
        <w:rPr>
          <w:rFonts w:ascii="Arial" w:hAnsi="Arial" w:cs="Arial"/>
        </w:rPr>
      </w:pPr>
      <w:r>
        <w:rPr>
          <w:rStyle w:val="FootnoteReference"/>
        </w:rPr>
        <w:footnoteRef/>
      </w:r>
      <w:r>
        <w:t xml:space="preserve"> </w:t>
      </w:r>
      <w:r w:rsidRPr="00805548">
        <w:rPr>
          <w:rFonts w:ascii="Arial" w:hAnsi="Arial" w:cs="Arial"/>
        </w:rPr>
        <w:t>ERCOT, “NERC 2025 Probabilistic Assessment,” (October 24, 2025), presented at the Supply Analysis Working Group.</w:t>
      </w:r>
    </w:p>
  </w:footnote>
  <w:footnote w:id="4">
    <w:p w14:paraId="7D6F73AE" w14:textId="77777777" w:rsidR="00791FA2" w:rsidRPr="00805548" w:rsidRDefault="00791FA2" w:rsidP="00791FA2">
      <w:pPr>
        <w:pStyle w:val="FootnoteText"/>
        <w:rPr>
          <w:rFonts w:ascii="Arial" w:hAnsi="Arial" w:cs="Arial"/>
        </w:rPr>
      </w:pPr>
      <w:r>
        <w:rPr>
          <w:rStyle w:val="FootnoteReference"/>
        </w:rPr>
        <w:footnoteRef/>
      </w:r>
      <w:r>
        <w:t xml:space="preserve"> </w:t>
      </w:r>
      <w:r w:rsidRPr="00805548">
        <w:rPr>
          <w:rFonts w:ascii="Arial" w:hAnsi="Arial" w:cs="Arial"/>
        </w:rPr>
        <w:t xml:space="preserve">For example, see the July 2026 MORA Report at </w:t>
      </w:r>
      <w:hyperlink r:id="rId2" w:history="1">
        <w:r w:rsidRPr="0012046E">
          <w:rPr>
            <w:rStyle w:val="Hyperlink"/>
            <w:rFonts w:ascii="Arial" w:hAnsi="Arial" w:cs="Arial"/>
          </w:rPr>
          <w:t>https://www.ercot.com/files/docs/2026/05/01/MORA_July2026.pdf</w:t>
        </w:r>
      </w:hyperlink>
      <w:r>
        <w:rPr>
          <w:rFonts w:ascii="Arial" w:hAnsi="Arial" w:cs="Arial"/>
        </w:rPr>
        <w:t xml:space="preserve">. </w:t>
      </w:r>
    </w:p>
  </w:footnote>
  <w:footnote w:id="5">
    <w:p w14:paraId="37B5C85B" w14:textId="77777777" w:rsidR="00791FA2" w:rsidRPr="00C80062" w:rsidRDefault="00791FA2" w:rsidP="00791FA2">
      <w:pPr>
        <w:pStyle w:val="FootnoteText"/>
        <w:rPr>
          <w:rFonts w:ascii="Arial" w:hAnsi="Arial" w:cs="Arial"/>
        </w:rPr>
      </w:pPr>
      <w:r w:rsidRPr="00C80062">
        <w:rPr>
          <w:rStyle w:val="FootnoteReference"/>
          <w:rFonts w:ascii="Arial" w:hAnsi="Arial" w:cs="Arial"/>
        </w:rPr>
        <w:footnoteRef/>
      </w:r>
      <w:r w:rsidRPr="00C80062">
        <w:rPr>
          <w:rFonts w:ascii="Arial" w:hAnsi="Arial" w:cs="Arial"/>
        </w:rPr>
        <w:t xml:space="preserve"> PUCT Project No. 58777, Triennial Reliability Assessment for the ERCOT Region Under 25.508. See, Staff Recommendation at 10 which can be accessed at </w:t>
      </w:r>
      <w:hyperlink r:id="rId3" w:history="1">
        <w:r w:rsidRPr="00C80062">
          <w:rPr>
            <w:rStyle w:val="Hyperlink"/>
            <w:rFonts w:ascii="Arial" w:hAnsi="Arial" w:cs="Arial"/>
          </w:rPr>
          <w:t>https://interchange.puc.texas.gov/Documents/58777_37_1619958.PDF</w:t>
        </w:r>
      </w:hyperlink>
      <w:r w:rsidRPr="00C80062">
        <w:rPr>
          <w:rFonts w:ascii="Arial" w:hAnsi="Arial" w:cs="Arial"/>
        </w:rPr>
        <w:t xml:space="preserve">. The PUCT gave guidance to ERCOT to include this recommendation in its modeling during the April 17 Open Meeting.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BAE8D" w14:textId="77777777" w:rsidR="00EE6681" w:rsidRDefault="00EE6681">
    <w:pPr>
      <w:pStyle w:val="Header"/>
      <w:jc w:val="center"/>
      <w:rPr>
        <w:sz w:val="32"/>
      </w:rPr>
    </w:pPr>
    <w:r>
      <w:rPr>
        <w:sz w:val="32"/>
      </w:rPr>
      <w:t>NPRR Comments</w:t>
    </w:r>
  </w:p>
  <w:p w14:paraId="4A342B11" w14:textId="77777777" w:rsidR="00EE6681" w:rsidRDefault="00EE6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FC6B714"/>
    <w:lvl w:ilvl="0">
      <w:start w:val="1"/>
      <w:numFmt w:val="decimal"/>
      <w:pStyle w:val="ListNumber"/>
      <w:lvlText w:val="%1."/>
      <w:lvlJc w:val="left"/>
      <w:pPr>
        <w:tabs>
          <w:tab w:val="num" w:pos="360"/>
        </w:tabs>
        <w:ind w:left="360" w:hanging="360"/>
      </w:pPr>
    </w:lvl>
  </w:abstractNum>
  <w:abstractNum w:abstractNumId="1"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3" w15:restartNumberingAfterBreak="0">
    <w:nsid w:val="038410AA"/>
    <w:multiLevelType w:val="hybridMultilevel"/>
    <w:tmpl w:val="DEFE62FE"/>
    <w:lvl w:ilvl="0" w:tplc="14987B6C">
      <w:start w:val="1"/>
      <w:numFmt w:val="decimal"/>
      <w:lvlText w:val="(%1)"/>
      <w:lvlJc w:val="left"/>
      <w:pPr>
        <w:ind w:left="720" w:hanging="360"/>
      </w:pPr>
      <w:rPr>
        <w:rFonts w:hint="default"/>
      </w:rPr>
    </w:lvl>
    <w:lvl w:ilvl="1" w:tplc="427271E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F7379D"/>
    <w:multiLevelType w:val="hybridMultilevel"/>
    <w:tmpl w:val="28DE5AD2"/>
    <w:lvl w:ilvl="0" w:tplc="0128B3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327A8F"/>
    <w:multiLevelType w:val="hybridMultilevel"/>
    <w:tmpl w:val="1AE2C16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3523B1"/>
    <w:multiLevelType w:val="hybridMultilevel"/>
    <w:tmpl w:val="B62C4636"/>
    <w:lvl w:ilvl="0" w:tplc="2BCA5F7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F153FCD"/>
    <w:multiLevelType w:val="hybridMultilevel"/>
    <w:tmpl w:val="6762A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FC1EB6"/>
    <w:multiLevelType w:val="hybridMultilevel"/>
    <w:tmpl w:val="3C76C5CE"/>
    <w:lvl w:ilvl="0" w:tplc="3230B37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AD2187"/>
    <w:multiLevelType w:val="hybridMultilevel"/>
    <w:tmpl w:val="A1F482B4"/>
    <w:lvl w:ilvl="0" w:tplc="0A6AD8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2770F7"/>
    <w:multiLevelType w:val="hybridMultilevel"/>
    <w:tmpl w:val="89ECA9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75F42EE"/>
    <w:multiLevelType w:val="hybridMultilevel"/>
    <w:tmpl w:val="15B2AE54"/>
    <w:lvl w:ilvl="0" w:tplc="E25A3F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346D5B"/>
    <w:multiLevelType w:val="hybridMultilevel"/>
    <w:tmpl w:val="64B854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DD08C1"/>
    <w:multiLevelType w:val="hybridMultilevel"/>
    <w:tmpl w:val="AD506B04"/>
    <w:lvl w:ilvl="0" w:tplc="9D1A9834">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4F15EB3"/>
    <w:multiLevelType w:val="hybridMultilevel"/>
    <w:tmpl w:val="751407F6"/>
    <w:lvl w:ilvl="0" w:tplc="0ACEC1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3114FA"/>
    <w:multiLevelType w:val="hybridMultilevel"/>
    <w:tmpl w:val="78C45FDA"/>
    <w:lvl w:ilvl="0" w:tplc="7A047B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1224C7"/>
    <w:multiLevelType w:val="hybridMultilevel"/>
    <w:tmpl w:val="1694A510"/>
    <w:lvl w:ilvl="0" w:tplc="6E148C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CA128F"/>
    <w:multiLevelType w:val="hybridMultilevel"/>
    <w:tmpl w:val="B0F055B8"/>
    <w:lvl w:ilvl="0" w:tplc="66F4FD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46622E"/>
    <w:multiLevelType w:val="hybridMultilevel"/>
    <w:tmpl w:val="158CDB54"/>
    <w:lvl w:ilvl="0" w:tplc="0C1289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F67DFF"/>
    <w:multiLevelType w:val="hybridMultilevel"/>
    <w:tmpl w:val="0D68A89C"/>
    <w:lvl w:ilvl="0" w:tplc="70D2A91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547005"/>
    <w:multiLevelType w:val="hybridMultilevel"/>
    <w:tmpl w:val="918E7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160864"/>
    <w:multiLevelType w:val="hybridMultilevel"/>
    <w:tmpl w:val="11206248"/>
    <w:lvl w:ilvl="0" w:tplc="427271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95F0656"/>
    <w:multiLevelType w:val="hybridMultilevel"/>
    <w:tmpl w:val="044C435C"/>
    <w:lvl w:ilvl="0" w:tplc="0EF64504">
      <w:start w:val="2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215601"/>
    <w:multiLevelType w:val="hybridMultilevel"/>
    <w:tmpl w:val="33D6E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7F1322"/>
    <w:multiLevelType w:val="hybridMultilevel"/>
    <w:tmpl w:val="89201F56"/>
    <w:lvl w:ilvl="0" w:tplc="14987B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A51584"/>
    <w:multiLevelType w:val="hybridMultilevel"/>
    <w:tmpl w:val="96BAEB4C"/>
    <w:lvl w:ilvl="0" w:tplc="60D67276">
      <w:start w:val="1"/>
      <w:numFmt w:val="decimal"/>
      <w:lvlText w:val="%1."/>
      <w:lvlJc w:val="left"/>
      <w:pPr>
        <w:ind w:left="430" w:hanging="36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29" w15:restartNumberingAfterBreak="0">
    <w:nsid w:val="5B0517B6"/>
    <w:multiLevelType w:val="hybridMultilevel"/>
    <w:tmpl w:val="D932F23A"/>
    <w:lvl w:ilvl="0" w:tplc="DF14A8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F521E78"/>
    <w:multiLevelType w:val="hybridMultilevel"/>
    <w:tmpl w:val="1694A5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F7F67F5"/>
    <w:multiLevelType w:val="hybridMultilevel"/>
    <w:tmpl w:val="849CE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C81696"/>
    <w:multiLevelType w:val="hybridMultilevel"/>
    <w:tmpl w:val="69DEF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1C7D14"/>
    <w:multiLevelType w:val="hybridMultilevel"/>
    <w:tmpl w:val="89ECA932"/>
    <w:lvl w:ilvl="0" w:tplc="14987B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6"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6DCC6F9A"/>
    <w:multiLevelType w:val="hybridMultilevel"/>
    <w:tmpl w:val="6986CF46"/>
    <w:lvl w:ilvl="0" w:tplc="000C24C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4470ED"/>
    <w:multiLevelType w:val="hybridMultilevel"/>
    <w:tmpl w:val="D4729834"/>
    <w:lvl w:ilvl="0" w:tplc="1DCA4B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922C0D"/>
    <w:multiLevelType w:val="hybridMultilevel"/>
    <w:tmpl w:val="DF461AC0"/>
    <w:lvl w:ilvl="0" w:tplc="D49AD7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601755"/>
    <w:multiLevelType w:val="hybridMultilevel"/>
    <w:tmpl w:val="B02E85AE"/>
    <w:lvl w:ilvl="0" w:tplc="F42CBB6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76AD2D8F"/>
    <w:multiLevelType w:val="hybridMultilevel"/>
    <w:tmpl w:val="6B30B0A0"/>
    <w:lvl w:ilvl="0" w:tplc="4400338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3E65F6"/>
    <w:multiLevelType w:val="hybridMultilevel"/>
    <w:tmpl w:val="778CA1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0560280">
    <w:abstractNumId w:val="1"/>
  </w:num>
  <w:num w:numId="2" w16cid:durableId="360522153">
    <w:abstractNumId w:val="43"/>
  </w:num>
  <w:num w:numId="3" w16cid:durableId="143594134">
    <w:abstractNumId w:val="45"/>
  </w:num>
  <w:num w:numId="4" w16cid:durableId="776101620">
    <w:abstractNumId w:val="2"/>
  </w:num>
  <w:num w:numId="5" w16cid:durableId="1870678322">
    <w:abstractNumId w:val="15"/>
  </w:num>
  <w:num w:numId="6" w16cid:durableId="1252737560">
    <w:abstractNumId w:val="35"/>
  </w:num>
  <w:num w:numId="7" w16cid:durableId="1652709098">
    <w:abstractNumId w:val="37"/>
  </w:num>
  <w:num w:numId="8" w16cid:durableId="411700666">
    <w:abstractNumId w:val="42"/>
  </w:num>
  <w:num w:numId="9" w16cid:durableId="982075448">
    <w:abstractNumId w:val="18"/>
  </w:num>
  <w:num w:numId="10" w16cid:durableId="1451362078">
    <w:abstractNumId w:val="36"/>
  </w:num>
  <w:num w:numId="11" w16cid:durableId="842551838">
    <w:abstractNumId w:val="9"/>
  </w:num>
  <w:num w:numId="12" w16cid:durableId="542642719">
    <w:abstractNumId w:val="12"/>
  </w:num>
  <w:num w:numId="13" w16cid:durableId="1883858040">
    <w:abstractNumId w:val="16"/>
  </w:num>
  <w:num w:numId="14" w16cid:durableId="203031869">
    <w:abstractNumId w:val="21"/>
  </w:num>
  <w:num w:numId="15" w16cid:durableId="677316269">
    <w:abstractNumId w:val="24"/>
  </w:num>
  <w:num w:numId="16" w16cid:durableId="1111512123">
    <w:abstractNumId w:val="17"/>
  </w:num>
  <w:num w:numId="17" w16cid:durableId="303195617">
    <w:abstractNumId w:val="20"/>
  </w:num>
  <w:num w:numId="18" w16cid:durableId="862205828">
    <w:abstractNumId w:val="40"/>
  </w:num>
  <w:num w:numId="19" w16cid:durableId="1900749386">
    <w:abstractNumId w:val="3"/>
  </w:num>
  <w:num w:numId="20" w16cid:durableId="620964855">
    <w:abstractNumId w:val="19"/>
  </w:num>
  <w:num w:numId="21" w16cid:durableId="1812743270">
    <w:abstractNumId w:val="6"/>
  </w:num>
  <w:num w:numId="22" w16cid:durableId="848526600">
    <w:abstractNumId w:val="39"/>
  </w:num>
  <w:num w:numId="23" w16cid:durableId="1618945375">
    <w:abstractNumId w:val="29"/>
  </w:num>
  <w:num w:numId="24" w16cid:durableId="1597640377">
    <w:abstractNumId w:val="8"/>
  </w:num>
  <w:num w:numId="25" w16cid:durableId="2041081235">
    <w:abstractNumId w:val="31"/>
  </w:num>
  <w:num w:numId="26" w16cid:durableId="1758408174">
    <w:abstractNumId w:val="22"/>
  </w:num>
  <w:num w:numId="27" w16cid:durableId="1281913584">
    <w:abstractNumId w:val="27"/>
  </w:num>
  <w:num w:numId="28" w16cid:durableId="937181595">
    <w:abstractNumId w:val="34"/>
  </w:num>
  <w:num w:numId="29" w16cid:durableId="124394031">
    <w:abstractNumId w:val="4"/>
  </w:num>
  <w:num w:numId="30" w16cid:durableId="617183322">
    <w:abstractNumId w:val="44"/>
  </w:num>
  <w:num w:numId="31" w16cid:durableId="1531258562">
    <w:abstractNumId w:val="41"/>
  </w:num>
  <w:num w:numId="32" w16cid:durableId="571744734">
    <w:abstractNumId w:val="38"/>
  </w:num>
  <w:num w:numId="33" w16cid:durableId="1774470002">
    <w:abstractNumId w:val="11"/>
  </w:num>
  <w:num w:numId="34" w16cid:durableId="707728976">
    <w:abstractNumId w:val="30"/>
  </w:num>
  <w:num w:numId="35" w16cid:durableId="1076634256">
    <w:abstractNumId w:val="0"/>
  </w:num>
  <w:num w:numId="36" w16cid:durableId="1394040448">
    <w:abstractNumId w:val="26"/>
  </w:num>
  <w:num w:numId="37" w16cid:durableId="981035069">
    <w:abstractNumId w:val="13"/>
  </w:num>
  <w:num w:numId="38" w16cid:durableId="719090058">
    <w:abstractNumId w:val="5"/>
  </w:num>
  <w:num w:numId="39" w16cid:durableId="243498274">
    <w:abstractNumId w:val="33"/>
  </w:num>
  <w:num w:numId="40" w16cid:durableId="39399928">
    <w:abstractNumId w:val="28"/>
  </w:num>
  <w:num w:numId="41" w16cid:durableId="1546872680">
    <w:abstractNumId w:val="32"/>
  </w:num>
  <w:num w:numId="42" w16cid:durableId="137307883">
    <w:abstractNumId w:val="23"/>
  </w:num>
  <w:num w:numId="43" w16cid:durableId="1265764362">
    <w:abstractNumId w:val="10"/>
  </w:num>
  <w:num w:numId="44" w16cid:durableId="1227954652">
    <w:abstractNumId w:val="7"/>
  </w:num>
  <w:num w:numId="45" w16cid:durableId="1414742642">
    <w:abstractNumId w:val="14"/>
  </w:num>
  <w:num w:numId="46" w16cid:durableId="125790230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005B9"/>
    <w:rsid w:val="00004B1D"/>
    <w:rsid w:val="00012993"/>
    <w:rsid w:val="00015439"/>
    <w:rsid w:val="000264E4"/>
    <w:rsid w:val="0003063C"/>
    <w:rsid w:val="00032052"/>
    <w:rsid w:val="000337DE"/>
    <w:rsid w:val="00034C7A"/>
    <w:rsid w:val="00037554"/>
    <w:rsid w:val="00037668"/>
    <w:rsid w:val="000414D9"/>
    <w:rsid w:val="00041FA7"/>
    <w:rsid w:val="00042765"/>
    <w:rsid w:val="00047D89"/>
    <w:rsid w:val="00054016"/>
    <w:rsid w:val="00054B6C"/>
    <w:rsid w:val="00056C1C"/>
    <w:rsid w:val="00057C89"/>
    <w:rsid w:val="0006128A"/>
    <w:rsid w:val="00062FCC"/>
    <w:rsid w:val="000747EB"/>
    <w:rsid w:val="00075A94"/>
    <w:rsid w:val="00083706"/>
    <w:rsid w:val="000915A8"/>
    <w:rsid w:val="000A12CE"/>
    <w:rsid w:val="000A6196"/>
    <w:rsid w:val="000B0676"/>
    <w:rsid w:val="000B3E47"/>
    <w:rsid w:val="000B6B77"/>
    <w:rsid w:val="000C2969"/>
    <w:rsid w:val="000C5A61"/>
    <w:rsid w:val="000C7FA7"/>
    <w:rsid w:val="000D1E31"/>
    <w:rsid w:val="000D24F4"/>
    <w:rsid w:val="000E024F"/>
    <w:rsid w:val="000E14E5"/>
    <w:rsid w:val="000E68D4"/>
    <w:rsid w:val="000F1FE2"/>
    <w:rsid w:val="000F2D3D"/>
    <w:rsid w:val="000F3A49"/>
    <w:rsid w:val="000F3C3E"/>
    <w:rsid w:val="000F4442"/>
    <w:rsid w:val="000F47DE"/>
    <w:rsid w:val="00106834"/>
    <w:rsid w:val="00110980"/>
    <w:rsid w:val="001119A2"/>
    <w:rsid w:val="001133A0"/>
    <w:rsid w:val="00123222"/>
    <w:rsid w:val="00131CC4"/>
    <w:rsid w:val="00132855"/>
    <w:rsid w:val="00134126"/>
    <w:rsid w:val="00136E7C"/>
    <w:rsid w:val="0014088F"/>
    <w:rsid w:val="00141F8D"/>
    <w:rsid w:val="00152993"/>
    <w:rsid w:val="00154801"/>
    <w:rsid w:val="001562C2"/>
    <w:rsid w:val="00156CBF"/>
    <w:rsid w:val="00164239"/>
    <w:rsid w:val="001648D6"/>
    <w:rsid w:val="001652C9"/>
    <w:rsid w:val="001673E6"/>
    <w:rsid w:val="00170297"/>
    <w:rsid w:val="001717A0"/>
    <w:rsid w:val="00171FAE"/>
    <w:rsid w:val="0018278D"/>
    <w:rsid w:val="00184D7C"/>
    <w:rsid w:val="00196BEF"/>
    <w:rsid w:val="001A21AE"/>
    <w:rsid w:val="001A227D"/>
    <w:rsid w:val="001A4848"/>
    <w:rsid w:val="001B5C3D"/>
    <w:rsid w:val="001C144B"/>
    <w:rsid w:val="001C4264"/>
    <w:rsid w:val="001C7A95"/>
    <w:rsid w:val="001C7DC3"/>
    <w:rsid w:val="001D7ADF"/>
    <w:rsid w:val="001E2032"/>
    <w:rsid w:val="001F218B"/>
    <w:rsid w:val="001F64DE"/>
    <w:rsid w:val="002011E3"/>
    <w:rsid w:val="00201E02"/>
    <w:rsid w:val="0021036A"/>
    <w:rsid w:val="002160DB"/>
    <w:rsid w:val="00216562"/>
    <w:rsid w:val="00222D6C"/>
    <w:rsid w:val="00224ACA"/>
    <w:rsid w:val="00224B3D"/>
    <w:rsid w:val="00226E55"/>
    <w:rsid w:val="00227641"/>
    <w:rsid w:val="0024054A"/>
    <w:rsid w:val="0024388C"/>
    <w:rsid w:val="00246B84"/>
    <w:rsid w:val="00256CF2"/>
    <w:rsid w:val="00264E20"/>
    <w:rsid w:val="00272F43"/>
    <w:rsid w:val="00274D6D"/>
    <w:rsid w:val="00281E9B"/>
    <w:rsid w:val="00283856"/>
    <w:rsid w:val="00286A20"/>
    <w:rsid w:val="002B1304"/>
    <w:rsid w:val="002B1F3F"/>
    <w:rsid w:val="002B3DF4"/>
    <w:rsid w:val="002B5A09"/>
    <w:rsid w:val="002C15A1"/>
    <w:rsid w:val="002C387F"/>
    <w:rsid w:val="002D26BD"/>
    <w:rsid w:val="002E01ED"/>
    <w:rsid w:val="002E1F6D"/>
    <w:rsid w:val="002F1BA5"/>
    <w:rsid w:val="002F3BF0"/>
    <w:rsid w:val="003010C0"/>
    <w:rsid w:val="003043C2"/>
    <w:rsid w:val="00306FC4"/>
    <w:rsid w:val="003079D8"/>
    <w:rsid w:val="00313A78"/>
    <w:rsid w:val="0031408C"/>
    <w:rsid w:val="00315537"/>
    <w:rsid w:val="00323636"/>
    <w:rsid w:val="003317BA"/>
    <w:rsid w:val="00332A97"/>
    <w:rsid w:val="00332F7B"/>
    <w:rsid w:val="00336800"/>
    <w:rsid w:val="003379F4"/>
    <w:rsid w:val="00342C72"/>
    <w:rsid w:val="003453AA"/>
    <w:rsid w:val="00346406"/>
    <w:rsid w:val="00346A75"/>
    <w:rsid w:val="00347213"/>
    <w:rsid w:val="00350C00"/>
    <w:rsid w:val="00357402"/>
    <w:rsid w:val="00360AD4"/>
    <w:rsid w:val="00361D0E"/>
    <w:rsid w:val="00366113"/>
    <w:rsid w:val="003676DC"/>
    <w:rsid w:val="00373EE7"/>
    <w:rsid w:val="00374B29"/>
    <w:rsid w:val="00380768"/>
    <w:rsid w:val="00386918"/>
    <w:rsid w:val="00391D2E"/>
    <w:rsid w:val="003A389F"/>
    <w:rsid w:val="003A61C0"/>
    <w:rsid w:val="003B4AA3"/>
    <w:rsid w:val="003C270C"/>
    <w:rsid w:val="003C7AFA"/>
    <w:rsid w:val="003D0994"/>
    <w:rsid w:val="003D26E4"/>
    <w:rsid w:val="003D68DC"/>
    <w:rsid w:val="003D6BAA"/>
    <w:rsid w:val="003F5CC3"/>
    <w:rsid w:val="003F6B80"/>
    <w:rsid w:val="00404114"/>
    <w:rsid w:val="0040643E"/>
    <w:rsid w:val="004107BA"/>
    <w:rsid w:val="00411D3A"/>
    <w:rsid w:val="0042243A"/>
    <w:rsid w:val="00423824"/>
    <w:rsid w:val="00426577"/>
    <w:rsid w:val="004321F7"/>
    <w:rsid w:val="00432283"/>
    <w:rsid w:val="0043567D"/>
    <w:rsid w:val="00435A09"/>
    <w:rsid w:val="00441AD4"/>
    <w:rsid w:val="0044539A"/>
    <w:rsid w:val="00447195"/>
    <w:rsid w:val="00450253"/>
    <w:rsid w:val="004516AB"/>
    <w:rsid w:val="004520B7"/>
    <w:rsid w:val="00454D49"/>
    <w:rsid w:val="004565E0"/>
    <w:rsid w:val="004608B5"/>
    <w:rsid w:val="0046238B"/>
    <w:rsid w:val="00462509"/>
    <w:rsid w:val="00472153"/>
    <w:rsid w:val="00472289"/>
    <w:rsid w:val="00473826"/>
    <w:rsid w:val="00477CC1"/>
    <w:rsid w:val="00485072"/>
    <w:rsid w:val="00494B43"/>
    <w:rsid w:val="00496E79"/>
    <w:rsid w:val="004974C7"/>
    <w:rsid w:val="00497D72"/>
    <w:rsid w:val="004A02FE"/>
    <w:rsid w:val="004A10AB"/>
    <w:rsid w:val="004A1316"/>
    <w:rsid w:val="004A3191"/>
    <w:rsid w:val="004B7B90"/>
    <w:rsid w:val="004C367D"/>
    <w:rsid w:val="004C5BA1"/>
    <w:rsid w:val="004D0F93"/>
    <w:rsid w:val="004D12E6"/>
    <w:rsid w:val="004D41B0"/>
    <w:rsid w:val="004D7605"/>
    <w:rsid w:val="004D76CF"/>
    <w:rsid w:val="004E18A3"/>
    <w:rsid w:val="004E264E"/>
    <w:rsid w:val="004E2C19"/>
    <w:rsid w:val="004E3C2C"/>
    <w:rsid w:val="004E7808"/>
    <w:rsid w:val="004E7F05"/>
    <w:rsid w:val="004F0A23"/>
    <w:rsid w:val="004F2B8E"/>
    <w:rsid w:val="00504753"/>
    <w:rsid w:val="0050544A"/>
    <w:rsid w:val="005071D3"/>
    <w:rsid w:val="005137E7"/>
    <w:rsid w:val="0051443F"/>
    <w:rsid w:val="00516EC9"/>
    <w:rsid w:val="00517A3A"/>
    <w:rsid w:val="00521BB7"/>
    <w:rsid w:val="0053222A"/>
    <w:rsid w:val="00532C61"/>
    <w:rsid w:val="00534BAA"/>
    <w:rsid w:val="0054138B"/>
    <w:rsid w:val="0054241F"/>
    <w:rsid w:val="00542600"/>
    <w:rsid w:val="005505EF"/>
    <w:rsid w:val="00553130"/>
    <w:rsid w:val="00553E0A"/>
    <w:rsid w:val="00556C86"/>
    <w:rsid w:val="0056307C"/>
    <w:rsid w:val="00563509"/>
    <w:rsid w:val="00571ECB"/>
    <w:rsid w:val="00572CE0"/>
    <w:rsid w:val="005734A1"/>
    <w:rsid w:val="0057400D"/>
    <w:rsid w:val="00577327"/>
    <w:rsid w:val="00591046"/>
    <w:rsid w:val="0059240E"/>
    <w:rsid w:val="00592C85"/>
    <w:rsid w:val="00595AD8"/>
    <w:rsid w:val="005975C0"/>
    <w:rsid w:val="005B1B75"/>
    <w:rsid w:val="005C1778"/>
    <w:rsid w:val="005C47D1"/>
    <w:rsid w:val="005D072E"/>
    <w:rsid w:val="005D284C"/>
    <w:rsid w:val="005D2E0A"/>
    <w:rsid w:val="005D3DE7"/>
    <w:rsid w:val="005D3F21"/>
    <w:rsid w:val="005D40C8"/>
    <w:rsid w:val="005D58FC"/>
    <w:rsid w:val="005E058B"/>
    <w:rsid w:val="005E75A3"/>
    <w:rsid w:val="005F31FB"/>
    <w:rsid w:val="005F7857"/>
    <w:rsid w:val="00601534"/>
    <w:rsid w:val="00604512"/>
    <w:rsid w:val="00610B14"/>
    <w:rsid w:val="00613EF6"/>
    <w:rsid w:val="00615675"/>
    <w:rsid w:val="00630607"/>
    <w:rsid w:val="00633E23"/>
    <w:rsid w:val="00650A52"/>
    <w:rsid w:val="00651DFF"/>
    <w:rsid w:val="006522B0"/>
    <w:rsid w:val="0065291C"/>
    <w:rsid w:val="006569EC"/>
    <w:rsid w:val="006569F2"/>
    <w:rsid w:val="00657BE7"/>
    <w:rsid w:val="006676CA"/>
    <w:rsid w:val="00667D94"/>
    <w:rsid w:val="006736FA"/>
    <w:rsid w:val="00673B94"/>
    <w:rsid w:val="00680AC6"/>
    <w:rsid w:val="006835D8"/>
    <w:rsid w:val="00684688"/>
    <w:rsid w:val="00690E1B"/>
    <w:rsid w:val="006962D5"/>
    <w:rsid w:val="006A1189"/>
    <w:rsid w:val="006A3AB2"/>
    <w:rsid w:val="006B3E51"/>
    <w:rsid w:val="006B6195"/>
    <w:rsid w:val="006B68E1"/>
    <w:rsid w:val="006C0332"/>
    <w:rsid w:val="006C130E"/>
    <w:rsid w:val="006C316E"/>
    <w:rsid w:val="006C38D1"/>
    <w:rsid w:val="006D0C75"/>
    <w:rsid w:val="006D0F7C"/>
    <w:rsid w:val="006D7A0B"/>
    <w:rsid w:val="006E6797"/>
    <w:rsid w:val="006E738A"/>
    <w:rsid w:val="006E7AFC"/>
    <w:rsid w:val="006F39B4"/>
    <w:rsid w:val="006F5057"/>
    <w:rsid w:val="006F682C"/>
    <w:rsid w:val="007159D9"/>
    <w:rsid w:val="00726853"/>
    <w:rsid w:val="007269C4"/>
    <w:rsid w:val="0072775B"/>
    <w:rsid w:val="00737D12"/>
    <w:rsid w:val="0074209E"/>
    <w:rsid w:val="0074510C"/>
    <w:rsid w:val="00747164"/>
    <w:rsid w:val="007508DB"/>
    <w:rsid w:val="0075448C"/>
    <w:rsid w:val="00760626"/>
    <w:rsid w:val="00761D6B"/>
    <w:rsid w:val="0076252D"/>
    <w:rsid w:val="00787EC3"/>
    <w:rsid w:val="00791FA2"/>
    <w:rsid w:val="007948B4"/>
    <w:rsid w:val="0079508F"/>
    <w:rsid w:val="00797D8D"/>
    <w:rsid w:val="00797F33"/>
    <w:rsid w:val="007A373B"/>
    <w:rsid w:val="007A5959"/>
    <w:rsid w:val="007B208A"/>
    <w:rsid w:val="007B48C1"/>
    <w:rsid w:val="007D0375"/>
    <w:rsid w:val="007D0B66"/>
    <w:rsid w:val="007D0C28"/>
    <w:rsid w:val="007D6D22"/>
    <w:rsid w:val="007D6F53"/>
    <w:rsid w:val="007D7AF5"/>
    <w:rsid w:val="007E51AA"/>
    <w:rsid w:val="007E65F0"/>
    <w:rsid w:val="007E7844"/>
    <w:rsid w:val="007F2CA8"/>
    <w:rsid w:val="007F38EB"/>
    <w:rsid w:val="007F669A"/>
    <w:rsid w:val="007F6A7D"/>
    <w:rsid w:val="007F7161"/>
    <w:rsid w:val="00802E05"/>
    <w:rsid w:val="0081142B"/>
    <w:rsid w:val="00825FD1"/>
    <w:rsid w:val="00827BDF"/>
    <w:rsid w:val="00830A48"/>
    <w:rsid w:val="0083369C"/>
    <w:rsid w:val="008405D5"/>
    <w:rsid w:val="00842EBC"/>
    <w:rsid w:val="0085302B"/>
    <w:rsid w:val="0085559E"/>
    <w:rsid w:val="0086041E"/>
    <w:rsid w:val="00860706"/>
    <w:rsid w:val="008644FC"/>
    <w:rsid w:val="008670AD"/>
    <w:rsid w:val="008700EC"/>
    <w:rsid w:val="00875E9F"/>
    <w:rsid w:val="00877E04"/>
    <w:rsid w:val="0088269D"/>
    <w:rsid w:val="008826ED"/>
    <w:rsid w:val="00884D3D"/>
    <w:rsid w:val="00886FCA"/>
    <w:rsid w:val="00890D91"/>
    <w:rsid w:val="00894289"/>
    <w:rsid w:val="00896B1B"/>
    <w:rsid w:val="00897CB7"/>
    <w:rsid w:val="008A3782"/>
    <w:rsid w:val="008A402C"/>
    <w:rsid w:val="008B28C1"/>
    <w:rsid w:val="008B2FDA"/>
    <w:rsid w:val="008B78CC"/>
    <w:rsid w:val="008C1353"/>
    <w:rsid w:val="008C4381"/>
    <w:rsid w:val="008C51A0"/>
    <w:rsid w:val="008D2BB7"/>
    <w:rsid w:val="008D7C36"/>
    <w:rsid w:val="008E559E"/>
    <w:rsid w:val="008E7D1B"/>
    <w:rsid w:val="008F01E3"/>
    <w:rsid w:val="008F0FED"/>
    <w:rsid w:val="008F282B"/>
    <w:rsid w:val="008F2C4C"/>
    <w:rsid w:val="008F5CAD"/>
    <w:rsid w:val="008F70A1"/>
    <w:rsid w:val="009012DD"/>
    <w:rsid w:val="009055E2"/>
    <w:rsid w:val="00906699"/>
    <w:rsid w:val="009133A8"/>
    <w:rsid w:val="00916080"/>
    <w:rsid w:val="0091732D"/>
    <w:rsid w:val="00921A68"/>
    <w:rsid w:val="009226BC"/>
    <w:rsid w:val="00926DD8"/>
    <w:rsid w:val="00930BBA"/>
    <w:rsid w:val="009310A6"/>
    <w:rsid w:val="00931799"/>
    <w:rsid w:val="0094310A"/>
    <w:rsid w:val="00952434"/>
    <w:rsid w:val="00954ABC"/>
    <w:rsid w:val="00955A4C"/>
    <w:rsid w:val="009570A9"/>
    <w:rsid w:val="00962158"/>
    <w:rsid w:val="00962867"/>
    <w:rsid w:val="0096573F"/>
    <w:rsid w:val="009670DE"/>
    <w:rsid w:val="0097128C"/>
    <w:rsid w:val="009821BC"/>
    <w:rsid w:val="00982DB4"/>
    <w:rsid w:val="0099653D"/>
    <w:rsid w:val="009A783E"/>
    <w:rsid w:val="009B1546"/>
    <w:rsid w:val="009B202D"/>
    <w:rsid w:val="009B4FE2"/>
    <w:rsid w:val="009C795C"/>
    <w:rsid w:val="009D27BE"/>
    <w:rsid w:val="009D7557"/>
    <w:rsid w:val="009E14D4"/>
    <w:rsid w:val="009E3F7F"/>
    <w:rsid w:val="009E69F0"/>
    <w:rsid w:val="009F04E9"/>
    <w:rsid w:val="009F539F"/>
    <w:rsid w:val="009F6450"/>
    <w:rsid w:val="009F64F4"/>
    <w:rsid w:val="009F6FF4"/>
    <w:rsid w:val="009F71AC"/>
    <w:rsid w:val="009F74FA"/>
    <w:rsid w:val="00A0032C"/>
    <w:rsid w:val="00A015C4"/>
    <w:rsid w:val="00A03F0B"/>
    <w:rsid w:val="00A06822"/>
    <w:rsid w:val="00A07446"/>
    <w:rsid w:val="00A105F4"/>
    <w:rsid w:val="00A14575"/>
    <w:rsid w:val="00A14C90"/>
    <w:rsid w:val="00A15172"/>
    <w:rsid w:val="00A23E60"/>
    <w:rsid w:val="00A24244"/>
    <w:rsid w:val="00A36527"/>
    <w:rsid w:val="00A424DB"/>
    <w:rsid w:val="00A4459D"/>
    <w:rsid w:val="00A45E09"/>
    <w:rsid w:val="00A509DB"/>
    <w:rsid w:val="00A57091"/>
    <w:rsid w:val="00A645EE"/>
    <w:rsid w:val="00A66BDA"/>
    <w:rsid w:val="00A71B2D"/>
    <w:rsid w:val="00A722B2"/>
    <w:rsid w:val="00A731E4"/>
    <w:rsid w:val="00A74526"/>
    <w:rsid w:val="00A81527"/>
    <w:rsid w:val="00A8205A"/>
    <w:rsid w:val="00A91EB5"/>
    <w:rsid w:val="00A979C8"/>
    <w:rsid w:val="00AA0F57"/>
    <w:rsid w:val="00AA16C3"/>
    <w:rsid w:val="00AA1CE4"/>
    <w:rsid w:val="00AA40CA"/>
    <w:rsid w:val="00AB03DF"/>
    <w:rsid w:val="00AB1163"/>
    <w:rsid w:val="00AB1A46"/>
    <w:rsid w:val="00AB1AF7"/>
    <w:rsid w:val="00AB1F66"/>
    <w:rsid w:val="00AB245C"/>
    <w:rsid w:val="00AB32D4"/>
    <w:rsid w:val="00AB7CE2"/>
    <w:rsid w:val="00AC1008"/>
    <w:rsid w:val="00AD0512"/>
    <w:rsid w:val="00AD0A09"/>
    <w:rsid w:val="00AD4131"/>
    <w:rsid w:val="00AD453B"/>
    <w:rsid w:val="00AE3A10"/>
    <w:rsid w:val="00AE6147"/>
    <w:rsid w:val="00AE6ECC"/>
    <w:rsid w:val="00AF22C0"/>
    <w:rsid w:val="00AF2491"/>
    <w:rsid w:val="00AF60C7"/>
    <w:rsid w:val="00B0085D"/>
    <w:rsid w:val="00B0479C"/>
    <w:rsid w:val="00B0743A"/>
    <w:rsid w:val="00B1303C"/>
    <w:rsid w:val="00B16BBE"/>
    <w:rsid w:val="00B23A7F"/>
    <w:rsid w:val="00B24E7C"/>
    <w:rsid w:val="00B2503E"/>
    <w:rsid w:val="00B42AB2"/>
    <w:rsid w:val="00B43BC1"/>
    <w:rsid w:val="00B456AC"/>
    <w:rsid w:val="00B5080A"/>
    <w:rsid w:val="00B50F5C"/>
    <w:rsid w:val="00B548C9"/>
    <w:rsid w:val="00B551F5"/>
    <w:rsid w:val="00B6213A"/>
    <w:rsid w:val="00B65499"/>
    <w:rsid w:val="00B660F4"/>
    <w:rsid w:val="00B66499"/>
    <w:rsid w:val="00B66FD0"/>
    <w:rsid w:val="00B745F9"/>
    <w:rsid w:val="00B747F1"/>
    <w:rsid w:val="00B76ACF"/>
    <w:rsid w:val="00B77B3D"/>
    <w:rsid w:val="00B82E55"/>
    <w:rsid w:val="00B857A4"/>
    <w:rsid w:val="00B874FB"/>
    <w:rsid w:val="00B90F37"/>
    <w:rsid w:val="00B943AE"/>
    <w:rsid w:val="00BA0658"/>
    <w:rsid w:val="00BA3B7B"/>
    <w:rsid w:val="00BA5932"/>
    <w:rsid w:val="00BB19BD"/>
    <w:rsid w:val="00BB75B6"/>
    <w:rsid w:val="00BD7258"/>
    <w:rsid w:val="00BE0DC1"/>
    <w:rsid w:val="00BE35DC"/>
    <w:rsid w:val="00BF0364"/>
    <w:rsid w:val="00C001A7"/>
    <w:rsid w:val="00C054B6"/>
    <w:rsid w:val="00C0598D"/>
    <w:rsid w:val="00C0671F"/>
    <w:rsid w:val="00C11956"/>
    <w:rsid w:val="00C17811"/>
    <w:rsid w:val="00C20F5B"/>
    <w:rsid w:val="00C221E0"/>
    <w:rsid w:val="00C232A9"/>
    <w:rsid w:val="00C26173"/>
    <w:rsid w:val="00C33C2B"/>
    <w:rsid w:val="00C3568F"/>
    <w:rsid w:val="00C379BD"/>
    <w:rsid w:val="00C37EAF"/>
    <w:rsid w:val="00C40B1A"/>
    <w:rsid w:val="00C42C82"/>
    <w:rsid w:val="00C42D29"/>
    <w:rsid w:val="00C43069"/>
    <w:rsid w:val="00C43384"/>
    <w:rsid w:val="00C44DFA"/>
    <w:rsid w:val="00C47261"/>
    <w:rsid w:val="00C47F22"/>
    <w:rsid w:val="00C54867"/>
    <w:rsid w:val="00C57BA9"/>
    <w:rsid w:val="00C57DA8"/>
    <w:rsid w:val="00C57EE9"/>
    <w:rsid w:val="00C602E5"/>
    <w:rsid w:val="00C617F4"/>
    <w:rsid w:val="00C61DCC"/>
    <w:rsid w:val="00C72DC9"/>
    <w:rsid w:val="00C72E2E"/>
    <w:rsid w:val="00C748FD"/>
    <w:rsid w:val="00C77B5C"/>
    <w:rsid w:val="00C77BFB"/>
    <w:rsid w:val="00C8283D"/>
    <w:rsid w:val="00C82E87"/>
    <w:rsid w:val="00C845B4"/>
    <w:rsid w:val="00C87799"/>
    <w:rsid w:val="00C928CA"/>
    <w:rsid w:val="00CA25C0"/>
    <w:rsid w:val="00CA2997"/>
    <w:rsid w:val="00CA5641"/>
    <w:rsid w:val="00CB1E0B"/>
    <w:rsid w:val="00CB332E"/>
    <w:rsid w:val="00CB46FE"/>
    <w:rsid w:val="00CB4D5F"/>
    <w:rsid w:val="00CC47B6"/>
    <w:rsid w:val="00CD6FD9"/>
    <w:rsid w:val="00CE3568"/>
    <w:rsid w:val="00CE6025"/>
    <w:rsid w:val="00CF0026"/>
    <w:rsid w:val="00CF0A09"/>
    <w:rsid w:val="00CF171E"/>
    <w:rsid w:val="00CF7325"/>
    <w:rsid w:val="00D06D44"/>
    <w:rsid w:val="00D10264"/>
    <w:rsid w:val="00D13408"/>
    <w:rsid w:val="00D23B8F"/>
    <w:rsid w:val="00D2665A"/>
    <w:rsid w:val="00D27664"/>
    <w:rsid w:val="00D343AC"/>
    <w:rsid w:val="00D4046E"/>
    <w:rsid w:val="00D42844"/>
    <w:rsid w:val="00D4362F"/>
    <w:rsid w:val="00D449E1"/>
    <w:rsid w:val="00D469F5"/>
    <w:rsid w:val="00D5077B"/>
    <w:rsid w:val="00D572B7"/>
    <w:rsid w:val="00D723A6"/>
    <w:rsid w:val="00D72873"/>
    <w:rsid w:val="00D7314F"/>
    <w:rsid w:val="00D8280F"/>
    <w:rsid w:val="00D833C7"/>
    <w:rsid w:val="00D858D4"/>
    <w:rsid w:val="00D91F6F"/>
    <w:rsid w:val="00D921AC"/>
    <w:rsid w:val="00D95F41"/>
    <w:rsid w:val="00DA7FFB"/>
    <w:rsid w:val="00DB0979"/>
    <w:rsid w:val="00DB7317"/>
    <w:rsid w:val="00DC251C"/>
    <w:rsid w:val="00DC7120"/>
    <w:rsid w:val="00DC73A6"/>
    <w:rsid w:val="00DD03B2"/>
    <w:rsid w:val="00DD1F70"/>
    <w:rsid w:val="00DD24A9"/>
    <w:rsid w:val="00DD4739"/>
    <w:rsid w:val="00DD6A42"/>
    <w:rsid w:val="00DD6AF2"/>
    <w:rsid w:val="00DD6F79"/>
    <w:rsid w:val="00DE010E"/>
    <w:rsid w:val="00DE2021"/>
    <w:rsid w:val="00DE5F33"/>
    <w:rsid w:val="00DF40DD"/>
    <w:rsid w:val="00DF43D8"/>
    <w:rsid w:val="00E039F0"/>
    <w:rsid w:val="00E07B54"/>
    <w:rsid w:val="00E11E2F"/>
    <w:rsid w:val="00E11F78"/>
    <w:rsid w:val="00E12103"/>
    <w:rsid w:val="00E17C36"/>
    <w:rsid w:val="00E206EF"/>
    <w:rsid w:val="00E21370"/>
    <w:rsid w:val="00E26976"/>
    <w:rsid w:val="00E26BCB"/>
    <w:rsid w:val="00E305F8"/>
    <w:rsid w:val="00E30790"/>
    <w:rsid w:val="00E415A9"/>
    <w:rsid w:val="00E43DB9"/>
    <w:rsid w:val="00E52048"/>
    <w:rsid w:val="00E55429"/>
    <w:rsid w:val="00E61962"/>
    <w:rsid w:val="00E61E58"/>
    <w:rsid w:val="00E621E1"/>
    <w:rsid w:val="00E661E8"/>
    <w:rsid w:val="00E67303"/>
    <w:rsid w:val="00E7024C"/>
    <w:rsid w:val="00E729CE"/>
    <w:rsid w:val="00E75462"/>
    <w:rsid w:val="00E766AA"/>
    <w:rsid w:val="00E83622"/>
    <w:rsid w:val="00E87A80"/>
    <w:rsid w:val="00E92A2C"/>
    <w:rsid w:val="00E94292"/>
    <w:rsid w:val="00E94F06"/>
    <w:rsid w:val="00EA5705"/>
    <w:rsid w:val="00EA60E7"/>
    <w:rsid w:val="00EB2A69"/>
    <w:rsid w:val="00EB4BC5"/>
    <w:rsid w:val="00EC1C13"/>
    <w:rsid w:val="00EC47DF"/>
    <w:rsid w:val="00EC55B3"/>
    <w:rsid w:val="00ED4C43"/>
    <w:rsid w:val="00ED71A3"/>
    <w:rsid w:val="00ED7456"/>
    <w:rsid w:val="00ED7A7E"/>
    <w:rsid w:val="00EE526A"/>
    <w:rsid w:val="00EE6681"/>
    <w:rsid w:val="00EF13FD"/>
    <w:rsid w:val="00EF4DA4"/>
    <w:rsid w:val="00EF7B45"/>
    <w:rsid w:val="00F01142"/>
    <w:rsid w:val="00F03718"/>
    <w:rsid w:val="00F05461"/>
    <w:rsid w:val="00F07946"/>
    <w:rsid w:val="00F14C4D"/>
    <w:rsid w:val="00F152AE"/>
    <w:rsid w:val="00F1715B"/>
    <w:rsid w:val="00F2021B"/>
    <w:rsid w:val="00F249E7"/>
    <w:rsid w:val="00F26A78"/>
    <w:rsid w:val="00F26AA0"/>
    <w:rsid w:val="00F325A2"/>
    <w:rsid w:val="00F33DD2"/>
    <w:rsid w:val="00F34F57"/>
    <w:rsid w:val="00F35D22"/>
    <w:rsid w:val="00F36D22"/>
    <w:rsid w:val="00F400D1"/>
    <w:rsid w:val="00F410DB"/>
    <w:rsid w:val="00F42573"/>
    <w:rsid w:val="00F44C76"/>
    <w:rsid w:val="00F52DEA"/>
    <w:rsid w:val="00F61632"/>
    <w:rsid w:val="00F7244F"/>
    <w:rsid w:val="00F7336F"/>
    <w:rsid w:val="00F7642B"/>
    <w:rsid w:val="00F77098"/>
    <w:rsid w:val="00F96FB2"/>
    <w:rsid w:val="00FA1CB8"/>
    <w:rsid w:val="00FA349B"/>
    <w:rsid w:val="00FB1343"/>
    <w:rsid w:val="00FB2224"/>
    <w:rsid w:val="00FB2500"/>
    <w:rsid w:val="00FB51D8"/>
    <w:rsid w:val="00FC003C"/>
    <w:rsid w:val="00FC4EDB"/>
    <w:rsid w:val="00FD08E8"/>
    <w:rsid w:val="00FD6E16"/>
    <w:rsid w:val="00FD7E2A"/>
    <w:rsid w:val="00FE0028"/>
    <w:rsid w:val="00FE0D69"/>
    <w:rsid w:val="00FE1A4E"/>
    <w:rsid w:val="00FE34BE"/>
    <w:rsid w:val="00FE3C5C"/>
    <w:rsid w:val="00FF6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BBE375"/>
  <w15:chartTrackingRefBased/>
  <w15:docId w15:val="{443DD44F-B5E4-43A8-B553-8CF070515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character" w:customStyle="1" w:styleId="NormalArialChar">
    <w:name w:val="Normal+Arial Char"/>
    <w:link w:val="NormalArial"/>
    <w:rsid w:val="00AB1A46"/>
    <w:rPr>
      <w:rFonts w:ascii="Arial" w:hAnsi="Arial"/>
      <w:sz w:val="24"/>
      <w:szCs w:val="24"/>
    </w:rPr>
  </w:style>
  <w:style w:type="table" w:customStyle="1" w:styleId="BoxedLanguage">
    <w:name w:val="Boxed Language"/>
    <w:basedOn w:val="TableNormal"/>
    <w:rsid w:val="00AB1A46"/>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rsid w:val="00AB1A46"/>
    <w:pPr>
      <w:numPr>
        <w:numId w:val="4"/>
      </w:numPr>
      <w:tabs>
        <w:tab w:val="clear" w:pos="360"/>
        <w:tab w:val="num" w:pos="432"/>
      </w:tabs>
      <w:spacing w:after="180"/>
      <w:ind w:left="432" w:hanging="432"/>
    </w:pPr>
    <w:rPr>
      <w:szCs w:val="20"/>
    </w:rPr>
  </w:style>
  <w:style w:type="paragraph" w:styleId="FootnoteText">
    <w:name w:val="footnote text"/>
    <w:basedOn w:val="Normal"/>
    <w:link w:val="FootnoteTextChar"/>
    <w:rsid w:val="00AB1A46"/>
    <w:rPr>
      <w:sz w:val="18"/>
      <w:szCs w:val="20"/>
    </w:rPr>
  </w:style>
  <w:style w:type="character" w:customStyle="1" w:styleId="FootnoteTextChar">
    <w:name w:val="Footnote Text Char"/>
    <w:link w:val="FootnoteText"/>
    <w:rsid w:val="00AB1A46"/>
    <w:rPr>
      <w:sz w:val="18"/>
    </w:rPr>
  </w:style>
  <w:style w:type="paragraph" w:customStyle="1" w:styleId="Formula">
    <w:name w:val="Formula"/>
    <w:basedOn w:val="Normal"/>
    <w:autoRedefine/>
    <w:rsid w:val="00AB1A46"/>
    <w:pPr>
      <w:tabs>
        <w:tab w:val="left" w:pos="2340"/>
        <w:tab w:val="left" w:pos="3420"/>
      </w:tabs>
      <w:spacing w:after="240"/>
      <w:ind w:left="3420" w:hanging="2700"/>
    </w:pPr>
    <w:rPr>
      <w:bCs/>
    </w:rPr>
  </w:style>
  <w:style w:type="paragraph" w:customStyle="1" w:styleId="FormulaBold">
    <w:name w:val="Formula Bold"/>
    <w:basedOn w:val="Normal"/>
    <w:link w:val="FormulaBoldChar"/>
    <w:autoRedefine/>
    <w:rsid w:val="00AB1A46"/>
    <w:pPr>
      <w:tabs>
        <w:tab w:val="left" w:pos="2340"/>
        <w:tab w:val="left" w:pos="3420"/>
      </w:tabs>
      <w:spacing w:after="240"/>
      <w:ind w:left="3420" w:hanging="2700"/>
    </w:pPr>
  </w:style>
  <w:style w:type="table" w:customStyle="1" w:styleId="FormulaVariableTable">
    <w:name w:val="Formula Variable Table"/>
    <w:basedOn w:val="TableNormal"/>
    <w:rsid w:val="00AB1A46"/>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rsid w:val="00AB1A46"/>
    <w:pPr>
      <w:numPr>
        <w:ilvl w:val="0"/>
        <w:numId w:val="0"/>
      </w:numPr>
      <w:tabs>
        <w:tab w:val="left" w:pos="900"/>
      </w:tabs>
      <w:ind w:left="900" w:hanging="900"/>
    </w:pPr>
  </w:style>
  <w:style w:type="paragraph" w:customStyle="1" w:styleId="H3">
    <w:name w:val="H3"/>
    <w:basedOn w:val="Heading3"/>
    <w:next w:val="BodyText"/>
    <w:rsid w:val="00AB1A46"/>
    <w:pPr>
      <w:numPr>
        <w:ilvl w:val="0"/>
        <w:numId w:val="0"/>
      </w:numPr>
      <w:tabs>
        <w:tab w:val="left" w:pos="1080"/>
      </w:tabs>
      <w:spacing w:before="240" w:after="240"/>
      <w:ind w:left="1080" w:hanging="1080"/>
    </w:pPr>
    <w:rPr>
      <w:iCs w:val="0"/>
    </w:rPr>
  </w:style>
  <w:style w:type="paragraph" w:customStyle="1" w:styleId="H4">
    <w:name w:val="H4"/>
    <w:basedOn w:val="Heading4"/>
    <w:next w:val="BodyText"/>
    <w:link w:val="H4Char"/>
    <w:rsid w:val="00AB1A46"/>
    <w:pPr>
      <w:numPr>
        <w:ilvl w:val="0"/>
        <w:numId w:val="0"/>
      </w:numPr>
      <w:tabs>
        <w:tab w:val="left" w:pos="1260"/>
      </w:tabs>
      <w:spacing w:before="240"/>
      <w:ind w:left="1260" w:hanging="1260"/>
    </w:pPr>
  </w:style>
  <w:style w:type="paragraph" w:customStyle="1" w:styleId="H5">
    <w:name w:val="H5"/>
    <w:basedOn w:val="Heading5"/>
    <w:next w:val="BodyText"/>
    <w:rsid w:val="00AB1A46"/>
    <w:pPr>
      <w:keepNext/>
      <w:tabs>
        <w:tab w:val="left" w:pos="1620"/>
      </w:tabs>
      <w:spacing w:after="240"/>
      <w:ind w:left="1620" w:hanging="1620"/>
    </w:pPr>
    <w:rPr>
      <w:bCs/>
      <w:iCs/>
      <w:sz w:val="24"/>
      <w:szCs w:val="26"/>
    </w:rPr>
  </w:style>
  <w:style w:type="paragraph" w:customStyle="1" w:styleId="H6">
    <w:name w:val="H6"/>
    <w:basedOn w:val="Heading6"/>
    <w:next w:val="BodyText"/>
    <w:rsid w:val="00AB1A46"/>
    <w:pPr>
      <w:keepNext/>
      <w:tabs>
        <w:tab w:val="left" w:pos="1800"/>
      </w:tabs>
      <w:spacing w:after="240"/>
      <w:ind w:left="1800" w:hanging="1800"/>
    </w:pPr>
    <w:rPr>
      <w:bCs/>
      <w:sz w:val="24"/>
      <w:szCs w:val="22"/>
    </w:rPr>
  </w:style>
  <w:style w:type="paragraph" w:customStyle="1" w:styleId="H7">
    <w:name w:val="H7"/>
    <w:basedOn w:val="Heading7"/>
    <w:next w:val="BodyText"/>
    <w:rsid w:val="00AB1A46"/>
    <w:pPr>
      <w:keepNext/>
      <w:tabs>
        <w:tab w:val="left" w:pos="1980"/>
      </w:tabs>
      <w:spacing w:after="240"/>
      <w:ind w:left="1980" w:hanging="1980"/>
    </w:pPr>
    <w:rPr>
      <w:b/>
      <w:i/>
      <w:szCs w:val="24"/>
    </w:rPr>
  </w:style>
  <w:style w:type="paragraph" w:customStyle="1" w:styleId="H8">
    <w:name w:val="H8"/>
    <w:basedOn w:val="Heading8"/>
    <w:next w:val="BodyText"/>
    <w:rsid w:val="00AB1A46"/>
    <w:pPr>
      <w:keepNext/>
      <w:tabs>
        <w:tab w:val="left" w:pos="2160"/>
      </w:tabs>
      <w:spacing w:after="240"/>
      <w:ind w:left="2160" w:hanging="2160"/>
    </w:pPr>
    <w:rPr>
      <w:b/>
      <w:i w:val="0"/>
      <w:iCs/>
      <w:szCs w:val="24"/>
    </w:rPr>
  </w:style>
  <w:style w:type="paragraph" w:customStyle="1" w:styleId="H9">
    <w:name w:val="H9"/>
    <w:basedOn w:val="Heading9"/>
    <w:next w:val="BodyText"/>
    <w:rsid w:val="00AB1A46"/>
    <w:pPr>
      <w:keepNext/>
      <w:tabs>
        <w:tab w:val="left" w:pos="2340"/>
      </w:tabs>
      <w:spacing w:after="240"/>
      <w:ind w:left="2340" w:hanging="2340"/>
    </w:pPr>
    <w:rPr>
      <w:rFonts w:ascii="Times New Roman" w:hAnsi="Times New Roman"/>
      <w:b/>
      <w:i/>
      <w:sz w:val="24"/>
      <w:szCs w:val="24"/>
    </w:rPr>
  </w:style>
  <w:style w:type="paragraph" w:customStyle="1" w:styleId="HeadSub">
    <w:name w:val="Head Sub"/>
    <w:basedOn w:val="BodyText"/>
    <w:next w:val="BodyText"/>
    <w:rsid w:val="00AB1A46"/>
    <w:pPr>
      <w:keepNext/>
      <w:spacing w:before="240" w:after="240"/>
    </w:pPr>
    <w:rPr>
      <w:b/>
      <w:iCs/>
      <w:szCs w:val="20"/>
    </w:rPr>
  </w:style>
  <w:style w:type="paragraph" w:customStyle="1" w:styleId="Instructions">
    <w:name w:val="Instructions"/>
    <w:basedOn w:val="BodyText"/>
    <w:rsid w:val="00AB1A46"/>
    <w:pPr>
      <w:spacing w:before="0" w:after="240"/>
    </w:pPr>
    <w:rPr>
      <w:b/>
      <w:i/>
      <w:iCs/>
    </w:rPr>
  </w:style>
  <w:style w:type="paragraph" w:styleId="List">
    <w:name w:val="List"/>
    <w:aliases w:val=" Char2 Char Char Char Char, Char2 Char"/>
    <w:basedOn w:val="Normal"/>
    <w:link w:val="ListChar"/>
    <w:rsid w:val="00AB1A46"/>
    <w:pPr>
      <w:spacing w:after="240"/>
      <w:ind w:left="720" w:hanging="720"/>
    </w:pPr>
    <w:rPr>
      <w:szCs w:val="20"/>
    </w:rPr>
  </w:style>
  <w:style w:type="paragraph" w:styleId="List2">
    <w:name w:val="List 2"/>
    <w:basedOn w:val="Normal"/>
    <w:rsid w:val="00AB1A46"/>
    <w:pPr>
      <w:spacing w:after="240"/>
      <w:ind w:left="1440" w:hanging="720"/>
    </w:pPr>
    <w:rPr>
      <w:szCs w:val="20"/>
    </w:rPr>
  </w:style>
  <w:style w:type="paragraph" w:styleId="List3">
    <w:name w:val="List 3"/>
    <w:basedOn w:val="Normal"/>
    <w:rsid w:val="00AB1A46"/>
    <w:pPr>
      <w:spacing w:after="240"/>
      <w:ind w:left="2160" w:hanging="720"/>
    </w:pPr>
    <w:rPr>
      <w:szCs w:val="20"/>
    </w:rPr>
  </w:style>
  <w:style w:type="paragraph" w:customStyle="1" w:styleId="ListIntroduction">
    <w:name w:val="List Introduction"/>
    <w:basedOn w:val="BodyText"/>
    <w:rsid w:val="00AB1A46"/>
    <w:pPr>
      <w:keepNext/>
      <w:spacing w:before="0" w:after="240"/>
    </w:pPr>
    <w:rPr>
      <w:iCs/>
      <w:szCs w:val="20"/>
    </w:rPr>
  </w:style>
  <w:style w:type="paragraph" w:customStyle="1" w:styleId="ListSub">
    <w:name w:val="List Sub"/>
    <w:basedOn w:val="List"/>
    <w:rsid w:val="00AB1A46"/>
    <w:pPr>
      <w:ind w:firstLine="0"/>
    </w:pPr>
  </w:style>
  <w:style w:type="character" w:styleId="PageNumber">
    <w:name w:val="page number"/>
    <w:basedOn w:val="DefaultParagraphFont"/>
    <w:rsid w:val="00AB1A46"/>
  </w:style>
  <w:style w:type="paragraph" w:customStyle="1" w:styleId="Spaceafterbox">
    <w:name w:val="Space after box"/>
    <w:basedOn w:val="Normal"/>
    <w:rsid w:val="00AB1A46"/>
    <w:rPr>
      <w:szCs w:val="20"/>
    </w:rPr>
  </w:style>
  <w:style w:type="paragraph" w:customStyle="1" w:styleId="TableBody">
    <w:name w:val="Table Body"/>
    <w:basedOn w:val="BodyText"/>
    <w:rsid w:val="00AB1A46"/>
    <w:pPr>
      <w:spacing w:before="0" w:after="60"/>
    </w:pPr>
    <w:rPr>
      <w:iCs/>
      <w:sz w:val="20"/>
      <w:szCs w:val="20"/>
    </w:rPr>
  </w:style>
  <w:style w:type="paragraph" w:customStyle="1" w:styleId="TableBullet">
    <w:name w:val="Table Bullet"/>
    <w:basedOn w:val="TableBody"/>
    <w:rsid w:val="00AB1A46"/>
    <w:pPr>
      <w:numPr>
        <w:numId w:val="5"/>
      </w:numPr>
      <w:ind w:left="0" w:firstLine="0"/>
    </w:pPr>
  </w:style>
  <w:style w:type="paragraph" w:customStyle="1" w:styleId="TableHead">
    <w:name w:val="Table Head"/>
    <w:basedOn w:val="BodyText"/>
    <w:rsid w:val="00AB1A46"/>
    <w:pPr>
      <w:spacing w:before="0" w:after="240"/>
    </w:pPr>
    <w:rPr>
      <w:b/>
      <w:iCs/>
      <w:sz w:val="20"/>
      <w:szCs w:val="20"/>
    </w:rPr>
  </w:style>
  <w:style w:type="paragraph" w:styleId="TOC1">
    <w:name w:val="toc 1"/>
    <w:basedOn w:val="Normal"/>
    <w:next w:val="Normal"/>
    <w:autoRedefine/>
    <w:uiPriority w:val="39"/>
    <w:rsid w:val="00AB1A46"/>
    <w:pPr>
      <w:tabs>
        <w:tab w:val="left" w:pos="540"/>
        <w:tab w:val="right" w:leader="dot" w:pos="9360"/>
      </w:tabs>
      <w:spacing w:before="120" w:after="120"/>
      <w:ind w:left="540" w:right="720" w:hanging="540"/>
    </w:pPr>
    <w:rPr>
      <w:b/>
      <w:bCs/>
      <w:i/>
    </w:rPr>
  </w:style>
  <w:style w:type="paragraph" w:styleId="TOC2">
    <w:name w:val="toc 2"/>
    <w:basedOn w:val="Normal"/>
    <w:next w:val="Normal"/>
    <w:autoRedefine/>
    <w:uiPriority w:val="39"/>
    <w:rsid w:val="00AB1A46"/>
    <w:pPr>
      <w:tabs>
        <w:tab w:val="left" w:pos="1260"/>
        <w:tab w:val="right" w:leader="dot" w:pos="9360"/>
      </w:tabs>
      <w:ind w:left="1260" w:right="720" w:hanging="720"/>
    </w:pPr>
    <w:rPr>
      <w:sz w:val="20"/>
      <w:szCs w:val="20"/>
    </w:rPr>
  </w:style>
  <w:style w:type="paragraph" w:styleId="TOC3">
    <w:name w:val="toc 3"/>
    <w:basedOn w:val="Normal"/>
    <w:next w:val="Normal"/>
    <w:autoRedefine/>
    <w:uiPriority w:val="39"/>
    <w:rsid w:val="00AB1A46"/>
    <w:pPr>
      <w:tabs>
        <w:tab w:val="left" w:pos="1980"/>
        <w:tab w:val="right" w:leader="dot" w:pos="9360"/>
      </w:tabs>
      <w:ind w:left="1980" w:right="720" w:hanging="900"/>
    </w:pPr>
    <w:rPr>
      <w:i/>
      <w:iCs/>
      <w:sz w:val="20"/>
      <w:szCs w:val="20"/>
    </w:rPr>
  </w:style>
  <w:style w:type="paragraph" w:styleId="TOC4">
    <w:name w:val="toc 4"/>
    <w:basedOn w:val="Normal"/>
    <w:next w:val="Normal"/>
    <w:autoRedefine/>
    <w:rsid w:val="00AB1A46"/>
    <w:pPr>
      <w:tabs>
        <w:tab w:val="left" w:pos="2700"/>
        <w:tab w:val="right" w:leader="dot" w:pos="9360"/>
      </w:tabs>
      <w:ind w:left="2700" w:right="720" w:hanging="1080"/>
    </w:pPr>
    <w:rPr>
      <w:sz w:val="18"/>
      <w:szCs w:val="18"/>
    </w:rPr>
  </w:style>
  <w:style w:type="paragraph" w:styleId="TOC5">
    <w:name w:val="toc 5"/>
    <w:basedOn w:val="Normal"/>
    <w:next w:val="Normal"/>
    <w:autoRedefine/>
    <w:rsid w:val="00AB1A46"/>
    <w:pPr>
      <w:tabs>
        <w:tab w:val="left" w:pos="3600"/>
        <w:tab w:val="right" w:leader="dot" w:pos="9360"/>
      </w:tabs>
      <w:ind w:left="3600" w:right="720" w:hanging="1260"/>
    </w:pPr>
    <w:rPr>
      <w:i/>
      <w:noProof/>
      <w:sz w:val="18"/>
      <w:szCs w:val="18"/>
    </w:rPr>
  </w:style>
  <w:style w:type="paragraph" w:styleId="TOC6">
    <w:name w:val="toc 6"/>
    <w:basedOn w:val="Normal"/>
    <w:next w:val="Normal"/>
    <w:autoRedefine/>
    <w:rsid w:val="00AB1A46"/>
    <w:pPr>
      <w:tabs>
        <w:tab w:val="left" w:pos="4500"/>
        <w:tab w:val="right" w:leader="dot" w:pos="9360"/>
      </w:tabs>
      <w:ind w:left="4500" w:right="720" w:hanging="1440"/>
    </w:pPr>
    <w:rPr>
      <w:sz w:val="18"/>
      <w:szCs w:val="18"/>
    </w:rPr>
  </w:style>
  <w:style w:type="paragraph" w:styleId="TOC7">
    <w:name w:val="toc 7"/>
    <w:basedOn w:val="Normal"/>
    <w:next w:val="Normal"/>
    <w:autoRedefine/>
    <w:rsid w:val="00AB1A46"/>
    <w:pPr>
      <w:tabs>
        <w:tab w:val="left" w:pos="5400"/>
        <w:tab w:val="right" w:leader="dot" w:pos="9360"/>
      </w:tabs>
      <w:ind w:left="5400" w:right="720" w:hanging="1620"/>
    </w:pPr>
    <w:rPr>
      <w:i/>
      <w:noProof/>
      <w:sz w:val="18"/>
      <w:szCs w:val="18"/>
    </w:rPr>
  </w:style>
  <w:style w:type="paragraph" w:styleId="TOC8">
    <w:name w:val="toc 8"/>
    <w:basedOn w:val="Normal"/>
    <w:next w:val="Normal"/>
    <w:autoRedefine/>
    <w:rsid w:val="00AB1A46"/>
    <w:pPr>
      <w:ind w:left="1680"/>
    </w:pPr>
    <w:rPr>
      <w:sz w:val="18"/>
      <w:szCs w:val="18"/>
    </w:rPr>
  </w:style>
  <w:style w:type="paragraph" w:styleId="TOC9">
    <w:name w:val="toc 9"/>
    <w:basedOn w:val="Normal"/>
    <w:next w:val="Normal"/>
    <w:autoRedefine/>
    <w:rsid w:val="00AB1A46"/>
    <w:pPr>
      <w:ind w:left="1920"/>
    </w:pPr>
    <w:rPr>
      <w:sz w:val="18"/>
      <w:szCs w:val="18"/>
    </w:rPr>
  </w:style>
  <w:style w:type="paragraph" w:customStyle="1" w:styleId="VariableDefinition">
    <w:name w:val="Variable Definition"/>
    <w:basedOn w:val="BodyTextIndent"/>
    <w:rsid w:val="00AB1A46"/>
    <w:pPr>
      <w:tabs>
        <w:tab w:val="left" w:pos="2160"/>
      </w:tabs>
      <w:spacing w:before="0" w:after="240"/>
      <w:ind w:left="2160" w:hanging="1440"/>
      <w:contextualSpacing/>
    </w:pPr>
    <w:rPr>
      <w:iCs/>
      <w:szCs w:val="20"/>
    </w:rPr>
  </w:style>
  <w:style w:type="table" w:customStyle="1" w:styleId="VariableTable">
    <w:name w:val="Variable Table"/>
    <w:basedOn w:val="TableNormal"/>
    <w:rsid w:val="00AB1A46"/>
    <w:tblPr/>
  </w:style>
  <w:style w:type="character" w:styleId="FollowedHyperlink">
    <w:name w:val="FollowedHyperlink"/>
    <w:rsid w:val="00AB1A46"/>
    <w:rPr>
      <w:color w:val="800080"/>
      <w:u w:val="single"/>
    </w:rPr>
  </w:style>
  <w:style w:type="paragraph" w:styleId="NormalWeb">
    <w:name w:val="Normal (Web)"/>
    <w:basedOn w:val="Normal"/>
    <w:uiPriority w:val="99"/>
    <w:unhideWhenUsed/>
    <w:rsid w:val="00AB1A46"/>
    <w:pPr>
      <w:spacing w:before="100" w:beforeAutospacing="1" w:after="100" w:afterAutospacing="1"/>
    </w:pPr>
  </w:style>
  <w:style w:type="character" w:customStyle="1" w:styleId="ListChar">
    <w:name w:val="List Char"/>
    <w:aliases w:val=" Char2 Char Char Char Char Char, Char2 Char Char"/>
    <w:link w:val="List"/>
    <w:rsid w:val="00AB1A46"/>
    <w:rPr>
      <w:sz w:val="24"/>
    </w:rPr>
  </w:style>
  <w:style w:type="paragraph" w:styleId="Revision">
    <w:name w:val="Revision"/>
    <w:hidden/>
    <w:uiPriority w:val="99"/>
    <w:semiHidden/>
    <w:rsid w:val="00AB1A46"/>
    <w:rPr>
      <w:sz w:val="24"/>
      <w:szCs w:val="24"/>
    </w:rPr>
  </w:style>
  <w:style w:type="character" w:styleId="UnresolvedMention">
    <w:name w:val="Unresolved Mention"/>
    <w:uiPriority w:val="99"/>
    <w:semiHidden/>
    <w:unhideWhenUsed/>
    <w:rsid w:val="00AB1A46"/>
    <w:rPr>
      <w:color w:val="605E5C"/>
      <w:shd w:val="clear" w:color="auto" w:fill="E1DFDD"/>
    </w:rPr>
  </w:style>
  <w:style w:type="paragraph" w:styleId="TOCHeading">
    <w:name w:val="TOC Heading"/>
    <w:basedOn w:val="Heading1"/>
    <w:next w:val="Normal"/>
    <w:uiPriority w:val="39"/>
    <w:unhideWhenUsed/>
    <w:qFormat/>
    <w:rsid w:val="00AB1A46"/>
    <w:pPr>
      <w:keepLines/>
      <w:numPr>
        <w:numId w:val="0"/>
      </w:numPr>
      <w:spacing w:before="240" w:after="0" w:line="259" w:lineRule="auto"/>
      <w:outlineLvl w:val="9"/>
    </w:pPr>
    <w:rPr>
      <w:rFonts w:ascii="Calibri Light" w:eastAsia="Yu Gothic Light" w:hAnsi="Calibri Light"/>
      <w:b w:val="0"/>
      <w:caps w:val="0"/>
      <w:color w:val="2F5496"/>
      <w:sz w:val="32"/>
      <w:szCs w:val="32"/>
    </w:rPr>
  </w:style>
  <w:style w:type="character" w:customStyle="1" w:styleId="FormulaBoldChar">
    <w:name w:val="Formula Bold Char"/>
    <w:link w:val="FormulaBold"/>
    <w:rsid w:val="00AB1A46"/>
    <w:rPr>
      <w:sz w:val="24"/>
      <w:szCs w:val="24"/>
    </w:rPr>
  </w:style>
  <w:style w:type="paragraph" w:styleId="ListParagraph">
    <w:name w:val="List Paragraph"/>
    <w:basedOn w:val="Normal"/>
    <w:uiPriority w:val="34"/>
    <w:qFormat/>
    <w:rsid w:val="00AB1A46"/>
    <w:pPr>
      <w:ind w:left="720"/>
      <w:contextualSpacing/>
    </w:pPr>
  </w:style>
  <w:style w:type="character" w:customStyle="1" w:styleId="H4Char">
    <w:name w:val="H4 Char"/>
    <w:link w:val="H4"/>
    <w:locked/>
    <w:rsid w:val="00AB1A46"/>
    <w:rPr>
      <w:b/>
      <w:bCs/>
      <w:snapToGrid w:val="0"/>
      <w:sz w:val="24"/>
    </w:rPr>
  </w:style>
  <w:style w:type="character" w:customStyle="1" w:styleId="BodyTextNumberedChar">
    <w:name w:val="Body Text Numbered Char"/>
    <w:link w:val="BodyTextNumbered"/>
    <w:locked/>
    <w:rsid w:val="00AB1A46"/>
    <w:rPr>
      <w:iCs/>
      <w:sz w:val="24"/>
      <w:szCs w:val="24"/>
    </w:rPr>
  </w:style>
  <w:style w:type="paragraph" w:customStyle="1" w:styleId="BodyTextNumbered">
    <w:name w:val="Body Text Numbered"/>
    <w:basedOn w:val="Normal"/>
    <w:link w:val="BodyTextNumberedChar"/>
    <w:rsid w:val="00AB1A46"/>
    <w:pPr>
      <w:spacing w:after="240"/>
      <w:ind w:left="720" w:hanging="720"/>
    </w:pPr>
    <w:rPr>
      <w:iCs/>
    </w:rPr>
  </w:style>
  <w:style w:type="character" w:styleId="Mention">
    <w:name w:val="Mention"/>
    <w:uiPriority w:val="99"/>
    <w:unhideWhenUsed/>
    <w:rsid w:val="00AB1A46"/>
    <w:rPr>
      <w:color w:val="2B579A"/>
      <w:shd w:val="clear" w:color="auto" w:fill="E1DFDD"/>
    </w:rPr>
  </w:style>
  <w:style w:type="paragraph" w:styleId="ListNumber">
    <w:name w:val="List Number"/>
    <w:basedOn w:val="Normal"/>
    <w:rsid w:val="005505EF"/>
    <w:pPr>
      <w:numPr>
        <w:numId w:val="35"/>
      </w:numPr>
      <w:contextualSpacing/>
    </w:pPr>
  </w:style>
  <w:style w:type="character" w:styleId="FootnoteReference">
    <w:name w:val="footnote reference"/>
    <w:basedOn w:val="DefaultParagraphFont"/>
    <w:unhideWhenUsed/>
    <w:rsid w:val="005505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328"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hemmeline@cleanpower.org" TargetMode="External"/><Relationship Id="rId4" Type="http://schemas.openxmlformats.org/officeDocument/2006/relationships/settings" Target="settings.xml"/><Relationship Id="rId9" Type="http://schemas.openxmlformats.org/officeDocument/2006/relationships/hyperlink" Target="mailto:Judd.Messer@poweralliance.org"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interchange.puc.texas.gov/Documents/58777_37_1619958.PDF" TargetMode="External"/><Relationship Id="rId2" Type="http://schemas.openxmlformats.org/officeDocument/2006/relationships/hyperlink" Target="https://www.ercot.com/files/docs/2026/05/01/MORA_July2026.pdf" TargetMode="External"/><Relationship Id="rId1" Type="http://schemas.openxmlformats.org/officeDocument/2006/relationships/hyperlink" Target="https://interchange.puc.texas.gov/search/documents/?controlNumber=58198&amp;itemNumber=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6DA6FF-FBC1-479D-84D7-2E0014C6B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2168</Words>
  <Characters>12469</Characters>
  <Application>Microsoft Office Word</Application>
  <DocSecurity>0</DocSecurity>
  <Lines>271</Lines>
  <Paragraphs>91</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14546</CharactersWithSpaces>
  <SharedDoc>false</SharedDoc>
  <HLinks>
    <vt:vector size="36" baseType="variant">
      <vt:variant>
        <vt:i4>1835061</vt:i4>
      </vt:variant>
      <vt:variant>
        <vt:i4>15</vt:i4>
      </vt:variant>
      <vt:variant>
        <vt:i4>0</vt:i4>
      </vt:variant>
      <vt:variant>
        <vt:i4>5</vt:i4>
      </vt:variant>
      <vt:variant>
        <vt:lpwstr>mailto:MPRegistration@ercot.com</vt:lpwstr>
      </vt:variant>
      <vt:variant>
        <vt:lpwstr/>
      </vt:variant>
      <vt:variant>
        <vt:i4>1769530</vt:i4>
      </vt:variant>
      <vt:variant>
        <vt:i4>12</vt:i4>
      </vt:variant>
      <vt:variant>
        <vt:i4>0</vt:i4>
      </vt:variant>
      <vt:variant>
        <vt:i4>5</vt:i4>
      </vt:variant>
      <vt:variant>
        <vt:lpwstr/>
      </vt:variant>
      <vt:variant>
        <vt:lpwstr>_Toc109528014</vt:lpwstr>
      </vt:variant>
      <vt:variant>
        <vt:i4>1769530</vt:i4>
      </vt:variant>
      <vt:variant>
        <vt:i4>9</vt:i4>
      </vt:variant>
      <vt:variant>
        <vt:i4>0</vt:i4>
      </vt:variant>
      <vt:variant>
        <vt:i4>5</vt:i4>
      </vt:variant>
      <vt:variant>
        <vt:lpwstr/>
      </vt:variant>
      <vt:variant>
        <vt:lpwstr>_Toc109528011</vt:lpwstr>
      </vt:variant>
      <vt:variant>
        <vt:i4>1769530</vt:i4>
      </vt:variant>
      <vt:variant>
        <vt:i4>6</vt:i4>
      </vt:variant>
      <vt:variant>
        <vt:i4>0</vt:i4>
      </vt:variant>
      <vt:variant>
        <vt:i4>5</vt:i4>
      </vt:variant>
      <vt:variant>
        <vt:lpwstr/>
      </vt:variant>
      <vt:variant>
        <vt:lpwstr>_Toc109528014</vt:lpwstr>
      </vt:variant>
      <vt:variant>
        <vt:i4>1769530</vt:i4>
      </vt:variant>
      <vt:variant>
        <vt:i4>3</vt:i4>
      </vt:variant>
      <vt:variant>
        <vt:i4>0</vt:i4>
      </vt:variant>
      <vt:variant>
        <vt:i4>5</vt:i4>
      </vt:variant>
      <vt:variant>
        <vt:lpwstr/>
      </vt:variant>
      <vt:variant>
        <vt:lpwstr>_Toc109528011</vt:lpwstr>
      </vt:variant>
      <vt:variant>
        <vt:i4>6553712</vt:i4>
      </vt:variant>
      <vt:variant>
        <vt:i4>0</vt:i4>
      </vt:variant>
      <vt:variant>
        <vt:i4>0</vt:i4>
      </vt:variant>
      <vt:variant>
        <vt:i4>5</vt:i4>
      </vt:variant>
      <vt:variant>
        <vt:lpwstr>https://www.ercot.com/mktrules/issues/NPRR1328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ERCOT Market Rules</cp:lastModifiedBy>
  <cp:revision>3</cp:revision>
  <cp:lastPrinted>2001-06-20T16:28:00Z</cp:lastPrinted>
  <dcterms:created xsi:type="dcterms:W3CDTF">2026-06-22T20:36:00Z</dcterms:created>
  <dcterms:modified xsi:type="dcterms:W3CDTF">2026-06-22T20:40:00Z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2026-04-14T22:14:28Z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ddf9de01-a011-4089-a12a-444b1c9f1691</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