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0796423C" w14:textId="77777777">
        <w:tc>
          <w:tcPr>
            <w:tcW w:w="1620" w:type="dxa"/>
            <w:tcBorders>
              <w:bottom w:val="single" w:sz="4" w:space="0" w:color="auto"/>
            </w:tcBorders>
            <w:shd w:val="clear" w:color="auto" w:fill="FFFFFF"/>
            <w:vAlign w:val="center"/>
          </w:tcPr>
          <w:p w14:paraId="1B00E716"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CADFD0E" w14:textId="27FF8608" w:rsidR="00152993" w:rsidRDefault="0071736F">
            <w:pPr>
              <w:pStyle w:val="Header"/>
            </w:pPr>
            <w:hyperlink r:id="rId10" w:history="1">
              <w:r w:rsidR="008C4852" w:rsidRPr="0071736F">
                <w:rPr>
                  <w:rStyle w:val="Hyperlink"/>
                </w:rPr>
                <w:t>1214</w:t>
              </w:r>
            </w:hyperlink>
          </w:p>
        </w:tc>
        <w:tc>
          <w:tcPr>
            <w:tcW w:w="900" w:type="dxa"/>
            <w:tcBorders>
              <w:bottom w:val="single" w:sz="4" w:space="0" w:color="auto"/>
            </w:tcBorders>
            <w:shd w:val="clear" w:color="auto" w:fill="FFFFFF"/>
            <w:vAlign w:val="center"/>
          </w:tcPr>
          <w:p w14:paraId="09D1AF32" w14:textId="77777777" w:rsidR="00152993" w:rsidRDefault="00EE6681">
            <w:pPr>
              <w:pStyle w:val="Header"/>
            </w:pPr>
            <w:r>
              <w:t>N</w:t>
            </w:r>
            <w:r w:rsidR="00152993">
              <w:t>PRR Title</w:t>
            </w:r>
          </w:p>
        </w:tc>
        <w:tc>
          <w:tcPr>
            <w:tcW w:w="6660" w:type="dxa"/>
            <w:tcBorders>
              <w:bottom w:val="single" w:sz="4" w:space="0" w:color="auto"/>
            </w:tcBorders>
            <w:vAlign w:val="center"/>
          </w:tcPr>
          <w:p w14:paraId="4C3AD1FA" w14:textId="3D043118" w:rsidR="00152993" w:rsidRDefault="0087686D">
            <w:pPr>
              <w:pStyle w:val="Header"/>
            </w:pPr>
            <w:r w:rsidRPr="0087686D">
              <w:t>Reliability Deployment Price Adder Fix to Provide Locational Price Signals, Reduce Uplift and Risk</w:t>
            </w:r>
          </w:p>
        </w:tc>
      </w:tr>
      <w:tr w:rsidR="00152993" w14:paraId="63C29445" w14:textId="77777777">
        <w:trPr>
          <w:trHeight w:val="413"/>
        </w:trPr>
        <w:tc>
          <w:tcPr>
            <w:tcW w:w="2880" w:type="dxa"/>
            <w:gridSpan w:val="2"/>
            <w:tcBorders>
              <w:top w:val="nil"/>
              <w:left w:val="nil"/>
              <w:bottom w:val="single" w:sz="4" w:space="0" w:color="auto"/>
              <w:right w:val="nil"/>
            </w:tcBorders>
            <w:vAlign w:val="center"/>
          </w:tcPr>
          <w:p w14:paraId="2A77A62E"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B2EF6E5" w14:textId="77777777" w:rsidR="00152993" w:rsidRDefault="00152993">
            <w:pPr>
              <w:pStyle w:val="NormalArial"/>
            </w:pPr>
          </w:p>
        </w:tc>
      </w:tr>
      <w:tr w:rsidR="00152993" w14:paraId="0457272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ABEF62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F717C1" w14:textId="7550BE5C" w:rsidR="00152993" w:rsidRDefault="000B234B">
            <w:pPr>
              <w:pStyle w:val="NormalArial"/>
            </w:pPr>
            <w:r>
              <w:t>June 22, 2026</w:t>
            </w:r>
          </w:p>
        </w:tc>
      </w:tr>
      <w:tr w:rsidR="00152993" w14:paraId="28798132" w14:textId="77777777">
        <w:trPr>
          <w:trHeight w:val="467"/>
        </w:trPr>
        <w:tc>
          <w:tcPr>
            <w:tcW w:w="2880" w:type="dxa"/>
            <w:gridSpan w:val="2"/>
            <w:tcBorders>
              <w:top w:val="single" w:sz="4" w:space="0" w:color="auto"/>
              <w:left w:val="nil"/>
              <w:bottom w:val="nil"/>
              <w:right w:val="nil"/>
            </w:tcBorders>
            <w:shd w:val="clear" w:color="auto" w:fill="FFFFFF"/>
            <w:vAlign w:val="center"/>
          </w:tcPr>
          <w:p w14:paraId="1E869795" w14:textId="77777777" w:rsidR="00152993" w:rsidRDefault="00152993">
            <w:pPr>
              <w:pStyle w:val="NormalArial"/>
            </w:pPr>
          </w:p>
        </w:tc>
        <w:tc>
          <w:tcPr>
            <w:tcW w:w="7560" w:type="dxa"/>
            <w:gridSpan w:val="2"/>
            <w:tcBorders>
              <w:top w:val="nil"/>
              <w:left w:val="nil"/>
              <w:bottom w:val="nil"/>
              <w:right w:val="nil"/>
            </w:tcBorders>
            <w:vAlign w:val="center"/>
          </w:tcPr>
          <w:p w14:paraId="2C71E561" w14:textId="77777777" w:rsidR="00152993" w:rsidRDefault="00152993">
            <w:pPr>
              <w:pStyle w:val="NormalArial"/>
            </w:pPr>
          </w:p>
        </w:tc>
      </w:tr>
      <w:tr w:rsidR="00152993" w14:paraId="31385822" w14:textId="77777777">
        <w:trPr>
          <w:trHeight w:val="440"/>
        </w:trPr>
        <w:tc>
          <w:tcPr>
            <w:tcW w:w="10440" w:type="dxa"/>
            <w:gridSpan w:val="4"/>
            <w:tcBorders>
              <w:top w:val="single" w:sz="4" w:space="0" w:color="auto"/>
            </w:tcBorders>
            <w:shd w:val="clear" w:color="auto" w:fill="FFFFFF"/>
            <w:vAlign w:val="center"/>
          </w:tcPr>
          <w:p w14:paraId="585E3587" w14:textId="77777777" w:rsidR="00152993" w:rsidRDefault="00152993">
            <w:pPr>
              <w:pStyle w:val="Header"/>
              <w:jc w:val="center"/>
            </w:pPr>
            <w:r>
              <w:t>Submitter’s Information</w:t>
            </w:r>
          </w:p>
        </w:tc>
      </w:tr>
      <w:tr w:rsidR="00152993" w14:paraId="1396DF1A" w14:textId="77777777">
        <w:trPr>
          <w:trHeight w:val="350"/>
        </w:trPr>
        <w:tc>
          <w:tcPr>
            <w:tcW w:w="2880" w:type="dxa"/>
            <w:gridSpan w:val="2"/>
            <w:shd w:val="clear" w:color="auto" w:fill="FFFFFF"/>
            <w:vAlign w:val="center"/>
          </w:tcPr>
          <w:p w14:paraId="5999CCE4" w14:textId="77777777" w:rsidR="00152993" w:rsidRPr="00EC55B3" w:rsidRDefault="00152993" w:rsidP="00EC55B3">
            <w:pPr>
              <w:pStyle w:val="Header"/>
            </w:pPr>
            <w:r w:rsidRPr="00EC55B3">
              <w:t>Name</w:t>
            </w:r>
          </w:p>
        </w:tc>
        <w:tc>
          <w:tcPr>
            <w:tcW w:w="7560" w:type="dxa"/>
            <w:gridSpan w:val="2"/>
            <w:vAlign w:val="center"/>
          </w:tcPr>
          <w:p w14:paraId="7C563E09" w14:textId="340EC73E" w:rsidR="00152993" w:rsidRDefault="008C4852">
            <w:pPr>
              <w:pStyle w:val="NormalArial"/>
            </w:pPr>
            <w:r>
              <w:t xml:space="preserve">Andrew Reimers </w:t>
            </w:r>
          </w:p>
        </w:tc>
      </w:tr>
      <w:tr w:rsidR="00152993" w14:paraId="3F8063BB" w14:textId="77777777">
        <w:trPr>
          <w:trHeight w:val="350"/>
        </w:trPr>
        <w:tc>
          <w:tcPr>
            <w:tcW w:w="2880" w:type="dxa"/>
            <w:gridSpan w:val="2"/>
            <w:shd w:val="clear" w:color="auto" w:fill="FFFFFF"/>
            <w:vAlign w:val="center"/>
          </w:tcPr>
          <w:p w14:paraId="1DF9976E" w14:textId="77777777" w:rsidR="00152993" w:rsidRPr="00EC55B3" w:rsidRDefault="00152993" w:rsidP="00EC55B3">
            <w:pPr>
              <w:pStyle w:val="Header"/>
            </w:pPr>
            <w:r w:rsidRPr="00EC55B3">
              <w:t>E-mail Address</w:t>
            </w:r>
          </w:p>
        </w:tc>
        <w:tc>
          <w:tcPr>
            <w:tcW w:w="7560" w:type="dxa"/>
            <w:gridSpan w:val="2"/>
            <w:vAlign w:val="center"/>
          </w:tcPr>
          <w:p w14:paraId="0B33062B" w14:textId="458F8CA2" w:rsidR="00152993" w:rsidRDefault="009216A1">
            <w:pPr>
              <w:pStyle w:val="NormalArial"/>
            </w:pPr>
            <w:hyperlink r:id="rId11" w:history="1">
              <w:r w:rsidRPr="002C230D">
                <w:rPr>
                  <w:rStyle w:val="Hyperlink"/>
                </w:rPr>
                <w:t>areimers@potomaceconomics.com</w:t>
              </w:r>
            </w:hyperlink>
          </w:p>
        </w:tc>
      </w:tr>
      <w:tr w:rsidR="00152993" w14:paraId="5A62F01A" w14:textId="77777777">
        <w:trPr>
          <w:trHeight w:val="350"/>
        </w:trPr>
        <w:tc>
          <w:tcPr>
            <w:tcW w:w="2880" w:type="dxa"/>
            <w:gridSpan w:val="2"/>
            <w:shd w:val="clear" w:color="auto" w:fill="FFFFFF"/>
            <w:vAlign w:val="center"/>
          </w:tcPr>
          <w:p w14:paraId="3B7EDB0B" w14:textId="77777777" w:rsidR="00152993" w:rsidRPr="00EC55B3" w:rsidRDefault="00152993" w:rsidP="00EC55B3">
            <w:pPr>
              <w:pStyle w:val="Header"/>
            </w:pPr>
            <w:r w:rsidRPr="00EC55B3">
              <w:t>Company</w:t>
            </w:r>
          </w:p>
        </w:tc>
        <w:tc>
          <w:tcPr>
            <w:tcW w:w="7560" w:type="dxa"/>
            <w:gridSpan w:val="2"/>
            <w:vAlign w:val="center"/>
          </w:tcPr>
          <w:p w14:paraId="0CA6143C" w14:textId="421B0FDB" w:rsidR="00152993" w:rsidRDefault="004032C0">
            <w:pPr>
              <w:pStyle w:val="NormalArial"/>
            </w:pPr>
            <w:r>
              <w:t>Potomac Economics</w:t>
            </w:r>
            <w:r w:rsidR="0071736F">
              <w:t xml:space="preserve">, </w:t>
            </w:r>
            <w:r w:rsidR="0071736F">
              <w:t>Independent Market Monitor</w:t>
            </w:r>
            <w:r w:rsidR="0071736F">
              <w:t xml:space="preserve"> (IMM)</w:t>
            </w:r>
          </w:p>
        </w:tc>
      </w:tr>
      <w:tr w:rsidR="00152993" w14:paraId="76DB17F9" w14:textId="77777777">
        <w:trPr>
          <w:trHeight w:val="350"/>
        </w:trPr>
        <w:tc>
          <w:tcPr>
            <w:tcW w:w="2880" w:type="dxa"/>
            <w:gridSpan w:val="2"/>
            <w:tcBorders>
              <w:bottom w:val="single" w:sz="4" w:space="0" w:color="auto"/>
            </w:tcBorders>
            <w:shd w:val="clear" w:color="auto" w:fill="FFFFFF"/>
            <w:vAlign w:val="center"/>
          </w:tcPr>
          <w:p w14:paraId="20A1F907"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0DB4462" w14:textId="77777777" w:rsidR="00152993" w:rsidRDefault="00152993">
            <w:pPr>
              <w:pStyle w:val="NormalArial"/>
            </w:pPr>
          </w:p>
        </w:tc>
      </w:tr>
      <w:tr w:rsidR="00152993" w14:paraId="7146BD81" w14:textId="77777777">
        <w:trPr>
          <w:trHeight w:val="350"/>
        </w:trPr>
        <w:tc>
          <w:tcPr>
            <w:tcW w:w="2880" w:type="dxa"/>
            <w:gridSpan w:val="2"/>
            <w:shd w:val="clear" w:color="auto" w:fill="FFFFFF"/>
            <w:vAlign w:val="center"/>
          </w:tcPr>
          <w:p w14:paraId="4E33AA63"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2F1C71CE" w14:textId="77777777" w:rsidR="00152993" w:rsidRDefault="00152993">
            <w:pPr>
              <w:pStyle w:val="NormalArial"/>
            </w:pPr>
          </w:p>
        </w:tc>
      </w:tr>
      <w:tr w:rsidR="00075A94" w14:paraId="7919F9BF" w14:textId="77777777">
        <w:trPr>
          <w:trHeight w:val="350"/>
        </w:trPr>
        <w:tc>
          <w:tcPr>
            <w:tcW w:w="2880" w:type="dxa"/>
            <w:gridSpan w:val="2"/>
            <w:tcBorders>
              <w:bottom w:val="single" w:sz="4" w:space="0" w:color="auto"/>
            </w:tcBorders>
            <w:shd w:val="clear" w:color="auto" w:fill="FFFFFF"/>
            <w:vAlign w:val="center"/>
          </w:tcPr>
          <w:p w14:paraId="41E0FD9E"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6F6E64B2" w14:textId="3FCD6E2A" w:rsidR="00075A94" w:rsidRDefault="0071736F">
            <w:pPr>
              <w:pStyle w:val="NormalArial"/>
            </w:pPr>
            <w:r>
              <w:t>Not applicable</w:t>
            </w:r>
          </w:p>
        </w:tc>
      </w:tr>
    </w:tbl>
    <w:p w14:paraId="2D63D5A4"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4841B3A6" w14:textId="77777777" w:rsidTr="00B5080A">
        <w:trPr>
          <w:trHeight w:val="422"/>
          <w:jc w:val="center"/>
        </w:trPr>
        <w:tc>
          <w:tcPr>
            <w:tcW w:w="10440" w:type="dxa"/>
            <w:vAlign w:val="center"/>
          </w:tcPr>
          <w:p w14:paraId="6A07CC9E" w14:textId="77777777" w:rsidR="00075A94" w:rsidRPr="00075A94" w:rsidRDefault="00075A94" w:rsidP="00B5080A">
            <w:pPr>
              <w:pStyle w:val="Header"/>
              <w:jc w:val="center"/>
            </w:pPr>
            <w:r w:rsidRPr="00075A94">
              <w:t>Comments</w:t>
            </w:r>
          </w:p>
        </w:tc>
      </w:tr>
    </w:tbl>
    <w:p w14:paraId="7A043476" w14:textId="33C297C6" w:rsidR="007A7B58" w:rsidRPr="009216A1" w:rsidRDefault="007A7B58" w:rsidP="009216A1">
      <w:pPr>
        <w:pStyle w:val="NormalArial"/>
        <w:spacing w:before="120" w:after="120"/>
        <w:rPr>
          <w:rFonts w:cs="Arial"/>
        </w:rPr>
      </w:pPr>
      <w:r w:rsidRPr="009216A1">
        <w:rPr>
          <w:rFonts w:cs="Arial"/>
        </w:rPr>
        <w:t xml:space="preserve">The IMM appreciates the opportunity to comment on </w:t>
      </w:r>
      <w:r w:rsidR="009216A1">
        <w:rPr>
          <w:rFonts w:cs="Arial"/>
        </w:rPr>
        <w:t>Nodal Protocol Revision Request (</w:t>
      </w:r>
      <w:r w:rsidRPr="009216A1">
        <w:rPr>
          <w:rFonts w:cs="Arial"/>
        </w:rPr>
        <w:t>NPRR</w:t>
      </w:r>
      <w:r w:rsidR="009216A1">
        <w:rPr>
          <w:rFonts w:cs="Arial"/>
        </w:rPr>
        <w:t>)</w:t>
      </w:r>
      <w:r w:rsidRPr="009216A1">
        <w:rPr>
          <w:rFonts w:cs="Arial"/>
        </w:rPr>
        <w:t xml:space="preserve"> 1214 and supports its adoption, as it enhances reliability pricing, reduces unnecessary uplift, and </w:t>
      </w:r>
      <w:r w:rsidR="00094372" w:rsidRPr="009216A1">
        <w:rPr>
          <w:rFonts w:cs="Arial"/>
        </w:rPr>
        <w:t>resolves</w:t>
      </w:r>
      <w:r w:rsidRPr="009216A1">
        <w:rPr>
          <w:rFonts w:cs="Arial"/>
        </w:rPr>
        <w:t xml:space="preserve"> uneconomic dispatch instructions through an indifference payment. We encourage stakeholders to approve the current language of NPRR1214.</w:t>
      </w:r>
    </w:p>
    <w:p w14:paraId="14312015" w14:textId="1731BBA4" w:rsidR="00691223" w:rsidRPr="009216A1" w:rsidRDefault="00932251" w:rsidP="009216A1">
      <w:pPr>
        <w:pStyle w:val="NormalArial"/>
        <w:spacing w:before="120" w:after="120"/>
        <w:rPr>
          <w:rFonts w:cs="Arial"/>
        </w:rPr>
      </w:pPr>
      <w:r w:rsidRPr="009216A1">
        <w:rPr>
          <w:rFonts w:cs="Arial"/>
        </w:rPr>
        <w:t xml:space="preserve">We begin by outlining the benefits of NPRR1214 and the improvements it introduces to ERCOT’s reliability pricing framework. We then identify remaining shortcomings, focusing on temporal pricing impacts created by out-of-market reliability actions that are not fully captured under either the current </w:t>
      </w:r>
      <w:r w:rsidR="009216A1" w:rsidRPr="009216A1">
        <w:rPr>
          <w:rFonts w:cs="Arial"/>
        </w:rPr>
        <w:t>Reliability Deployment Price Adder</w:t>
      </w:r>
      <w:r w:rsidR="009216A1" w:rsidRPr="009216A1">
        <w:rPr>
          <w:rFonts w:cs="Arial"/>
        </w:rPr>
        <w:t xml:space="preserve"> </w:t>
      </w:r>
      <w:r w:rsidR="009216A1">
        <w:rPr>
          <w:rFonts w:cs="Arial"/>
        </w:rPr>
        <w:t>(</w:t>
      </w:r>
      <w:r w:rsidRPr="009216A1">
        <w:rPr>
          <w:rFonts w:cs="Arial"/>
        </w:rPr>
        <w:t>RDPA</w:t>
      </w:r>
      <w:r w:rsidR="009216A1">
        <w:rPr>
          <w:rFonts w:cs="Arial"/>
        </w:rPr>
        <w:t>)</w:t>
      </w:r>
      <w:r w:rsidRPr="009216A1">
        <w:rPr>
          <w:rFonts w:cs="Arial"/>
        </w:rPr>
        <w:t xml:space="preserve"> or the NPRR1214 enhancements and explain how these gaps can arise in practice and affect price formation. We then describe how a Multi-Interval Real-Time Market could address these shortcomings by more effectively incorporating intertemporal system conditions. </w:t>
      </w:r>
      <w:r w:rsidR="00B078BD" w:rsidRPr="009216A1">
        <w:rPr>
          <w:rFonts w:cs="Arial"/>
        </w:rPr>
        <w:t>We</w:t>
      </w:r>
      <w:r w:rsidRPr="009216A1">
        <w:rPr>
          <w:rFonts w:cs="Arial"/>
        </w:rPr>
        <w:t xml:space="preserve"> encourage </w:t>
      </w:r>
      <w:r w:rsidR="00B078BD" w:rsidRPr="009216A1">
        <w:rPr>
          <w:rFonts w:cs="Arial"/>
        </w:rPr>
        <w:t xml:space="preserve">ERCOT and </w:t>
      </w:r>
      <w:r w:rsidRPr="009216A1">
        <w:rPr>
          <w:rFonts w:cs="Arial"/>
        </w:rPr>
        <w:t>stakeholders to continue the conversation around reliability pricing and to consider MIRTM as a practical and effective solution.</w:t>
      </w:r>
    </w:p>
    <w:p w14:paraId="1E17C0DE" w14:textId="2C3D8567" w:rsidR="006D1034" w:rsidRPr="009216A1" w:rsidRDefault="00691223" w:rsidP="009216A1">
      <w:pPr>
        <w:spacing w:before="120" w:afterLines="120" w:after="288"/>
        <w:rPr>
          <w:rFonts w:ascii="Arial" w:hAnsi="Arial" w:cs="Arial"/>
          <w:b/>
          <w:bCs/>
          <w:u w:val="single"/>
        </w:rPr>
      </w:pPr>
      <w:r w:rsidRPr="009216A1">
        <w:rPr>
          <w:rFonts w:ascii="Arial" w:hAnsi="Arial" w:cs="Arial"/>
          <w:b/>
          <w:bCs/>
          <w:u w:val="single"/>
        </w:rPr>
        <w:t>NPRR1214 Benefits</w:t>
      </w:r>
    </w:p>
    <w:p w14:paraId="0A05E09C" w14:textId="7C0C8402" w:rsidR="00E4026F" w:rsidRPr="009216A1" w:rsidRDefault="006D1034" w:rsidP="009216A1">
      <w:pPr>
        <w:spacing w:before="120" w:after="120"/>
        <w:rPr>
          <w:rFonts w:ascii="Arial" w:hAnsi="Arial" w:cs="Arial"/>
          <w:u w:val="single"/>
        </w:rPr>
      </w:pPr>
      <w:r w:rsidRPr="009216A1">
        <w:rPr>
          <w:rFonts w:ascii="Arial" w:hAnsi="Arial" w:cs="Arial"/>
          <w:u w:val="single"/>
        </w:rPr>
        <w:t xml:space="preserve">Addressing </w:t>
      </w:r>
      <w:r w:rsidR="00462AFE" w:rsidRPr="009216A1">
        <w:rPr>
          <w:rFonts w:ascii="Arial" w:hAnsi="Arial" w:cs="Arial"/>
          <w:u w:val="single"/>
        </w:rPr>
        <w:t>Local</w:t>
      </w:r>
      <w:r w:rsidR="00AB1DFA" w:rsidRPr="009216A1">
        <w:rPr>
          <w:rFonts w:ascii="Arial" w:hAnsi="Arial" w:cs="Arial"/>
          <w:u w:val="single"/>
        </w:rPr>
        <w:t xml:space="preserve"> Pricing Impacts</w:t>
      </w:r>
    </w:p>
    <w:p w14:paraId="7412944B" w14:textId="5F417320" w:rsidR="00691223" w:rsidRPr="009216A1" w:rsidRDefault="008C4852" w:rsidP="009216A1">
      <w:pPr>
        <w:pStyle w:val="NormalArial"/>
        <w:spacing w:before="120" w:after="120"/>
        <w:rPr>
          <w:rFonts w:cs="Arial"/>
        </w:rPr>
      </w:pPr>
      <w:r w:rsidRPr="009216A1">
        <w:rPr>
          <w:rFonts w:cs="Arial"/>
        </w:rPr>
        <w:t xml:space="preserve">ERCOT’s prevailing reliability pricing construct, the RDPA, is meant to address the price suppressing effects of out-of-market reliability actions taken by the grid operators such as </w:t>
      </w:r>
      <w:r w:rsidR="009216A1">
        <w:rPr>
          <w:rFonts w:cs="Arial"/>
        </w:rPr>
        <w:t>R</w:t>
      </w:r>
      <w:r w:rsidR="0040252F" w:rsidRPr="009216A1">
        <w:rPr>
          <w:rFonts w:cs="Arial"/>
        </w:rPr>
        <w:t xml:space="preserve">eliability </w:t>
      </w:r>
      <w:r w:rsidR="009216A1">
        <w:rPr>
          <w:rFonts w:cs="Arial"/>
        </w:rPr>
        <w:t>U</w:t>
      </w:r>
      <w:r w:rsidR="0040252F" w:rsidRPr="009216A1">
        <w:rPr>
          <w:rFonts w:cs="Arial"/>
        </w:rPr>
        <w:t xml:space="preserve">nit </w:t>
      </w:r>
      <w:r w:rsidR="009216A1">
        <w:rPr>
          <w:rFonts w:cs="Arial"/>
        </w:rPr>
        <w:t>C</w:t>
      </w:r>
      <w:r w:rsidR="0040252F" w:rsidRPr="009216A1">
        <w:rPr>
          <w:rFonts w:cs="Arial"/>
        </w:rPr>
        <w:t>ommitments (RUC</w:t>
      </w:r>
      <w:r w:rsidR="009216A1">
        <w:rPr>
          <w:rFonts w:cs="Arial"/>
        </w:rPr>
        <w:t>s</w:t>
      </w:r>
      <w:r w:rsidR="00022658" w:rsidRPr="009216A1">
        <w:rPr>
          <w:rFonts w:cs="Arial"/>
        </w:rPr>
        <w:t>)</w:t>
      </w:r>
      <w:r w:rsidRPr="009216A1">
        <w:rPr>
          <w:rFonts w:cs="Arial"/>
        </w:rPr>
        <w:t xml:space="preserve"> or deployments of </w:t>
      </w:r>
      <w:r w:rsidR="009216A1">
        <w:rPr>
          <w:rFonts w:cs="Arial"/>
        </w:rPr>
        <w:t>Emergency Response Service (</w:t>
      </w:r>
      <w:r w:rsidRPr="009216A1">
        <w:rPr>
          <w:rFonts w:cs="Arial"/>
        </w:rPr>
        <w:t>ERS</w:t>
      </w:r>
      <w:r w:rsidR="009216A1">
        <w:rPr>
          <w:rFonts w:cs="Arial"/>
        </w:rPr>
        <w:t>)</w:t>
      </w:r>
      <w:r w:rsidRPr="009216A1">
        <w:rPr>
          <w:rFonts w:cs="Arial"/>
        </w:rPr>
        <w:t xml:space="preserve"> </w:t>
      </w:r>
      <w:r w:rsidR="009216A1">
        <w:rPr>
          <w:rFonts w:cs="Arial"/>
        </w:rPr>
        <w:t>R</w:t>
      </w:r>
      <w:r w:rsidRPr="009216A1">
        <w:rPr>
          <w:rFonts w:cs="Arial"/>
        </w:rPr>
        <w:t xml:space="preserve">esources. The RDPA is intended to reflect the price that would have occurred counterfactually had out-of-market actions not been taken. The current design, however, only accounts for differences in system-wide prices (i.e., system lambda) rather than locational prices (i.e., </w:t>
      </w:r>
      <w:r w:rsidR="009216A1">
        <w:rPr>
          <w:rFonts w:cs="Arial"/>
        </w:rPr>
        <w:t>Locational Marginal Prices (</w:t>
      </w:r>
      <w:r w:rsidRPr="009216A1">
        <w:rPr>
          <w:rFonts w:cs="Arial"/>
        </w:rPr>
        <w:t>LMPs</w:t>
      </w:r>
      <w:r w:rsidR="009216A1">
        <w:rPr>
          <w:rFonts w:cs="Arial"/>
        </w:rPr>
        <w:t>)</w:t>
      </w:r>
      <w:r w:rsidRPr="009216A1">
        <w:rPr>
          <w:rFonts w:cs="Arial"/>
        </w:rPr>
        <w:t xml:space="preserve">). The RDPA </w:t>
      </w:r>
      <w:r w:rsidRPr="009216A1">
        <w:rPr>
          <w:rFonts w:cs="Arial"/>
        </w:rPr>
        <w:lastRenderedPageBreak/>
        <w:t xml:space="preserve">sufficiently accounts for the pricing impact of reliability actions taken in response to system-wide scarcity conditions, but it is ineffective at accounting for the localized pricing impacts of reliability actions taken to address locational issues, e.g., RUC </w:t>
      </w:r>
      <w:r w:rsidR="00E03562" w:rsidRPr="009216A1">
        <w:rPr>
          <w:rFonts w:cs="Arial"/>
        </w:rPr>
        <w:t xml:space="preserve">instructions </w:t>
      </w:r>
      <w:r w:rsidRPr="009216A1">
        <w:rPr>
          <w:rFonts w:cs="Arial"/>
        </w:rPr>
        <w:t xml:space="preserve">to address localized congestion. NPRR1214 effectively addresses this shortcoming by producing LMPs that account for pricing impacts on a nodal basis. </w:t>
      </w:r>
    </w:p>
    <w:p w14:paraId="41564052" w14:textId="0F1753CB" w:rsidR="00A2358E" w:rsidRPr="009216A1" w:rsidRDefault="00691223" w:rsidP="009216A1">
      <w:pPr>
        <w:spacing w:before="120" w:after="120"/>
        <w:rPr>
          <w:rFonts w:ascii="Arial" w:hAnsi="Arial" w:cs="Arial"/>
          <w:u w:val="single"/>
        </w:rPr>
      </w:pPr>
      <w:r w:rsidRPr="009216A1">
        <w:rPr>
          <w:rFonts w:ascii="Arial" w:hAnsi="Arial" w:cs="Arial"/>
          <w:u w:val="single"/>
        </w:rPr>
        <w:t>Reducing Uplift</w:t>
      </w:r>
    </w:p>
    <w:p w14:paraId="39871E5C" w14:textId="6CEA8B68" w:rsidR="008C4852" w:rsidRPr="009216A1" w:rsidRDefault="008C4852" w:rsidP="009216A1">
      <w:pPr>
        <w:pStyle w:val="NormalArial"/>
        <w:spacing w:before="120" w:after="120"/>
        <w:rPr>
          <w:rFonts w:cs="Arial"/>
        </w:rPr>
      </w:pPr>
      <w:r w:rsidRPr="009216A1">
        <w:rPr>
          <w:rFonts w:cs="Arial"/>
        </w:rPr>
        <w:t xml:space="preserve">Out-of-market reliability actions can result in uplift if, for example, market revenues are insufficient to cover the startup and minimum generation costs of resources committed through RUC. Uplift is more likely if market revenues are suppressed because of reliability actions. NPRR1214 reduces the likelihood of such uplift by addressing the localized price suppression effects of reliability actions so that more of the cost of these actions is paid through wholesale market transactions. </w:t>
      </w:r>
    </w:p>
    <w:p w14:paraId="26E8C3D6" w14:textId="493D2F2E" w:rsidR="00475DE8" w:rsidRPr="009216A1" w:rsidRDefault="00753415" w:rsidP="009216A1">
      <w:pPr>
        <w:spacing w:before="120" w:after="120"/>
        <w:rPr>
          <w:rFonts w:ascii="Arial" w:hAnsi="Arial" w:cs="Arial"/>
          <w:u w:val="single"/>
        </w:rPr>
      </w:pPr>
      <w:r w:rsidRPr="009216A1">
        <w:rPr>
          <w:rFonts w:ascii="Arial" w:hAnsi="Arial" w:cs="Arial"/>
          <w:u w:val="single"/>
        </w:rPr>
        <w:t>Resolv</w:t>
      </w:r>
      <w:r w:rsidR="00916AB1" w:rsidRPr="009216A1">
        <w:rPr>
          <w:rFonts w:ascii="Arial" w:hAnsi="Arial" w:cs="Arial"/>
          <w:u w:val="single"/>
        </w:rPr>
        <w:t>es Disparities between Dispatch and Pricing Runs</w:t>
      </w:r>
    </w:p>
    <w:p w14:paraId="0FA48239" w14:textId="19F5265A" w:rsidR="008C4852" w:rsidRPr="009216A1" w:rsidRDefault="008C4852" w:rsidP="009216A1">
      <w:pPr>
        <w:pStyle w:val="NormalArial"/>
        <w:spacing w:before="120" w:after="120"/>
        <w:rPr>
          <w:rFonts w:cs="Arial"/>
        </w:rPr>
      </w:pPr>
      <w:r w:rsidRPr="009216A1">
        <w:rPr>
          <w:rFonts w:cs="Arial"/>
        </w:rPr>
        <w:t xml:space="preserve">Like the RDPA, the reliability pricing construct proposed by NPRR1214 relies on two distinct runs of </w:t>
      </w:r>
      <w:r w:rsidR="009216A1">
        <w:rPr>
          <w:rFonts w:cs="Arial"/>
        </w:rPr>
        <w:t>Security-Constrained Economic Dispatch (</w:t>
      </w:r>
      <w:r w:rsidRPr="009216A1">
        <w:rPr>
          <w:rFonts w:cs="Arial"/>
        </w:rPr>
        <w:t>SCED</w:t>
      </w:r>
      <w:r w:rsidR="009216A1">
        <w:rPr>
          <w:rFonts w:cs="Arial"/>
        </w:rPr>
        <w:t>)</w:t>
      </w:r>
      <w:r w:rsidRPr="009216A1">
        <w:rPr>
          <w:rFonts w:cs="Arial"/>
        </w:rPr>
        <w:t xml:space="preserve"> – a dispatch run and a pricing run. The dispatch run produces base points that </w:t>
      </w:r>
      <w:r w:rsidR="009216A1">
        <w:rPr>
          <w:rFonts w:cs="Arial"/>
        </w:rPr>
        <w:t>R</w:t>
      </w:r>
      <w:r w:rsidRPr="009216A1">
        <w:rPr>
          <w:rFonts w:cs="Arial"/>
        </w:rPr>
        <w:t xml:space="preserve">esources must follow, and the pricing run produces financially binding LMPs for energy and MCPCs for </w:t>
      </w:r>
      <w:r w:rsidR="009216A1">
        <w:rPr>
          <w:rFonts w:cs="Arial"/>
        </w:rPr>
        <w:t>A</w:t>
      </w:r>
      <w:r w:rsidRPr="009216A1">
        <w:rPr>
          <w:rFonts w:cs="Arial"/>
        </w:rPr>
        <w:t xml:space="preserve">ncillary </w:t>
      </w:r>
      <w:r w:rsidR="009216A1">
        <w:rPr>
          <w:rFonts w:cs="Arial"/>
        </w:rPr>
        <w:t>S</w:t>
      </w:r>
      <w:r w:rsidRPr="009216A1">
        <w:rPr>
          <w:rFonts w:cs="Arial"/>
        </w:rPr>
        <w:t xml:space="preserve">ervices. Disparities between these two instances of SCED can result in uneconomic instructions for some </w:t>
      </w:r>
      <w:r w:rsidR="009216A1">
        <w:rPr>
          <w:rFonts w:cs="Arial"/>
        </w:rPr>
        <w:t>R</w:t>
      </w:r>
      <w:r w:rsidRPr="009216A1">
        <w:rPr>
          <w:rFonts w:cs="Arial"/>
        </w:rPr>
        <w:t xml:space="preserve">esources, where the </w:t>
      </w:r>
      <w:r w:rsidR="009216A1">
        <w:rPr>
          <w:rFonts w:cs="Arial"/>
        </w:rPr>
        <w:t>B</w:t>
      </w:r>
      <w:r w:rsidRPr="009216A1">
        <w:rPr>
          <w:rFonts w:cs="Arial"/>
        </w:rPr>
        <w:t xml:space="preserve">ase </w:t>
      </w:r>
      <w:r w:rsidR="009216A1">
        <w:rPr>
          <w:rFonts w:cs="Arial"/>
        </w:rPr>
        <w:t>P</w:t>
      </w:r>
      <w:r w:rsidRPr="009216A1">
        <w:rPr>
          <w:rFonts w:cs="Arial"/>
        </w:rPr>
        <w:t xml:space="preserve">oints from the dispatch run are not aligned with the LMPs or MCPCs from the pricing run. NPRR1214 introduces an indifference payment to </w:t>
      </w:r>
      <w:r w:rsidR="00094372" w:rsidRPr="009216A1">
        <w:rPr>
          <w:rFonts w:cs="Arial"/>
        </w:rPr>
        <w:t xml:space="preserve">resolve </w:t>
      </w:r>
      <w:r w:rsidRPr="009216A1">
        <w:rPr>
          <w:rFonts w:cs="Arial"/>
        </w:rPr>
        <w:t xml:space="preserve">these disparities so that </w:t>
      </w:r>
      <w:r w:rsidR="009216A1">
        <w:rPr>
          <w:rFonts w:cs="Arial"/>
        </w:rPr>
        <w:t>R</w:t>
      </w:r>
      <w:r w:rsidRPr="009216A1">
        <w:rPr>
          <w:rFonts w:cs="Arial"/>
        </w:rPr>
        <w:t xml:space="preserve">esources are not subject to uneconomic </w:t>
      </w:r>
      <w:r w:rsidR="009216A1">
        <w:rPr>
          <w:rFonts w:cs="Arial"/>
        </w:rPr>
        <w:t>D</w:t>
      </w:r>
      <w:r w:rsidRPr="009216A1">
        <w:rPr>
          <w:rFonts w:cs="Arial"/>
        </w:rPr>
        <w:t xml:space="preserve">ispatch </w:t>
      </w:r>
      <w:r w:rsidR="009216A1">
        <w:rPr>
          <w:rFonts w:cs="Arial"/>
        </w:rPr>
        <w:t>I</w:t>
      </w:r>
      <w:r w:rsidRPr="009216A1">
        <w:rPr>
          <w:rFonts w:cs="Arial"/>
        </w:rPr>
        <w:t xml:space="preserve">nstructions. </w:t>
      </w:r>
    </w:p>
    <w:p w14:paraId="2AEB394F" w14:textId="5857A05F" w:rsidR="007160E0" w:rsidRPr="009216A1" w:rsidRDefault="00E45390" w:rsidP="009216A1">
      <w:pPr>
        <w:spacing w:before="120" w:afterLines="120" w:after="288"/>
        <w:rPr>
          <w:rFonts w:ascii="Arial" w:hAnsi="Arial" w:cs="Arial"/>
          <w:b/>
          <w:bCs/>
          <w:u w:val="single"/>
        </w:rPr>
      </w:pPr>
      <w:r w:rsidRPr="009216A1">
        <w:rPr>
          <w:rFonts w:ascii="Arial" w:hAnsi="Arial" w:cs="Arial"/>
          <w:b/>
          <w:bCs/>
          <w:u w:val="single"/>
        </w:rPr>
        <w:t>Continuing the Conversation Around Reliability Pricing</w:t>
      </w:r>
    </w:p>
    <w:p w14:paraId="44203206" w14:textId="19ABD4C5" w:rsidR="00572177" w:rsidRPr="009216A1" w:rsidRDefault="00A955B5" w:rsidP="009216A1">
      <w:pPr>
        <w:spacing w:before="120" w:after="120"/>
        <w:rPr>
          <w:rFonts w:ascii="Arial" w:hAnsi="Arial" w:cs="Arial"/>
          <w:u w:val="single"/>
        </w:rPr>
      </w:pPr>
      <w:r w:rsidRPr="009216A1">
        <w:rPr>
          <w:rFonts w:ascii="Arial" w:hAnsi="Arial" w:cs="Arial"/>
          <w:u w:val="single"/>
        </w:rPr>
        <w:t>Counterfactual</w:t>
      </w:r>
      <w:r w:rsidR="001F330A" w:rsidRPr="009216A1">
        <w:rPr>
          <w:rFonts w:ascii="Arial" w:hAnsi="Arial" w:cs="Arial"/>
          <w:u w:val="single"/>
        </w:rPr>
        <w:t xml:space="preserve"> Analysis of State of Charge</w:t>
      </w:r>
      <w:r w:rsidR="009216A1">
        <w:rPr>
          <w:rFonts w:ascii="Arial" w:hAnsi="Arial" w:cs="Arial"/>
          <w:u w:val="single"/>
        </w:rPr>
        <w:t xml:space="preserve"> (SOC)</w:t>
      </w:r>
    </w:p>
    <w:p w14:paraId="35246D2B" w14:textId="67F981AB" w:rsidR="008C4852" w:rsidRPr="009216A1" w:rsidRDefault="008C4852" w:rsidP="009216A1">
      <w:pPr>
        <w:pStyle w:val="NormalArial"/>
        <w:spacing w:before="120" w:after="120"/>
        <w:rPr>
          <w:rFonts w:cs="Arial"/>
        </w:rPr>
      </w:pPr>
      <w:r w:rsidRPr="009216A1">
        <w:rPr>
          <w:rFonts w:cs="Arial"/>
        </w:rPr>
        <w:t xml:space="preserve">NPRR1214 effectively addresses the locational price impacts of reliability actions, but it does not address the temporal impacts of such actions. Consider a situation where reliability actions are taken to avoid system-wide depletion of </w:t>
      </w:r>
      <w:r w:rsidR="009216A1">
        <w:rPr>
          <w:rFonts w:cs="Arial"/>
        </w:rPr>
        <w:t>S</w:t>
      </w:r>
      <w:r w:rsidRPr="009216A1">
        <w:rPr>
          <w:rFonts w:cs="Arial"/>
        </w:rPr>
        <w:t xml:space="preserve">tate of </w:t>
      </w:r>
      <w:r w:rsidR="009216A1">
        <w:rPr>
          <w:rFonts w:cs="Arial"/>
        </w:rPr>
        <w:t>C</w:t>
      </w:r>
      <w:r w:rsidRPr="009216A1">
        <w:rPr>
          <w:rFonts w:cs="Arial"/>
        </w:rPr>
        <w:t xml:space="preserve">harge (SOC) for </w:t>
      </w:r>
      <w:r w:rsidR="009216A1">
        <w:rPr>
          <w:rFonts w:cs="Arial"/>
        </w:rPr>
        <w:t>E</w:t>
      </w:r>
      <w:r w:rsidRPr="009216A1">
        <w:rPr>
          <w:rFonts w:cs="Arial"/>
        </w:rPr>
        <w:t xml:space="preserve">nergy </w:t>
      </w:r>
      <w:r w:rsidR="009216A1">
        <w:rPr>
          <w:rFonts w:cs="Arial"/>
        </w:rPr>
        <w:t>S</w:t>
      </w:r>
      <w:r w:rsidRPr="009216A1">
        <w:rPr>
          <w:rFonts w:cs="Arial"/>
        </w:rPr>
        <w:t xml:space="preserve">torage </w:t>
      </w:r>
      <w:r w:rsidR="009216A1">
        <w:rPr>
          <w:rFonts w:cs="Arial"/>
        </w:rPr>
        <w:t>R</w:t>
      </w:r>
      <w:r w:rsidRPr="009216A1">
        <w:rPr>
          <w:rFonts w:cs="Arial"/>
        </w:rPr>
        <w:t xml:space="preserve">esources (ESRs). Counterfactually, if the reliability action were not taken, ESR SOC would have depleted over time, reducing the supply of operating reserves and resulting in elevated pricing as reserve scarcity as illustrated in </w:t>
      </w:r>
      <w:r w:rsidRPr="009216A1">
        <w:rPr>
          <w:rFonts w:cs="Arial"/>
        </w:rPr>
        <w:fldChar w:fldCharType="begin"/>
      </w:r>
      <w:r w:rsidRPr="009216A1">
        <w:rPr>
          <w:rFonts w:cs="Arial"/>
        </w:rPr>
        <w:instrText xml:space="preserve"> REF _Ref232499602 \h </w:instrText>
      </w:r>
      <w:r w:rsidRPr="009216A1">
        <w:rPr>
          <w:rFonts w:cs="Arial"/>
        </w:rPr>
      </w:r>
      <w:r w:rsidR="009216A1">
        <w:rPr>
          <w:rFonts w:cs="Arial"/>
        </w:rPr>
        <w:instrText xml:space="preserve"> \* MERGEFORMAT </w:instrText>
      </w:r>
      <w:r w:rsidRPr="009216A1">
        <w:rPr>
          <w:rFonts w:cs="Arial"/>
        </w:rPr>
        <w:fldChar w:fldCharType="separate"/>
      </w:r>
      <w:r w:rsidRPr="009216A1">
        <w:rPr>
          <w:rFonts w:cs="Arial"/>
        </w:rPr>
        <w:t xml:space="preserve">Figure </w:t>
      </w:r>
      <w:r w:rsidRPr="009216A1">
        <w:rPr>
          <w:rFonts w:cs="Arial"/>
          <w:noProof/>
        </w:rPr>
        <w:t>1</w:t>
      </w:r>
      <w:r w:rsidRPr="009216A1">
        <w:rPr>
          <w:rFonts w:cs="Arial"/>
        </w:rPr>
        <w:fldChar w:fldCharType="end"/>
      </w:r>
      <w:r w:rsidRPr="009216A1">
        <w:rPr>
          <w:rFonts w:cs="Arial"/>
        </w:rPr>
        <w:t xml:space="preserve"> at the end of these comments. This temporal dynamic is not captured by ERCOT’s reliability pricing mechanism, which only sees one interval at a time. </w:t>
      </w:r>
    </w:p>
    <w:p w14:paraId="36C6E14B" w14:textId="365947EE" w:rsidR="001F330A" w:rsidRPr="009216A1" w:rsidRDefault="005041EC" w:rsidP="009216A1">
      <w:pPr>
        <w:spacing w:before="120" w:after="120"/>
        <w:rPr>
          <w:rFonts w:ascii="Arial" w:hAnsi="Arial" w:cs="Arial"/>
          <w:u w:val="single"/>
        </w:rPr>
      </w:pPr>
      <w:r w:rsidRPr="009216A1">
        <w:rPr>
          <w:rFonts w:ascii="Arial" w:hAnsi="Arial" w:cs="Arial"/>
          <w:u w:val="single"/>
        </w:rPr>
        <w:t xml:space="preserve">The Solution: A Multi-Interval Real-Time Market </w:t>
      </w:r>
    </w:p>
    <w:p w14:paraId="5AED67EC" w14:textId="6E1A4F52" w:rsidR="00E4616A" w:rsidRPr="009216A1" w:rsidRDefault="006611C6" w:rsidP="009216A1">
      <w:pPr>
        <w:pStyle w:val="NormalArial"/>
        <w:spacing w:before="120" w:after="120"/>
        <w:rPr>
          <w:rFonts w:cs="Arial"/>
        </w:rPr>
      </w:pPr>
      <w:r w:rsidRPr="009216A1">
        <w:rPr>
          <w:rFonts w:cs="Arial"/>
        </w:rPr>
        <w:t>Since our 2022 State of the Market report, w</w:t>
      </w:r>
      <w:r w:rsidR="00CD4273" w:rsidRPr="009216A1">
        <w:rPr>
          <w:rFonts w:cs="Arial"/>
        </w:rPr>
        <w:t>e have recommended that ERCOT implement a multi-interval real-time market (MIRTM)</w:t>
      </w:r>
      <w:r w:rsidRPr="009216A1">
        <w:rPr>
          <w:rFonts w:cs="Arial"/>
        </w:rPr>
        <w:t>.</w:t>
      </w:r>
      <w:r w:rsidR="00CD4273" w:rsidRPr="009216A1">
        <w:rPr>
          <w:rFonts w:cs="Arial"/>
        </w:rPr>
        <w:t xml:space="preserve"> </w:t>
      </w:r>
      <w:r w:rsidR="00AF029F" w:rsidRPr="009216A1">
        <w:rPr>
          <w:rFonts w:cs="Arial"/>
        </w:rPr>
        <w:t>A MIRTM</w:t>
      </w:r>
      <w:r w:rsidR="0099768E" w:rsidRPr="009216A1">
        <w:rPr>
          <w:rFonts w:cs="Arial"/>
        </w:rPr>
        <w:t xml:space="preserve"> </w:t>
      </w:r>
      <w:r w:rsidR="00AF029F" w:rsidRPr="009216A1">
        <w:rPr>
          <w:rFonts w:cs="Arial"/>
        </w:rPr>
        <w:t xml:space="preserve">produces a dispatch </w:t>
      </w:r>
      <w:r w:rsidR="00266048" w:rsidRPr="009216A1">
        <w:rPr>
          <w:rFonts w:cs="Arial"/>
        </w:rPr>
        <w:t>schedule</w:t>
      </w:r>
      <w:r w:rsidR="00AF029F" w:rsidRPr="009216A1">
        <w:rPr>
          <w:rFonts w:cs="Arial"/>
        </w:rPr>
        <w:t xml:space="preserve"> based on forecasted system conditions across multiple future</w:t>
      </w:r>
      <w:r w:rsidR="0099768E" w:rsidRPr="009216A1">
        <w:rPr>
          <w:rFonts w:cs="Arial"/>
        </w:rPr>
        <w:t xml:space="preserve"> </w:t>
      </w:r>
      <w:r w:rsidR="00AF029F" w:rsidRPr="009216A1">
        <w:rPr>
          <w:rFonts w:cs="Arial"/>
        </w:rPr>
        <w:t>intervals</w:t>
      </w:r>
      <w:r w:rsidR="00970108" w:rsidRPr="009216A1">
        <w:rPr>
          <w:rFonts w:cs="Arial"/>
        </w:rPr>
        <w:t xml:space="preserve"> called a “study period</w:t>
      </w:r>
      <w:r w:rsidR="00F3796B" w:rsidRPr="009216A1">
        <w:rPr>
          <w:rFonts w:cs="Arial"/>
        </w:rPr>
        <w:t>.</w:t>
      </w:r>
      <w:r w:rsidR="00970108" w:rsidRPr="009216A1">
        <w:rPr>
          <w:rFonts w:cs="Arial"/>
        </w:rPr>
        <w:t>”</w:t>
      </w:r>
      <w:r w:rsidR="00F3796B" w:rsidRPr="009216A1">
        <w:rPr>
          <w:rFonts w:cs="Arial"/>
        </w:rPr>
        <w:t xml:space="preserve"> One of the primary benefits of a MIRTM is that </w:t>
      </w:r>
      <w:r w:rsidR="00056D73" w:rsidRPr="009216A1">
        <w:rPr>
          <w:rFonts w:cs="Arial"/>
        </w:rPr>
        <w:t xml:space="preserve">it </w:t>
      </w:r>
      <w:r w:rsidR="00970108" w:rsidRPr="009216A1">
        <w:rPr>
          <w:rFonts w:cs="Arial"/>
        </w:rPr>
        <w:t xml:space="preserve">would schedule ESRs more efficiently by considering the value of preserving or adjusting SOC across the </w:t>
      </w:r>
      <w:r w:rsidR="00970108" w:rsidRPr="009216A1">
        <w:rPr>
          <w:rFonts w:cs="Arial"/>
        </w:rPr>
        <w:lastRenderedPageBreak/>
        <w:t xml:space="preserve">study period. </w:t>
      </w:r>
      <w:r w:rsidR="00CE7D2F" w:rsidRPr="009216A1">
        <w:rPr>
          <w:rFonts w:cs="Arial"/>
        </w:rPr>
        <w:t xml:space="preserve">A related secondary benefit is that it </w:t>
      </w:r>
      <w:r w:rsidR="008C4852" w:rsidRPr="009216A1">
        <w:rPr>
          <w:rFonts w:cs="Arial"/>
        </w:rPr>
        <w:t xml:space="preserve">would be the most comprehensive way to incorporate temporal dynamics into reliability </w:t>
      </w:r>
      <w:r w:rsidR="00756781" w:rsidRPr="009216A1">
        <w:rPr>
          <w:rFonts w:cs="Arial"/>
        </w:rPr>
        <w:t>pricing</w:t>
      </w:r>
      <w:r w:rsidR="005041EC" w:rsidRPr="009216A1">
        <w:rPr>
          <w:rFonts w:cs="Arial"/>
        </w:rPr>
        <w:t xml:space="preserve">. </w:t>
      </w:r>
      <w:r w:rsidR="00EB6063" w:rsidRPr="009216A1">
        <w:rPr>
          <w:rFonts w:cs="Arial"/>
        </w:rPr>
        <w:t xml:space="preserve">Replacing the current </w:t>
      </w:r>
      <w:r w:rsidR="009216A1">
        <w:rPr>
          <w:rFonts w:cs="Arial"/>
        </w:rPr>
        <w:t>R</w:t>
      </w:r>
      <w:r w:rsidR="00EB6063" w:rsidRPr="009216A1">
        <w:rPr>
          <w:rFonts w:cs="Arial"/>
        </w:rPr>
        <w:t>eal-</w:t>
      </w:r>
      <w:r w:rsidR="009216A1">
        <w:rPr>
          <w:rFonts w:cs="Arial"/>
        </w:rPr>
        <w:t>T</w:t>
      </w:r>
      <w:r w:rsidR="00EB6063" w:rsidRPr="009216A1">
        <w:rPr>
          <w:rFonts w:cs="Arial"/>
        </w:rPr>
        <w:t xml:space="preserve">ime </w:t>
      </w:r>
      <w:r w:rsidR="009216A1">
        <w:rPr>
          <w:rFonts w:cs="Arial"/>
        </w:rPr>
        <w:t>M</w:t>
      </w:r>
      <w:r w:rsidR="00EB6063" w:rsidRPr="009216A1">
        <w:rPr>
          <w:rFonts w:cs="Arial"/>
        </w:rPr>
        <w:t>arket</w:t>
      </w:r>
      <w:r w:rsidR="009216A1">
        <w:rPr>
          <w:rFonts w:cs="Arial"/>
        </w:rPr>
        <w:t xml:space="preserve"> (RTM)</w:t>
      </w:r>
      <w:r w:rsidR="00EB6063" w:rsidRPr="009216A1">
        <w:rPr>
          <w:rFonts w:cs="Arial"/>
        </w:rPr>
        <w:t xml:space="preserve"> </w:t>
      </w:r>
      <w:r w:rsidR="00471999" w:rsidRPr="009216A1">
        <w:rPr>
          <w:rFonts w:cs="Arial"/>
        </w:rPr>
        <w:t xml:space="preserve">that </w:t>
      </w:r>
      <w:r w:rsidR="009446CE" w:rsidRPr="009216A1">
        <w:rPr>
          <w:rFonts w:cs="Arial"/>
        </w:rPr>
        <w:t xml:space="preserve">looks ahead one interval (5 minutes) at a time with a MIRTM that </w:t>
      </w:r>
      <w:r w:rsidR="001875EE" w:rsidRPr="009216A1">
        <w:rPr>
          <w:rFonts w:cs="Arial"/>
        </w:rPr>
        <w:t>l</w:t>
      </w:r>
      <w:r w:rsidR="001B752B" w:rsidRPr="009216A1">
        <w:rPr>
          <w:rFonts w:cs="Arial"/>
        </w:rPr>
        <w:t>ooks ahead</w:t>
      </w:r>
      <w:r w:rsidR="005F3D6B" w:rsidRPr="009216A1">
        <w:rPr>
          <w:rFonts w:cs="Arial"/>
        </w:rPr>
        <w:t xml:space="preserve"> </w:t>
      </w:r>
      <w:r w:rsidR="00B70E84" w:rsidRPr="009216A1">
        <w:rPr>
          <w:rFonts w:cs="Arial"/>
        </w:rPr>
        <w:t xml:space="preserve">up to </w:t>
      </w:r>
      <w:r w:rsidR="00366FD2" w:rsidRPr="009216A1">
        <w:rPr>
          <w:rFonts w:cs="Arial"/>
        </w:rPr>
        <w:t>several</w:t>
      </w:r>
      <w:r w:rsidR="00B70E84" w:rsidRPr="009216A1">
        <w:rPr>
          <w:rFonts w:cs="Arial"/>
        </w:rPr>
        <w:t xml:space="preserve"> hours</w:t>
      </w:r>
      <w:r w:rsidR="005C3E41" w:rsidRPr="009216A1">
        <w:rPr>
          <w:rFonts w:cs="Arial"/>
        </w:rPr>
        <w:t xml:space="preserve"> </w:t>
      </w:r>
      <w:r w:rsidR="002C3B94" w:rsidRPr="009216A1">
        <w:rPr>
          <w:rFonts w:cs="Arial"/>
        </w:rPr>
        <w:t xml:space="preserve">would </w:t>
      </w:r>
      <w:r w:rsidR="00757A6E" w:rsidRPr="009216A1">
        <w:rPr>
          <w:rFonts w:cs="Arial"/>
        </w:rPr>
        <w:t>feature the following</w:t>
      </w:r>
      <w:r w:rsidR="00F033F9" w:rsidRPr="009216A1">
        <w:rPr>
          <w:rFonts w:cs="Arial"/>
        </w:rPr>
        <w:t>:</w:t>
      </w:r>
      <w:r w:rsidR="008C4852" w:rsidRPr="009216A1">
        <w:rPr>
          <w:rFonts w:cs="Arial"/>
        </w:rPr>
        <w:t xml:space="preserve"> </w:t>
      </w:r>
    </w:p>
    <w:p w14:paraId="56875471" w14:textId="6C593F78" w:rsidR="00E4616A" w:rsidRPr="009216A1" w:rsidRDefault="00972103" w:rsidP="009216A1">
      <w:pPr>
        <w:pStyle w:val="ListParagraph"/>
        <w:numPr>
          <w:ilvl w:val="0"/>
          <w:numId w:val="2"/>
        </w:numPr>
        <w:spacing w:before="60" w:after="60"/>
        <w:contextualSpacing w:val="0"/>
        <w:rPr>
          <w:rFonts w:ascii="Arial" w:hAnsi="Arial" w:cs="Arial"/>
        </w:rPr>
      </w:pPr>
      <w:r w:rsidRPr="009216A1">
        <w:rPr>
          <w:rFonts w:ascii="Arial" w:hAnsi="Arial" w:cs="Arial"/>
        </w:rPr>
        <w:t xml:space="preserve">Like in the current </w:t>
      </w:r>
      <w:r w:rsidR="009216A1">
        <w:rPr>
          <w:rFonts w:ascii="Arial" w:hAnsi="Arial" w:cs="Arial"/>
        </w:rPr>
        <w:t>RTM</w:t>
      </w:r>
      <w:r w:rsidRPr="009216A1">
        <w:rPr>
          <w:rFonts w:ascii="Arial" w:hAnsi="Arial" w:cs="Arial"/>
        </w:rPr>
        <w:t xml:space="preserve">, the MIRTM would </w:t>
      </w:r>
      <w:r w:rsidR="00601217" w:rsidRPr="009216A1">
        <w:rPr>
          <w:rFonts w:ascii="Arial" w:hAnsi="Arial" w:cs="Arial"/>
        </w:rPr>
        <w:t>include distinct dispatch and pricing runs of SCED</w:t>
      </w:r>
      <w:r w:rsidR="00CD7DDF" w:rsidRPr="009216A1">
        <w:rPr>
          <w:rFonts w:ascii="Arial" w:hAnsi="Arial" w:cs="Arial"/>
        </w:rPr>
        <w:t xml:space="preserve">, where the pricing run </w:t>
      </w:r>
      <w:r w:rsidR="00660AD8" w:rsidRPr="009216A1">
        <w:rPr>
          <w:rFonts w:ascii="Arial" w:hAnsi="Arial" w:cs="Arial"/>
        </w:rPr>
        <w:t>represents</w:t>
      </w:r>
      <w:r w:rsidR="00CD7DDF" w:rsidRPr="009216A1">
        <w:rPr>
          <w:rFonts w:ascii="Arial" w:hAnsi="Arial" w:cs="Arial"/>
        </w:rPr>
        <w:t xml:space="preserve"> a counterfactual </w:t>
      </w:r>
      <w:r w:rsidR="00660AD8" w:rsidRPr="009216A1">
        <w:rPr>
          <w:rFonts w:ascii="Arial" w:hAnsi="Arial" w:cs="Arial"/>
        </w:rPr>
        <w:t>without the reliability actions</w:t>
      </w:r>
      <w:r w:rsidR="00601217" w:rsidRPr="009216A1">
        <w:rPr>
          <w:rFonts w:ascii="Arial" w:hAnsi="Arial" w:cs="Arial"/>
        </w:rPr>
        <w:t>.</w:t>
      </w:r>
      <w:r w:rsidR="00AB7096" w:rsidRPr="009216A1">
        <w:rPr>
          <w:rFonts w:ascii="Arial" w:hAnsi="Arial" w:cs="Arial"/>
        </w:rPr>
        <w:t xml:space="preserve"> </w:t>
      </w:r>
    </w:p>
    <w:p w14:paraId="27BF91A3" w14:textId="31862447" w:rsidR="00972103" w:rsidRPr="009216A1" w:rsidRDefault="00AB7096" w:rsidP="009216A1">
      <w:pPr>
        <w:pStyle w:val="ListParagraph"/>
        <w:numPr>
          <w:ilvl w:val="0"/>
          <w:numId w:val="2"/>
        </w:numPr>
        <w:spacing w:before="60" w:after="60"/>
        <w:contextualSpacing w:val="0"/>
        <w:rPr>
          <w:rFonts w:ascii="Arial" w:hAnsi="Arial" w:cs="Arial"/>
        </w:rPr>
      </w:pPr>
      <w:r w:rsidRPr="009216A1">
        <w:rPr>
          <w:rFonts w:ascii="Arial" w:hAnsi="Arial" w:cs="Arial"/>
        </w:rPr>
        <w:t>The MIRTM would</w:t>
      </w:r>
      <w:r w:rsidR="00E95A8D" w:rsidRPr="009216A1">
        <w:rPr>
          <w:rFonts w:ascii="Arial" w:hAnsi="Arial" w:cs="Arial"/>
        </w:rPr>
        <w:t xml:space="preserve"> </w:t>
      </w:r>
      <w:r w:rsidRPr="009216A1">
        <w:rPr>
          <w:rFonts w:ascii="Arial" w:hAnsi="Arial" w:cs="Arial"/>
        </w:rPr>
        <w:t>have a sufficiently long study period</w:t>
      </w:r>
      <w:r w:rsidR="00865E46" w:rsidRPr="009216A1">
        <w:rPr>
          <w:rFonts w:ascii="Arial" w:hAnsi="Arial" w:cs="Arial"/>
        </w:rPr>
        <w:t>, ideally at least two hours,</w:t>
      </w:r>
      <w:r w:rsidRPr="009216A1">
        <w:rPr>
          <w:rFonts w:ascii="Arial" w:hAnsi="Arial" w:cs="Arial"/>
        </w:rPr>
        <w:t xml:space="preserve"> to perceive the possibility of reserve shortages caused by ESR SOC depletion </w:t>
      </w:r>
      <w:r w:rsidR="00A41E28" w:rsidRPr="009216A1">
        <w:rPr>
          <w:rFonts w:ascii="Arial" w:hAnsi="Arial" w:cs="Arial"/>
        </w:rPr>
        <w:t>over tim</w:t>
      </w:r>
      <w:r w:rsidR="0047289B" w:rsidRPr="009216A1">
        <w:rPr>
          <w:rFonts w:ascii="Arial" w:hAnsi="Arial" w:cs="Arial"/>
        </w:rPr>
        <w:t>e</w:t>
      </w:r>
      <w:r w:rsidR="00095D97" w:rsidRPr="009216A1">
        <w:rPr>
          <w:rFonts w:ascii="Arial" w:hAnsi="Arial" w:cs="Arial"/>
        </w:rPr>
        <w:t xml:space="preserve">. </w:t>
      </w:r>
    </w:p>
    <w:p w14:paraId="445B8541" w14:textId="0F199BC8" w:rsidR="00795F33" w:rsidRPr="009216A1" w:rsidRDefault="00795F33" w:rsidP="009216A1">
      <w:pPr>
        <w:pStyle w:val="ListParagraph"/>
        <w:numPr>
          <w:ilvl w:val="0"/>
          <w:numId w:val="2"/>
        </w:numPr>
        <w:spacing w:before="60" w:after="60"/>
        <w:contextualSpacing w:val="0"/>
        <w:rPr>
          <w:rFonts w:ascii="Arial" w:hAnsi="Arial" w:cs="Arial"/>
        </w:rPr>
      </w:pPr>
      <w:r w:rsidRPr="009216A1">
        <w:rPr>
          <w:rFonts w:ascii="Arial" w:hAnsi="Arial" w:cs="Arial"/>
        </w:rPr>
        <w:t xml:space="preserve">Only the first interval of the MIRTM is </w:t>
      </w:r>
      <w:r w:rsidR="00C83365" w:rsidRPr="009216A1">
        <w:rPr>
          <w:rFonts w:ascii="Arial" w:hAnsi="Arial" w:cs="Arial"/>
        </w:rPr>
        <w:t>physically or financially binding</w:t>
      </w:r>
      <w:r w:rsidR="00DF6F3F" w:rsidRPr="009216A1">
        <w:rPr>
          <w:rFonts w:ascii="Arial" w:hAnsi="Arial" w:cs="Arial"/>
        </w:rPr>
        <w:t xml:space="preserve">, </w:t>
      </w:r>
      <w:r w:rsidR="00DF6A7C" w:rsidRPr="009216A1">
        <w:rPr>
          <w:rFonts w:ascii="Arial" w:hAnsi="Arial" w:cs="Arial"/>
        </w:rPr>
        <w:t xml:space="preserve">but SCED optimizes dispatch instructions over the entire study period to account for </w:t>
      </w:r>
      <w:r w:rsidR="008234EA" w:rsidRPr="009216A1">
        <w:rPr>
          <w:rFonts w:ascii="Arial" w:hAnsi="Arial" w:cs="Arial"/>
        </w:rPr>
        <w:t xml:space="preserve">forecasted </w:t>
      </w:r>
      <w:r w:rsidR="00DF6A7C" w:rsidRPr="009216A1">
        <w:rPr>
          <w:rFonts w:ascii="Arial" w:hAnsi="Arial" w:cs="Arial"/>
        </w:rPr>
        <w:t xml:space="preserve">changes in </w:t>
      </w:r>
      <w:r w:rsidR="008234EA" w:rsidRPr="009216A1">
        <w:rPr>
          <w:rFonts w:ascii="Arial" w:hAnsi="Arial" w:cs="Arial"/>
        </w:rPr>
        <w:t>supply and demand</w:t>
      </w:r>
      <w:r w:rsidR="00BE7199" w:rsidRPr="009216A1">
        <w:rPr>
          <w:rFonts w:ascii="Arial" w:hAnsi="Arial" w:cs="Arial"/>
        </w:rPr>
        <w:t>.</w:t>
      </w:r>
    </w:p>
    <w:p w14:paraId="5FD7FC7C" w14:textId="59B7910E" w:rsidR="00A420A1" w:rsidRPr="009216A1" w:rsidRDefault="00F033F9" w:rsidP="009216A1">
      <w:pPr>
        <w:pStyle w:val="NormalArial"/>
        <w:spacing w:before="120" w:after="120"/>
        <w:rPr>
          <w:rFonts w:cs="Arial"/>
        </w:rPr>
      </w:pPr>
      <w:r w:rsidRPr="009216A1">
        <w:rPr>
          <w:rFonts w:cs="Arial"/>
        </w:rPr>
        <w:t xml:space="preserve">Given these criteria, </w:t>
      </w:r>
      <w:r w:rsidR="00A6764D" w:rsidRPr="009216A1">
        <w:rPr>
          <w:rFonts w:cs="Arial"/>
        </w:rPr>
        <w:t xml:space="preserve">consider a scenario where </w:t>
      </w:r>
      <w:r w:rsidR="005A62B1" w:rsidRPr="009216A1">
        <w:rPr>
          <w:rFonts w:cs="Arial"/>
        </w:rPr>
        <w:t xml:space="preserve">reliability actions were taken to avoid excessive depletion of ESR SOC. </w:t>
      </w:r>
      <w:r w:rsidR="00CD7DDF" w:rsidRPr="009216A1">
        <w:rPr>
          <w:rFonts w:cs="Arial"/>
        </w:rPr>
        <w:t xml:space="preserve">The </w:t>
      </w:r>
      <w:r w:rsidR="00C268B2" w:rsidRPr="009216A1">
        <w:rPr>
          <w:rFonts w:cs="Arial"/>
        </w:rPr>
        <w:t xml:space="preserve">pricing run of the MIRTM would </w:t>
      </w:r>
      <w:r w:rsidR="00616D30" w:rsidRPr="009216A1">
        <w:rPr>
          <w:rFonts w:cs="Arial"/>
        </w:rPr>
        <w:t xml:space="preserve">perceive </w:t>
      </w:r>
      <w:r w:rsidR="00C268B2" w:rsidRPr="009216A1">
        <w:rPr>
          <w:rFonts w:cs="Arial"/>
        </w:rPr>
        <w:t xml:space="preserve">the </w:t>
      </w:r>
      <w:r w:rsidR="002B0F02" w:rsidRPr="009216A1">
        <w:rPr>
          <w:rFonts w:cs="Arial"/>
        </w:rPr>
        <w:t>oncoming reserve shortages</w:t>
      </w:r>
      <w:r w:rsidR="0029715E" w:rsidRPr="009216A1">
        <w:rPr>
          <w:rFonts w:cs="Arial"/>
        </w:rPr>
        <w:t xml:space="preserve"> and produce a corresponding schedule of </w:t>
      </w:r>
      <w:r w:rsidR="009216A1">
        <w:rPr>
          <w:rFonts w:cs="Arial"/>
        </w:rPr>
        <w:t>D</w:t>
      </w:r>
      <w:r w:rsidR="0029715E" w:rsidRPr="009216A1">
        <w:rPr>
          <w:rFonts w:cs="Arial"/>
        </w:rPr>
        <w:t xml:space="preserve">ispatch </w:t>
      </w:r>
      <w:r w:rsidR="009216A1">
        <w:rPr>
          <w:rFonts w:cs="Arial"/>
        </w:rPr>
        <w:t>I</w:t>
      </w:r>
      <w:r w:rsidR="0029715E" w:rsidRPr="009216A1">
        <w:rPr>
          <w:rFonts w:cs="Arial"/>
        </w:rPr>
        <w:t>nstructions and</w:t>
      </w:r>
      <w:r w:rsidR="003E4E7E" w:rsidRPr="009216A1">
        <w:rPr>
          <w:rFonts w:cs="Arial"/>
        </w:rPr>
        <w:t xml:space="preserve"> elevated prices throughout the study period.</w:t>
      </w:r>
      <w:r w:rsidR="002B0F02" w:rsidRPr="009216A1">
        <w:rPr>
          <w:rFonts w:cs="Arial"/>
        </w:rPr>
        <w:t xml:space="preserve"> </w:t>
      </w:r>
      <w:r w:rsidR="00B854C0" w:rsidRPr="009216A1">
        <w:rPr>
          <w:rFonts w:cs="Arial"/>
        </w:rPr>
        <w:t xml:space="preserve">The </w:t>
      </w:r>
      <w:r w:rsidR="00B7473F" w:rsidRPr="009216A1">
        <w:rPr>
          <w:rFonts w:cs="Arial"/>
        </w:rPr>
        <w:t xml:space="preserve">resulting prices for the </w:t>
      </w:r>
      <w:r w:rsidR="00B854C0" w:rsidRPr="009216A1">
        <w:rPr>
          <w:rFonts w:cs="Arial"/>
        </w:rPr>
        <w:t xml:space="preserve">first interval of the pricing run of the MIRTM could then be used to produce reliability pricing that accounts for the temporal impact of </w:t>
      </w:r>
      <w:r w:rsidR="00543610" w:rsidRPr="009216A1">
        <w:rPr>
          <w:rFonts w:cs="Arial"/>
        </w:rPr>
        <w:t xml:space="preserve">reliability actions. </w:t>
      </w:r>
      <w:r w:rsidR="003E4E7E" w:rsidRPr="009216A1">
        <w:rPr>
          <w:rFonts w:cs="Arial"/>
        </w:rPr>
        <w:t xml:space="preserve"> </w:t>
      </w:r>
    </w:p>
    <w:p w14:paraId="517CE7C2" w14:textId="3134F3E9" w:rsidR="008C4852" w:rsidRPr="009216A1" w:rsidRDefault="008C4852" w:rsidP="009216A1">
      <w:pPr>
        <w:pStyle w:val="NormalArial"/>
        <w:spacing w:before="120" w:after="120"/>
        <w:rPr>
          <w:rFonts w:cs="Arial"/>
        </w:rPr>
      </w:pPr>
      <w:r w:rsidRPr="009216A1">
        <w:rPr>
          <w:rFonts w:cs="Arial"/>
        </w:rPr>
        <w:t xml:space="preserve">Given that a MIRTM would take years to develop and implement, an </w:t>
      </w:r>
      <w:r w:rsidR="005C2920" w:rsidRPr="009216A1">
        <w:rPr>
          <w:rFonts w:cs="Arial"/>
        </w:rPr>
        <w:t xml:space="preserve">intermediate </w:t>
      </w:r>
      <w:r w:rsidRPr="009216A1">
        <w:rPr>
          <w:rFonts w:cs="Arial"/>
        </w:rPr>
        <w:t xml:space="preserve">option could be to </w:t>
      </w:r>
      <w:r w:rsidRPr="009216A1">
        <w:t>leverage</w:t>
      </w:r>
      <w:r w:rsidRPr="009216A1">
        <w:rPr>
          <w:rFonts w:cs="Arial"/>
        </w:rPr>
        <w:t xml:space="preserve"> the capabilities of the Look-Ahead SCED indicative pricing tool to incorporate some of these temporal dynamics into reliability pricing. We have been engaged with ERCOT</w:t>
      </w:r>
      <w:r w:rsidR="00F11FE9" w:rsidRPr="009216A1">
        <w:rPr>
          <w:rFonts w:cs="Arial"/>
        </w:rPr>
        <w:t>’s</w:t>
      </w:r>
      <w:r w:rsidRPr="009216A1">
        <w:rPr>
          <w:rFonts w:cs="Arial"/>
        </w:rPr>
        <w:t xml:space="preserve"> </w:t>
      </w:r>
      <w:r w:rsidR="00F11FE9" w:rsidRPr="009216A1">
        <w:rPr>
          <w:rFonts w:cs="Arial"/>
        </w:rPr>
        <w:t>M</w:t>
      </w:r>
      <w:r w:rsidRPr="009216A1">
        <w:rPr>
          <w:rFonts w:cs="Arial"/>
        </w:rPr>
        <w:t xml:space="preserve">arket </w:t>
      </w:r>
      <w:r w:rsidR="00F11FE9" w:rsidRPr="009216A1">
        <w:rPr>
          <w:rFonts w:cs="Arial"/>
        </w:rPr>
        <w:t>D</w:t>
      </w:r>
      <w:r w:rsidRPr="009216A1">
        <w:rPr>
          <w:rFonts w:cs="Arial"/>
        </w:rPr>
        <w:t>esign</w:t>
      </w:r>
      <w:r w:rsidR="00F11FE9" w:rsidRPr="009216A1">
        <w:rPr>
          <w:rFonts w:cs="Arial"/>
        </w:rPr>
        <w:t xml:space="preserve"> </w:t>
      </w:r>
      <w:r w:rsidR="00FD75C6" w:rsidRPr="009216A1">
        <w:rPr>
          <w:rFonts w:cs="Arial"/>
        </w:rPr>
        <w:t>principals</w:t>
      </w:r>
      <w:r w:rsidRPr="009216A1">
        <w:rPr>
          <w:rFonts w:cs="Arial"/>
        </w:rPr>
        <w:t xml:space="preserve"> on this topic and look forward to future opportunities to collaborate on improvements to the reliability pricing methodology. </w:t>
      </w:r>
    </w:p>
    <w:p w14:paraId="3BB33EB6" w14:textId="374EC885" w:rsidR="008C4852" w:rsidRPr="009216A1" w:rsidRDefault="00B156B0" w:rsidP="009216A1">
      <w:pPr>
        <w:pStyle w:val="NormalArial"/>
        <w:spacing w:before="120" w:after="120"/>
        <w:rPr>
          <w:rFonts w:cs="Arial"/>
          <w:i/>
          <w:iCs/>
        </w:rPr>
      </w:pPr>
      <w:r w:rsidRPr="009216A1">
        <w:rPr>
          <w:rFonts w:cs="Arial"/>
        </w:rPr>
        <w:t>In summary</w:t>
      </w:r>
      <w:r w:rsidR="008C4852" w:rsidRPr="009216A1">
        <w:rPr>
          <w:rFonts w:cs="Arial"/>
        </w:rPr>
        <w:t xml:space="preserve">, we support NPRR 1214 as </w:t>
      </w:r>
      <w:r w:rsidR="00AF3A32" w:rsidRPr="009216A1">
        <w:rPr>
          <w:rFonts w:cs="Arial"/>
        </w:rPr>
        <w:t xml:space="preserve">a significant </w:t>
      </w:r>
      <w:r w:rsidR="008C4852" w:rsidRPr="009216A1">
        <w:rPr>
          <w:rFonts w:cs="Arial"/>
        </w:rPr>
        <w:t>improvement to ERCOT’s existing reliability pricing methodology</w:t>
      </w:r>
      <w:r w:rsidR="00AA0BFB" w:rsidRPr="009216A1">
        <w:rPr>
          <w:rFonts w:cs="Arial"/>
        </w:rPr>
        <w:t xml:space="preserve"> </w:t>
      </w:r>
      <w:r w:rsidR="00035B79" w:rsidRPr="009216A1">
        <w:rPr>
          <w:rFonts w:cs="Arial"/>
        </w:rPr>
        <w:t>and recommend that stakeholders and the PUC approve it</w:t>
      </w:r>
      <w:r w:rsidR="000B5295" w:rsidRPr="009216A1">
        <w:rPr>
          <w:rFonts w:cs="Arial"/>
        </w:rPr>
        <w:t xml:space="preserve">. </w:t>
      </w:r>
      <w:r w:rsidR="00C0282B" w:rsidRPr="009216A1">
        <w:rPr>
          <w:rFonts w:cs="Arial"/>
        </w:rPr>
        <w:t xml:space="preserve">These comments are in no way meant to </w:t>
      </w:r>
      <w:r w:rsidR="000A3CCA" w:rsidRPr="009216A1">
        <w:rPr>
          <w:rFonts w:cs="Arial"/>
        </w:rPr>
        <w:t>obstruct the approval or implementation of NPRR 1214</w:t>
      </w:r>
      <w:r w:rsidR="006A2686" w:rsidRPr="009216A1">
        <w:rPr>
          <w:rFonts w:cs="Arial"/>
        </w:rPr>
        <w:t xml:space="preserve">, but, rather, are meant to </w:t>
      </w:r>
      <w:r w:rsidR="00824735" w:rsidRPr="009216A1">
        <w:rPr>
          <w:rFonts w:cs="Arial"/>
        </w:rPr>
        <w:t xml:space="preserve">encourage stakeholders to continue the conversation </w:t>
      </w:r>
      <w:r w:rsidR="005E4BDC" w:rsidRPr="009216A1">
        <w:rPr>
          <w:rFonts w:cs="Arial"/>
        </w:rPr>
        <w:t xml:space="preserve">around </w:t>
      </w:r>
      <w:r w:rsidR="00446214" w:rsidRPr="009216A1">
        <w:rPr>
          <w:rFonts w:cs="Arial"/>
        </w:rPr>
        <w:t xml:space="preserve">reliability pricing and highlight the benefits of a </w:t>
      </w:r>
      <w:r w:rsidR="002965B1" w:rsidRPr="009216A1">
        <w:rPr>
          <w:rFonts w:cs="Arial"/>
        </w:rPr>
        <w:t xml:space="preserve">MIRTM </w:t>
      </w:r>
      <w:r w:rsidR="00906E1B" w:rsidRPr="009216A1">
        <w:rPr>
          <w:rFonts w:cs="Arial"/>
        </w:rPr>
        <w:t>for the ERCOT market</w:t>
      </w:r>
      <w:r w:rsidR="002965B1" w:rsidRPr="009216A1">
        <w:rPr>
          <w:rFonts w:cs="Arial"/>
        </w:rPr>
        <w:t xml:space="preserve">. </w:t>
      </w:r>
    </w:p>
    <w:p w14:paraId="6679AAD3" w14:textId="77777777" w:rsidR="008C4852" w:rsidRPr="009216A1" w:rsidRDefault="008C4852" w:rsidP="009216A1">
      <w:pPr>
        <w:spacing w:before="120" w:after="120"/>
        <w:jc w:val="center"/>
        <w:rPr>
          <w:rFonts w:ascii="Arial" w:hAnsi="Arial" w:cs="Arial"/>
        </w:rPr>
      </w:pPr>
      <w:r w:rsidRPr="009216A1">
        <w:rPr>
          <w:rFonts w:ascii="Arial" w:hAnsi="Arial" w:cs="Arial"/>
          <w:noProof/>
        </w:rPr>
        <w:lastRenderedPageBreak/>
        <w:drawing>
          <wp:inline distT="0" distB="0" distL="0" distR="0" wp14:anchorId="7B843E90" wp14:editId="1B610DB4">
            <wp:extent cx="4145281" cy="2743200"/>
            <wp:effectExtent l="0" t="0" r="7620" b="0"/>
            <wp:docPr id="1052010087" name="Picture 1">
              <a:extLst xmlns:a="http://schemas.openxmlformats.org/drawingml/2006/main">
                <a:ext uri="{FF2B5EF4-FFF2-40B4-BE49-F238E27FC236}">
                  <a16:creationId xmlns:a16="http://schemas.microsoft.com/office/drawing/2014/main" id="{6E1714EA-FE90-4D16-8FD7-D1CB5D096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10087" name=""/>
                    <pic:cNvPicPr/>
                  </pic:nvPicPr>
                  <pic:blipFill>
                    <a:blip r:embed="rId12"/>
                    <a:stretch>
                      <a:fillRect/>
                    </a:stretch>
                  </pic:blipFill>
                  <pic:spPr>
                    <a:xfrm>
                      <a:off x="0" y="0"/>
                      <a:ext cx="4145281" cy="2743200"/>
                    </a:xfrm>
                    <a:prstGeom prst="rect">
                      <a:avLst/>
                    </a:prstGeom>
                  </pic:spPr>
                </pic:pic>
              </a:graphicData>
            </a:graphic>
          </wp:inline>
        </w:drawing>
      </w:r>
      <w:r w:rsidRPr="009216A1">
        <w:rPr>
          <w:rFonts w:ascii="Arial" w:hAnsi="Arial" w:cs="Arial"/>
        </w:rPr>
        <w:br/>
      </w:r>
      <w:r w:rsidRPr="009216A1">
        <w:rPr>
          <w:rFonts w:ascii="Arial" w:hAnsi="Arial" w:cs="Arial"/>
          <w:i/>
          <w:iCs/>
        </w:rPr>
        <w:t>(a)</w:t>
      </w:r>
    </w:p>
    <w:p w14:paraId="649B5145" w14:textId="77777777" w:rsidR="008C4852" w:rsidRPr="009216A1" w:rsidRDefault="008C4852" w:rsidP="009216A1">
      <w:pPr>
        <w:spacing w:before="120" w:afterLines="120" w:after="288"/>
        <w:jc w:val="center"/>
        <w:rPr>
          <w:rFonts w:ascii="Arial" w:hAnsi="Arial" w:cs="Arial"/>
          <w:b/>
          <w:bCs/>
        </w:rPr>
      </w:pPr>
      <w:r w:rsidRPr="009216A1">
        <w:rPr>
          <w:rFonts w:ascii="Arial" w:hAnsi="Arial" w:cs="Arial"/>
          <w:b/>
          <w:bCs/>
          <w:noProof/>
        </w:rPr>
        <w:drawing>
          <wp:inline distT="0" distB="0" distL="0" distR="0" wp14:anchorId="755781BD" wp14:editId="39191736">
            <wp:extent cx="4008120" cy="2743200"/>
            <wp:effectExtent l="0" t="0" r="0" b="0"/>
            <wp:docPr id="1997811780" name="Picture 1">
              <a:extLst xmlns:a="http://schemas.openxmlformats.org/drawingml/2006/main">
                <a:ext uri="{FF2B5EF4-FFF2-40B4-BE49-F238E27FC236}">
                  <a16:creationId xmlns:a16="http://schemas.microsoft.com/office/drawing/2014/main" id="{0036CF25-1145-4FD1-85F2-471E1A2047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11780" name=""/>
                    <pic:cNvPicPr/>
                  </pic:nvPicPr>
                  <pic:blipFill>
                    <a:blip r:embed="rId13"/>
                    <a:stretch>
                      <a:fillRect/>
                    </a:stretch>
                  </pic:blipFill>
                  <pic:spPr>
                    <a:xfrm>
                      <a:off x="0" y="0"/>
                      <a:ext cx="4008120" cy="2743200"/>
                    </a:xfrm>
                    <a:prstGeom prst="rect">
                      <a:avLst/>
                    </a:prstGeom>
                  </pic:spPr>
                </pic:pic>
              </a:graphicData>
            </a:graphic>
          </wp:inline>
        </w:drawing>
      </w:r>
      <w:r w:rsidRPr="009216A1">
        <w:rPr>
          <w:rFonts w:ascii="Arial" w:hAnsi="Arial" w:cs="Arial"/>
          <w:b/>
          <w:bCs/>
        </w:rPr>
        <w:br/>
      </w:r>
      <w:r w:rsidRPr="009216A1">
        <w:rPr>
          <w:rFonts w:ascii="Arial" w:hAnsi="Arial" w:cs="Arial"/>
          <w:i/>
          <w:iCs/>
        </w:rPr>
        <w:t>(b)</w:t>
      </w:r>
    </w:p>
    <w:p w14:paraId="35899E22" w14:textId="646F7579" w:rsidR="008C4852" w:rsidRPr="009216A1" w:rsidRDefault="008C4852" w:rsidP="009216A1">
      <w:pPr>
        <w:pStyle w:val="Caption"/>
        <w:spacing w:before="120" w:afterLines="120" w:after="288"/>
        <w:jc w:val="center"/>
        <w:rPr>
          <w:rFonts w:ascii="Arial" w:hAnsi="Arial" w:cs="Arial"/>
          <w:b/>
          <w:bCs/>
        </w:rPr>
      </w:pPr>
      <w:bookmarkStart w:id="0" w:name="_Ref232499602"/>
      <w:r w:rsidRPr="009216A1">
        <w:rPr>
          <w:rFonts w:ascii="Arial" w:hAnsi="Arial" w:cs="Arial"/>
          <w:b/>
          <w:bCs/>
          <w:i w:val="0"/>
          <w:iCs w:val="0"/>
          <w:color w:val="auto"/>
          <w:sz w:val="24"/>
          <w:szCs w:val="24"/>
        </w:rPr>
        <w:t xml:space="preserve">Figure </w:t>
      </w:r>
      <w:r w:rsidRPr="009216A1">
        <w:rPr>
          <w:rFonts w:ascii="Arial" w:hAnsi="Arial" w:cs="Arial"/>
          <w:b/>
          <w:bCs/>
          <w:i w:val="0"/>
          <w:iCs w:val="0"/>
          <w:color w:val="auto"/>
          <w:sz w:val="24"/>
          <w:szCs w:val="24"/>
        </w:rPr>
        <w:fldChar w:fldCharType="begin"/>
      </w:r>
      <w:r w:rsidRPr="009216A1">
        <w:rPr>
          <w:rFonts w:ascii="Arial" w:hAnsi="Arial" w:cs="Arial"/>
          <w:b/>
          <w:bCs/>
          <w:i w:val="0"/>
          <w:iCs w:val="0"/>
          <w:color w:val="auto"/>
          <w:sz w:val="24"/>
          <w:szCs w:val="24"/>
        </w:rPr>
        <w:instrText xml:space="preserve"> SEQ Figure \* ARABIC </w:instrText>
      </w:r>
      <w:r w:rsidRPr="009216A1">
        <w:rPr>
          <w:rFonts w:ascii="Arial" w:hAnsi="Arial" w:cs="Arial"/>
          <w:b/>
          <w:bCs/>
          <w:i w:val="0"/>
          <w:iCs w:val="0"/>
          <w:color w:val="auto"/>
          <w:sz w:val="24"/>
          <w:szCs w:val="24"/>
        </w:rPr>
        <w:fldChar w:fldCharType="separate"/>
      </w:r>
      <w:r w:rsidRPr="009216A1">
        <w:rPr>
          <w:rFonts w:ascii="Arial" w:hAnsi="Arial" w:cs="Arial"/>
          <w:b/>
          <w:bCs/>
          <w:i w:val="0"/>
          <w:iCs w:val="0"/>
          <w:noProof/>
          <w:color w:val="auto"/>
          <w:sz w:val="24"/>
          <w:szCs w:val="24"/>
        </w:rPr>
        <w:t>1</w:t>
      </w:r>
      <w:r w:rsidRPr="009216A1">
        <w:rPr>
          <w:rFonts w:ascii="Arial" w:hAnsi="Arial" w:cs="Arial"/>
          <w:b/>
          <w:bCs/>
          <w:i w:val="0"/>
          <w:iCs w:val="0"/>
          <w:color w:val="auto"/>
          <w:sz w:val="24"/>
          <w:szCs w:val="24"/>
        </w:rPr>
        <w:fldChar w:fldCharType="end"/>
      </w:r>
      <w:bookmarkEnd w:id="0"/>
      <w:r w:rsidRPr="009216A1">
        <w:rPr>
          <w:rFonts w:ascii="Arial" w:hAnsi="Arial" w:cs="Arial"/>
          <w:b/>
          <w:bCs/>
          <w:i w:val="0"/>
          <w:iCs w:val="0"/>
          <w:color w:val="auto"/>
          <w:sz w:val="24"/>
          <w:szCs w:val="24"/>
        </w:rPr>
        <w:t>. Reliability actions may be taken to avoid depletion of aggregate SOC (a)</w:t>
      </w:r>
      <w:r w:rsidR="003F3D72" w:rsidRPr="009216A1">
        <w:rPr>
          <w:rFonts w:ascii="Arial" w:hAnsi="Arial" w:cs="Arial"/>
          <w:b/>
          <w:bCs/>
          <w:i w:val="0"/>
          <w:iCs w:val="0"/>
          <w:color w:val="auto"/>
          <w:sz w:val="24"/>
          <w:szCs w:val="24"/>
        </w:rPr>
        <w:t> </w:t>
      </w:r>
      <w:r w:rsidRPr="009216A1">
        <w:rPr>
          <w:rFonts w:ascii="Arial" w:hAnsi="Arial" w:cs="Arial"/>
          <w:b/>
          <w:bCs/>
          <w:i w:val="0"/>
          <w:iCs w:val="0"/>
          <w:color w:val="auto"/>
          <w:sz w:val="24"/>
          <w:szCs w:val="24"/>
        </w:rPr>
        <w:t>Counterfactually, such actions suppress prices in the future, when SOC depletion would have resulted in elevated prices (b)</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25CA7DC8" w14:textId="77777777" w:rsidTr="00B5080A">
        <w:trPr>
          <w:trHeight w:val="350"/>
        </w:trPr>
        <w:tc>
          <w:tcPr>
            <w:tcW w:w="10440" w:type="dxa"/>
            <w:tcBorders>
              <w:bottom w:val="single" w:sz="4" w:space="0" w:color="auto"/>
            </w:tcBorders>
            <w:shd w:val="clear" w:color="auto" w:fill="FFFFFF"/>
            <w:vAlign w:val="center"/>
          </w:tcPr>
          <w:p w14:paraId="2A01E568" w14:textId="77777777" w:rsidR="00BD7258" w:rsidRDefault="00BD7258" w:rsidP="00B5080A">
            <w:pPr>
              <w:pStyle w:val="Header"/>
              <w:jc w:val="center"/>
            </w:pPr>
            <w:r>
              <w:t>Revised Cover Page Language</w:t>
            </w:r>
          </w:p>
        </w:tc>
      </w:tr>
    </w:tbl>
    <w:p w14:paraId="3E3CB58E" w14:textId="4A6D617A" w:rsidR="00E07B54" w:rsidRDefault="00847275" w:rsidP="00847275">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A275234" w14:textId="77777777">
        <w:trPr>
          <w:trHeight w:val="350"/>
        </w:trPr>
        <w:tc>
          <w:tcPr>
            <w:tcW w:w="10440" w:type="dxa"/>
            <w:tcBorders>
              <w:bottom w:val="single" w:sz="4" w:space="0" w:color="auto"/>
            </w:tcBorders>
            <w:shd w:val="clear" w:color="auto" w:fill="FFFFFF"/>
            <w:vAlign w:val="center"/>
          </w:tcPr>
          <w:p w14:paraId="1507DFF4" w14:textId="77777777" w:rsidR="00152993" w:rsidRDefault="00152993">
            <w:pPr>
              <w:pStyle w:val="Header"/>
              <w:jc w:val="center"/>
            </w:pPr>
            <w:r>
              <w:t>Revised Proposed Protocol Language</w:t>
            </w:r>
          </w:p>
        </w:tc>
      </w:tr>
    </w:tbl>
    <w:p w14:paraId="1443C140" w14:textId="6015A34E" w:rsidR="00152993" w:rsidRDefault="00847275" w:rsidP="00847275">
      <w:pPr>
        <w:pStyle w:val="NormalArial"/>
        <w:spacing w:before="120" w:after="120"/>
      </w:pPr>
      <w:r>
        <w:t>None</w:t>
      </w:r>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2409" w14:textId="77777777" w:rsidR="00B42D88" w:rsidRDefault="00B42D88">
      <w:r>
        <w:separator/>
      </w:r>
    </w:p>
  </w:endnote>
  <w:endnote w:type="continuationSeparator" w:id="0">
    <w:p w14:paraId="058C6E76" w14:textId="77777777" w:rsidR="00B42D88" w:rsidRDefault="00B4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6BB6" w14:textId="627745B5"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9216A1">
      <w:rPr>
        <w:rFonts w:ascii="Arial" w:hAnsi="Arial"/>
        <w:noProof/>
        <w:sz w:val="18"/>
      </w:rPr>
      <w:t>1214NPRR-24 IMM Comments 062226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599BFD1F"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1FA2" w14:textId="77777777" w:rsidR="00B42D88" w:rsidRDefault="00B42D88">
      <w:r>
        <w:separator/>
      </w:r>
    </w:p>
  </w:footnote>
  <w:footnote w:type="continuationSeparator" w:id="0">
    <w:p w14:paraId="6BC3AB7C" w14:textId="77777777" w:rsidR="00B42D88" w:rsidRDefault="00B4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40A1" w14:textId="0C005144" w:rsidR="00EE6681" w:rsidRPr="009216A1" w:rsidRDefault="00EE6681" w:rsidP="009216A1">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FE129A9"/>
    <w:multiLevelType w:val="hybridMultilevel"/>
    <w:tmpl w:val="CF58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790996">
    <w:abstractNumId w:val="1"/>
  </w:num>
  <w:num w:numId="2" w16cid:durableId="1708795078">
    <w:abstractNumId w:val="2"/>
  </w:num>
  <w:num w:numId="3" w16cid:durableId="86378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EC4"/>
    <w:rsid w:val="00004704"/>
    <w:rsid w:val="00004E1A"/>
    <w:rsid w:val="0000507C"/>
    <w:rsid w:val="0001290D"/>
    <w:rsid w:val="00020D02"/>
    <w:rsid w:val="00022658"/>
    <w:rsid w:val="000231CF"/>
    <w:rsid w:val="000345F1"/>
    <w:rsid w:val="00034B91"/>
    <w:rsid w:val="00034F31"/>
    <w:rsid w:val="00035B79"/>
    <w:rsid w:val="00037668"/>
    <w:rsid w:val="00040073"/>
    <w:rsid w:val="000460E4"/>
    <w:rsid w:val="0005213C"/>
    <w:rsid w:val="00056D73"/>
    <w:rsid w:val="00057CAF"/>
    <w:rsid w:val="00057D5D"/>
    <w:rsid w:val="00061B1B"/>
    <w:rsid w:val="00065038"/>
    <w:rsid w:val="00067CF3"/>
    <w:rsid w:val="00070146"/>
    <w:rsid w:val="00071336"/>
    <w:rsid w:val="000745FF"/>
    <w:rsid w:val="0007553C"/>
    <w:rsid w:val="00075A94"/>
    <w:rsid w:val="00082265"/>
    <w:rsid w:val="0008365A"/>
    <w:rsid w:val="000908A7"/>
    <w:rsid w:val="00093C3F"/>
    <w:rsid w:val="00094372"/>
    <w:rsid w:val="00095D97"/>
    <w:rsid w:val="000979D4"/>
    <w:rsid w:val="000A233F"/>
    <w:rsid w:val="000A295D"/>
    <w:rsid w:val="000A3CCA"/>
    <w:rsid w:val="000B1FE6"/>
    <w:rsid w:val="000B234B"/>
    <w:rsid w:val="000B3ABD"/>
    <w:rsid w:val="000B5295"/>
    <w:rsid w:val="000B7EC7"/>
    <w:rsid w:val="000D359E"/>
    <w:rsid w:val="000D4EF0"/>
    <w:rsid w:val="000E0AB2"/>
    <w:rsid w:val="000E4832"/>
    <w:rsid w:val="000E5453"/>
    <w:rsid w:val="000F7809"/>
    <w:rsid w:val="00101E1D"/>
    <w:rsid w:val="001023CC"/>
    <w:rsid w:val="0010383B"/>
    <w:rsid w:val="00122745"/>
    <w:rsid w:val="001231E9"/>
    <w:rsid w:val="00132855"/>
    <w:rsid w:val="00135F11"/>
    <w:rsid w:val="00141187"/>
    <w:rsid w:val="00147E4A"/>
    <w:rsid w:val="00151380"/>
    <w:rsid w:val="00152993"/>
    <w:rsid w:val="00152C77"/>
    <w:rsid w:val="001612F8"/>
    <w:rsid w:val="00161C99"/>
    <w:rsid w:val="00164A1B"/>
    <w:rsid w:val="00167398"/>
    <w:rsid w:val="00170297"/>
    <w:rsid w:val="0017054F"/>
    <w:rsid w:val="00173DCB"/>
    <w:rsid w:val="00174E41"/>
    <w:rsid w:val="00177824"/>
    <w:rsid w:val="001808E8"/>
    <w:rsid w:val="00180ACF"/>
    <w:rsid w:val="00184C19"/>
    <w:rsid w:val="001864BF"/>
    <w:rsid w:val="001875EE"/>
    <w:rsid w:val="00191DCA"/>
    <w:rsid w:val="00191F35"/>
    <w:rsid w:val="0019554E"/>
    <w:rsid w:val="001A19E7"/>
    <w:rsid w:val="001A227D"/>
    <w:rsid w:val="001B1E6B"/>
    <w:rsid w:val="001B752B"/>
    <w:rsid w:val="001B7757"/>
    <w:rsid w:val="001C3A67"/>
    <w:rsid w:val="001D19EF"/>
    <w:rsid w:val="001D4825"/>
    <w:rsid w:val="001E2032"/>
    <w:rsid w:val="001E34B1"/>
    <w:rsid w:val="001F0B4A"/>
    <w:rsid w:val="001F20AE"/>
    <w:rsid w:val="001F330A"/>
    <w:rsid w:val="001F3A32"/>
    <w:rsid w:val="001F4824"/>
    <w:rsid w:val="001F4DC2"/>
    <w:rsid w:val="00200E1C"/>
    <w:rsid w:val="0020725C"/>
    <w:rsid w:val="002113AC"/>
    <w:rsid w:val="0021602D"/>
    <w:rsid w:val="0022091B"/>
    <w:rsid w:val="002230A1"/>
    <w:rsid w:val="002240FD"/>
    <w:rsid w:val="00225708"/>
    <w:rsid w:val="002314C1"/>
    <w:rsid w:val="00232961"/>
    <w:rsid w:val="002333AB"/>
    <w:rsid w:val="0023401C"/>
    <w:rsid w:val="00234058"/>
    <w:rsid w:val="00236224"/>
    <w:rsid w:val="00242EEF"/>
    <w:rsid w:val="002526D1"/>
    <w:rsid w:val="00252F9B"/>
    <w:rsid w:val="0026110C"/>
    <w:rsid w:val="00264626"/>
    <w:rsid w:val="0026493F"/>
    <w:rsid w:val="00266048"/>
    <w:rsid w:val="0027485E"/>
    <w:rsid w:val="00276150"/>
    <w:rsid w:val="00281AEE"/>
    <w:rsid w:val="00292F8C"/>
    <w:rsid w:val="002965B1"/>
    <w:rsid w:val="0029715E"/>
    <w:rsid w:val="002A0AF7"/>
    <w:rsid w:val="002B0F02"/>
    <w:rsid w:val="002B2E34"/>
    <w:rsid w:val="002B3C88"/>
    <w:rsid w:val="002B43EF"/>
    <w:rsid w:val="002B5E8F"/>
    <w:rsid w:val="002B6498"/>
    <w:rsid w:val="002B7B90"/>
    <w:rsid w:val="002C0A5A"/>
    <w:rsid w:val="002C3B94"/>
    <w:rsid w:val="002C516F"/>
    <w:rsid w:val="002C52BA"/>
    <w:rsid w:val="002C5B37"/>
    <w:rsid w:val="002C708B"/>
    <w:rsid w:val="002D0AB4"/>
    <w:rsid w:val="002D5A5F"/>
    <w:rsid w:val="002D6E63"/>
    <w:rsid w:val="002E3428"/>
    <w:rsid w:val="003010C0"/>
    <w:rsid w:val="00302D6E"/>
    <w:rsid w:val="0030394A"/>
    <w:rsid w:val="0030553E"/>
    <w:rsid w:val="00310D51"/>
    <w:rsid w:val="003128CF"/>
    <w:rsid w:val="0031312B"/>
    <w:rsid w:val="00314562"/>
    <w:rsid w:val="00317C33"/>
    <w:rsid w:val="003221FD"/>
    <w:rsid w:val="00323878"/>
    <w:rsid w:val="00323A3F"/>
    <w:rsid w:val="00325D3F"/>
    <w:rsid w:val="00330650"/>
    <w:rsid w:val="00332A97"/>
    <w:rsid w:val="003429E0"/>
    <w:rsid w:val="00350C00"/>
    <w:rsid w:val="003526C7"/>
    <w:rsid w:val="00357C63"/>
    <w:rsid w:val="00366113"/>
    <w:rsid w:val="00366FD2"/>
    <w:rsid w:val="003711C5"/>
    <w:rsid w:val="00376349"/>
    <w:rsid w:val="00377A53"/>
    <w:rsid w:val="00382C32"/>
    <w:rsid w:val="00383D7A"/>
    <w:rsid w:val="00386AF9"/>
    <w:rsid w:val="00387D10"/>
    <w:rsid w:val="00390B17"/>
    <w:rsid w:val="00393896"/>
    <w:rsid w:val="003B342F"/>
    <w:rsid w:val="003B68C3"/>
    <w:rsid w:val="003C0C44"/>
    <w:rsid w:val="003C270C"/>
    <w:rsid w:val="003C5DF8"/>
    <w:rsid w:val="003D0994"/>
    <w:rsid w:val="003E14BE"/>
    <w:rsid w:val="003E16AD"/>
    <w:rsid w:val="003E4E7E"/>
    <w:rsid w:val="003F0A0F"/>
    <w:rsid w:val="003F3D72"/>
    <w:rsid w:val="003F5AD2"/>
    <w:rsid w:val="003F6058"/>
    <w:rsid w:val="003F73C6"/>
    <w:rsid w:val="0040252F"/>
    <w:rsid w:val="004032C0"/>
    <w:rsid w:val="0040411E"/>
    <w:rsid w:val="004056A1"/>
    <w:rsid w:val="0041216D"/>
    <w:rsid w:val="00415AEF"/>
    <w:rsid w:val="00415E53"/>
    <w:rsid w:val="00423824"/>
    <w:rsid w:val="004317BC"/>
    <w:rsid w:val="004328A3"/>
    <w:rsid w:val="0043567D"/>
    <w:rsid w:val="00435D47"/>
    <w:rsid w:val="00440AC5"/>
    <w:rsid w:val="004434DF"/>
    <w:rsid w:val="00446214"/>
    <w:rsid w:val="004473E4"/>
    <w:rsid w:val="00447862"/>
    <w:rsid w:val="00447D87"/>
    <w:rsid w:val="00447E17"/>
    <w:rsid w:val="00457E6C"/>
    <w:rsid w:val="004606FD"/>
    <w:rsid w:val="00462AFE"/>
    <w:rsid w:val="004702BD"/>
    <w:rsid w:val="00470F15"/>
    <w:rsid w:val="00471999"/>
    <w:rsid w:val="0047289B"/>
    <w:rsid w:val="0047311C"/>
    <w:rsid w:val="00474C38"/>
    <w:rsid w:val="00475DE8"/>
    <w:rsid w:val="00480B59"/>
    <w:rsid w:val="004862BF"/>
    <w:rsid w:val="004941E6"/>
    <w:rsid w:val="004964B2"/>
    <w:rsid w:val="004A36CC"/>
    <w:rsid w:val="004B7B90"/>
    <w:rsid w:val="004C3645"/>
    <w:rsid w:val="004C6E37"/>
    <w:rsid w:val="004D180B"/>
    <w:rsid w:val="004D2244"/>
    <w:rsid w:val="004D2663"/>
    <w:rsid w:val="004D39B7"/>
    <w:rsid w:val="004D7FC8"/>
    <w:rsid w:val="004E1136"/>
    <w:rsid w:val="004E2C19"/>
    <w:rsid w:val="004E3451"/>
    <w:rsid w:val="004E5A7B"/>
    <w:rsid w:val="004E6284"/>
    <w:rsid w:val="004F46E4"/>
    <w:rsid w:val="00501460"/>
    <w:rsid w:val="005041EC"/>
    <w:rsid w:val="005050A0"/>
    <w:rsid w:val="00505374"/>
    <w:rsid w:val="00505E29"/>
    <w:rsid w:val="005141DA"/>
    <w:rsid w:val="0051740F"/>
    <w:rsid w:val="00520AEC"/>
    <w:rsid w:val="00523FA1"/>
    <w:rsid w:val="00524646"/>
    <w:rsid w:val="005315F6"/>
    <w:rsid w:val="00531DA5"/>
    <w:rsid w:val="005343E7"/>
    <w:rsid w:val="005343F3"/>
    <w:rsid w:val="00534BB9"/>
    <w:rsid w:val="00543610"/>
    <w:rsid w:val="005466DD"/>
    <w:rsid w:val="005469AF"/>
    <w:rsid w:val="00552DF1"/>
    <w:rsid w:val="005562F5"/>
    <w:rsid w:val="005564CC"/>
    <w:rsid w:val="0056201B"/>
    <w:rsid w:val="005623F3"/>
    <w:rsid w:val="00572177"/>
    <w:rsid w:val="005732A3"/>
    <w:rsid w:val="005760E1"/>
    <w:rsid w:val="0057665D"/>
    <w:rsid w:val="00580D19"/>
    <w:rsid w:val="0058148D"/>
    <w:rsid w:val="00581AFE"/>
    <w:rsid w:val="00592E3D"/>
    <w:rsid w:val="005A5799"/>
    <w:rsid w:val="005A62B1"/>
    <w:rsid w:val="005A6508"/>
    <w:rsid w:val="005B38B3"/>
    <w:rsid w:val="005B63C6"/>
    <w:rsid w:val="005B791C"/>
    <w:rsid w:val="005C2837"/>
    <w:rsid w:val="005C2920"/>
    <w:rsid w:val="005C2B06"/>
    <w:rsid w:val="005C3532"/>
    <w:rsid w:val="005C3E41"/>
    <w:rsid w:val="005C52D7"/>
    <w:rsid w:val="005C61D2"/>
    <w:rsid w:val="005C7806"/>
    <w:rsid w:val="005D071A"/>
    <w:rsid w:val="005D1EDB"/>
    <w:rsid w:val="005D284C"/>
    <w:rsid w:val="005D69C4"/>
    <w:rsid w:val="005E4BDC"/>
    <w:rsid w:val="005E791E"/>
    <w:rsid w:val="005F1E25"/>
    <w:rsid w:val="005F2153"/>
    <w:rsid w:val="005F3D6B"/>
    <w:rsid w:val="005F58AA"/>
    <w:rsid w:val="00601217"/>
    <w:rsid w:val="00604512"/>
    <w:rsid w:val="006111D7"/>
    <w:rsid w:val="0061232B"/>
    <w:rsid w:val="0061457A"/>
    <w:rsid w:val="00615D81"/>
    <w:rsid w:val="00616D30"/>
    <w:rsid w:val="00625CC4"/>
    <w:rsid w:val="006302A4"/>
    <w:rsid w:val="00630A53"/>
    <w:rsid w:val="00632D45"/>
    <w:rsid w:val="00633E23"/>
    <w:rsid w:val="0063449F"/>
    <w:rsid w:val="00637DBC"/>
    <w:rsid w:val="006442C6"/>
    <w:rsid w:val="00645BF0"/>
    <w:rsid w:val="00660AD8"/>
    <w:rsid w:val="00660E25"/>
    <w:rsid w:val="006611C6"/>
    <w:rsid w:val="00662872"/>
    <w:rsid w:val="00666E61"/>
    <w:rsid w:val="00667E45"/>
    <w:rsid w:val="00673B94"/>
    <w:rsid w:val="00677310"/>
    <w:rsid w:val="00677C71"/>
    <w:rsid w:val="00680AC6"/>
    <w:rsid w:val="0068158C"/>
    <w:rsid w:val="0068221D"/>
    <w:rsid w:val="006835D8"/>
    <w:rsid w:val="00686FC5"/>
    <w:rsid w:val="0068749A"/>
    <w:rsid w:val="00690B1F"/>
    <w:rsid w:val="00691223"/>
    <w:rsid w:val="00695975"/>
    <w:rsid w:val="00695A3C"/>
    <w:rsid w:val="006963F1"/>
    <w:rsid w:val="006A0220"/>
    <w:rsid w:val="006A25B6"/>
    <w:rsid w:val="006A2686"/>
    <w:rsid w:val="006B6CB6"/>
    <w:rsid w:val="006C316E"/>
    <w:rsid w:val="006C4C2B"/>
    <w:rsid w:val="006D0F7C"/>
    <w:rsid w:val="006D1034"/>
    <w:rsid w:val="006D15B2"/>
    <w:rsid w:val="006D1D42"/>
    <w:rsid w:val="006D1E96"/>
    <w:rsid w:val="006D4333"/>
    <w:rsid w:val="006E368F"/>
    <w:rsid w:val="006E774B"/>
    <w:rsid w:val="006F1BD3"/>
    <w:rsid w:val="006F3435"/>
    <w:rsid w:val="006F4899"/>
    <w:rsid w:val="006F67DF"/>
    <w:rsid w:val="007160E0"/>
    <w:rsid w:val="0071736F"/>
    <w:rsid w:val="00723CC6"/>
    <w:rsid w:val="00724962"/>
    <w:rsid w:val="007269C4"/>
    <w:rsid w:val="00730046"/>
    <w:rsid w:val="0073182D"/>
    <w:rsid w:val="00740339"/>
    <w:rsid w:val="0074209E"/>
    <w:rsid w:val="007451A6"/>
    <w:rsid w:val="00753415"/>
    <w:rsid w:val="00753CF6"/>
    <w:rsid w:val="00754D36"/>
    <w:rsid w:val="00756781"/>
    <w:rsid w:val="00757A6E"/>
    <w:rsid w:val="0076168D"/>
    <w:rsid w:val="00766438"/>
    <w:rsid w:val="00767510"/>
    <w:rsid w:val="007712FF"/>
    <w:rsid w:val="00772A5A"/>
    <w:rsid w:val="007751BE"/>
    <w:rsid w:val="00790F7A"/>
    <w:rsid w:val="0079119F"/>
    <w:rsid w:val="00794026"/>
    <w:rsid w:val="0079454C"/>
    <w:rsid w:val="007949E7"/>
    <w:rsid w:val="00795F33"/>
    <w:rsid w:val="00796707"/>
    <w:rsid w:val="007A0796"/>
    <w:rsid w:val="007A1AD3"/>
    <w:rsid w:val="007A2B03"/>
    <w:rsid w:val="007A7B58"/>
    <w:rsid w:val="007B612C"/>
    <w:rsid w:val="007C54E4"/>
    <w:rsid w:val="007C63BE"/>
    <w:rsid w:val="007D18FB"/>
    <w:rsid w:val="007E1F36"/>
    <w:rsid w:val="007F2CA8"/>
    <w:rsid w:val="007F4802"/>
    <w:rsid w:val="007F7161"/>
    <w:rsid w:val="008004BC"/>
    <w:rsid w:val="00803E7A"/>
    <w:rsid w:val="00807E16"/>
    <w:rsid w:val="0081143D"/>
    <w:rsid w:val="008234EA"/>
    <w:rsid w:val="00824735"/>
    <w:rsid w:val="00825522"/>
    <w:rsid w:val="0082797C"/>
    <w:rsid w:val="00835298"/>
    <w:rsid w:val="008354EB"/>
    <w:rsid w:val="0084028C"/>
    <w:rsid w:val="00847275"/>
    <w:rsid w:val="00847DFB"/>
    <w:rsid w:val="00850B3E"/>
    <w:rsid w:val="0085559E"/>
    <w:rsid w:val="00863A03"/>
    <w:rsid w:val="00864DED"/>
    <w:rsid w:val="00865E46"/>
    <w:rsid w:val="00867B77"/>
    <w:rsid w:val="00873183"/>
    <w:rsid w:val="008741E1"/>
    <w:rsid w:val="0087686D"/>
    <w:rsid w:val="008827A2"/>
    <w:rsid w:val="008832CA"/>
    <w:rsid w:val="00883439"/>
    <w:rsid w:val="00885078"/>
    <w:rsid w:val="00892D0C"/>
    <w:rsid w:val="00893470"/>
    <w:rsid w:val="00896B1B"/>
    <w:rsid w:val="008A0C0D"/>
    <w:rsid w:val="008A392E"/>
    <w:rsid w:val="008B3D20"/>
    <w:rsid w:val="008C2345"/>
    <w:rsid w:val="008C4852"/>
    <w:rsid w:val="008C79EB"/>
    <w:rsid w:val="008C7A49"/>
    <w:rsid w:val="008E196B"/>
    <w:rsid w:val="008E559E"/>
    <w:rsid w:val="008E7E0F"/>
    <w:rsid w:val="008F07DA"/>
    <w:rsid w:val="008F6FE0"/>
    <w:rsid w:val="008F7E11"/>
    <w:rsid w:val="00905BA9"/>
    <w:rsid w:val="00906A58"/>
    <w:rsid w:val="00906CBB"/>
    <w:rsid w:val="00906E1B"/>
    <w:rsid w:val="00910F31"/>
    <w:rsid w:val="009133B2"/>
    <w:rsid w:val="00914E31"/>
    <w:rsid w:val="00915379"/>
    <w:rsid w:val="00916080"/>
    <w:rsid w:val="00916AB1"/>
    <w:rsid w:val="00917BE4"/>
    <w:rsid w:val="009216A1"/>
    <w:rsid w:val="00921A68"/>
    <w:rsid w:val="0092388B"/>
    <w:rsid w:val="00925EFF"/>
    <w:rsid w:val="0092757A"/>
    <w:rsid w:val="00930490"/>
    <w:rsid w:val="00932251"/>
    <w:rsid w:val="00932425"/>
    <w:rsid w:val="009369CA"/>
    <w:rsid w:val="009403ED"/>
    <w:rsid w:val="009446CE"/>
    <w:rsid w:val="009460FE"/>
    <w:rsid w:val="00946318"/>
    <w:rsid w:val="00953416"/>
    <w:rsid w:val="009575A6"/>
    <w:rsid w:val="00970108"/>
    <w:rsid w:val="0097156D"/>
    <w:rsid w:val="0097188F"/>
    <w:rsid w:val="00971B08"/>
    <w:rsid w:val="00972103"/>
    <w:rsid w:val="00972993"/>
    <w:rsid w:val="0098043B"/>
    <w:rsid w:val="0098081C"/>
    <w:rsid w:val="0098353E"/>
    <w:rsid w:val="00983A69"/>
    <w:rsid w:val="00986FF7"/>
    <w:rsid w:val="0098707E"/>
    <w:rsid w:val="00987292"/>
    <w:rsid w:val="009872AF"/>
    <w:rsid w:val="00990130"/>
    <w:rsid w:val="009904B4"/>
    <w:rsid w:val="0099170A"/>
    <w:rsid w:val="009939F4"/>
    <w:rsid w:val="00993DA1"/>
    <w:rsid w:val="0099768E"/>
    <w:rsid w:val="00997E9E"/>
    <w:rsid w:val="009A21F4"/>
    <w:rsid w:val="009A3063"/>
    <w:rsid w:val="009A39B4"/>
    <w:rsid w:val="009A70C7"/>
    <w:rsid w:val="009A775D"/>
    <w:rsid w:val="009B20A9"/>
    <w:rsid w:val="009B7C20"/>
    <w:rsid w:val="009D357E"/>
    <w:rsid w:val="009E05E0"/>
    <w:rsid w:val="009E0835"/>
    <w:rsid w:val="009E10D9"/>
    <w:rsid w:val="009E33B2"/>
    <w:rsid w:val="009E48E1"/>
    <w:rsid w:val="00A015C4"/>
    <w:rsid w:val="00A04FDD"/>
    <w:rsid w:val="00A15172"/>
    <w:rsid w:val="00A1548D"/>
    <w:rsid w:val="00A21C66"/>
    <w:rsid w:val="00A2358E"/>
    <w:rsid w:val="00A25F11"/>
    <w:rsid w:val="00A26596"/>
    <w:rsid w:val="00A33877"/>
    <w:rsid w:val="00A33DB6"/>
    <w:rsid w:val="00A36107"/>
    <w:rsid w:val="00A407CB"/>
    <w:rsid w:val="00A41E28"/>
    <w:rsid w:val="00A420A1"/>
    <w:rsid w:val="00A43E44"/>
    <w:rsid w:val="00A44659"/>
    <w:rsid w:val="00A44BC5"/>
    <w:rsid w:val="00A457A7"/>
    <w:rsid w:val="00A5274F"/>
    <w:rsid w:val="00A552FC"/>
    <w:rsid w:val="00A555D5"/>
    <w:rsid w:val="00A605CD"/>
    <w:rsid w:val="00A6764D"/>
    <w:rsid w:val="00A80C41"/>
    <w:rsid w:val="00A8144D"/>
    <w:rsid w:val="00A82069"/>
    <w:rsid w:val="00A92F19"/>
    <w:rsid w:val="00A94F1A"/>
    <w:rsid w:val="00A955B5"/>
    <w:rsid w:val="00AA0BFB"/>
    <w:rsid w:val="00AA7664"/>
    <w:rsid w:val="00AB14A1"/>
    <w:rsid w:val="00AB1DFA"/>
    <w:rsid w:val="00AB36FE"/>
    <w:rsid w:val="00AB50DC"/>
    <w:rsid w:val="00AB7096"/>
    <w:rsid w:val="00AC439A"/>
    <w:rsid w:val="00AC64CE"/>
    <w:rsid w:val="00AD1D76"/>
    <w:rsid w:val="00AD4F33"/>
    <w:rsid w:val="00AE4FFB"/>
    <w:rsid w:val="00AE5B73"/>
    <w:rsid w:val="00AF029F"/>
    <w:rsid w:val="00AF07B7"/>
    <w:rsid w:val="00AF1B0C"/>
    <w:rsid w:val="00AF3088"/>
    <w:rsid w:val="00AF3A32"/>
    <w:rsid w:val="00AF71B8"/>
    <w:rsid w:val="00AF76ED"/>
    <w:rsid w:val="00AF7D9D"/>
    <w:rsid w:val="00B008F6"/>
    <w:rsid w:val="00B00F4A"/>
    <w:rsid w:val="00B03CB6"/>
    <w:rsid w:val="00B078BD"/>
    <w:rsid w:val="00B07EAC"/>
    <w:rsid w:val="00B12139"/>
    <w:rsid w:val="00B156B0"/>
    <w:rsid w:val="00B30BC2"/>
    <w:rsid w:val="00B336E7"/>
    <w:rsid w:val="00B40931"/>
    <w:rsid w:val="00B42D88"/>
    <w:rsid w:val="00B467CC"/>
    <w:rsid w:val="00B5080A"/>
    <w:rsid w:val="00B5112F"/>
    <w:rsid w:val="00B533EF"/>
    <w:rsid w:val="00B5519D"/>
    <w:rsid w:val="00B61560"/>
    <w:rsid w:val="00B62367"/>
    <w:rsid w:val="00B62F56"/>
    <w:rsid w:val="00B63ADD"/>
    <w:rsid w:val="00B66EF5"/>
    <w:rsid w:val="00B70A13"/>
    <w:rsid w:val="00B70E84"/>
    <w:rsid w:val="00B730B3"/>
    <w:rsid w:val="00B7473F"/>
    <w:rsid w:val="00B7504E"/>
    <w:rsid w:val="00B82E72"/>
    <w:rsid w:val="00B854C0"/>
    <w:rsid w:val="00B8620A"/>
    <w:rsid w:val="00B919E1"/>
    <w:rsid w:val="00B943AE"/>
    <w:rsid w:val="00B95B57"/>
    <w:rsid w:val="00BA3039"/>
    <w:rsid w:val="00BA7ED2"/>
    <w:rsid w:val="00BB38C9"/>
    <w:rsid w:val="00BB391B"/>
    <w:rsid w:val="00BC6342"/>
    <w:rsid w:val="00BD0726"/>
    <w:rsid w:val="00BD2FC8"/>
    <w:rsid w:val="00BD69B0"/>
    <w:rsid w:val="00BD7258"/>
    <w:rsid w:val="00BE5AAD"/>
    <w:rsid w:val="00BE7199"/>
    <w:rsid w:val="00BF650E"/>
    <w:rsid w:val="00C0282B"/>
    <w:rsid w:val="00C02C51"/>
    <w:rsid w:val="00C050DB"/>
    <w:rsid w:val="00C0598D"/>
    <w:rsid w:val="00C11956"/>
    <w:rsid w:val="00C133C2"/>
    <w:rsid w:val="00C20B66"/>
    <w:rsid w:val="00C2125D"/>
    <w:rsid w:val="00C268B2"/>
    <w:rsid w:val="00C27E59"/>
    <w:rsid w:val="00C32E4D"/>
    <w:rsid w:val="00C3452D"/>
    <w:rsid w:val="00C34AAF"/>
    <w:rsid w:val="00C36E20"/>
    <w:rsid w:val="00C36F3D"/>
    <w:rsid w:val="00C436FF"/>
    <w:rsid w:val="00C521A7"/>
    <w:rsid w:val="00C602E5"/>
    <w:rsid w:val="00C60BB9"/>
    <w:rsid w:val="00C6499E"/>
    <w:rsid w:val="00C71811"/>
    <w:rsid w:val="00C7357B"/>
    <w:rsid w:val="00C748BF"/>
    <w:rsid w:val="00C748FD"/>
    <w:rsid w:val="00C83365"/>
    <w:rsid w:val="00C87270"/>
    <w:rsid w:val="00C922C5"/>
    <w:rsid w:val="00C976D7"/>
    <w:rsid w:val="00CA04C2"/>
    <w:rsid w:val="00CA3CDB"/>
    <w:rsid w:val="00CB01B6"/>
    <w:rsid w:val="00CB1E2A"/>
    <w:rsid w:val="00CB321B"/>
    <w:rsid w:val="00CC46A4"/>
    <w:rsid w:val="00CC53F1"/>
    <w:rsid w:val="00CC5B52"/>
    <w:rsid w:val="00CD1B00"/>
    <w:rsid w:val="00CD4273"/>
    <w:rsid w:val="00CD7DDF"/>
    <w:rsid w:val="00CE11C0"/>
    <w:rsid w:val="00CE21DB"/>
    <w:rsid w:val="00CE5D63"/>
    <w:rsid w:val="00CE7D2F"/>
    <w:rsid w:val="00CF2B69"/>
    <w:rsid w:val="00CF2F34"/>
    <w:rsid w:val="00CF56D7"/>
    <w:rsid w:val="00D0452D"/>
    <w:rsid w:val="00D101C3"/>
    <w:rsid w:val="00D103D6"/>
    <w:rsid w:val="00D1267D"/>
    <w:rsid w:val="00D1636A"/>
    <w:rsid w:val="00D16B58"/>
    <w:rsid w:val="00D16EA2"/>
    <w:rsid w:val="00D1734E"/>
    <w:rsid w:val="00D179CF"/>
    <w:rsid w:val="00D17AFE"/>
    <w:rsid w:val="00D20354"/>
    <w:rsid w:val="00D26EEB"/>
    <w:rsid w:val="00D30479"/>
    <w:rsid w:val="00D33F02"/>
    <w:rsid w:val="00D36701"/>
    <w:rsid w:val="00D36F89"/>
    <w:rsid w:val="00D4046E"/>
    <w:rsid w:val="00D4362F"/>
    <w:rsid w:val="00D507FA"/>
    <w:rsid w:val="00D5281F"/>
    <w:rsid w:val="00D55EB2"/>
    <w:rsid w:val="00D55EF0"/>
    <w:rsid w:val="00D568E2"/>
    <w:rsid w:val="00D63264"/>
    <w:rsid w:val="00D6575C"/>
    <w:rsid w:val="00D7116B"/>
    <w:rsid w:val="00D7362C"/>
    <w:rsid w:val="00D77CE2"/>
    <w:rsid w:val="00D80937"/>
    <w:rsid w:val="00D923E9"/>
    <w:rsid w:val="00D974A6"/>
    <w:rsid w:val="00DA319B"/>
    <w:rsid w:val="00DB0316"/>
    <w:rsid w:val="00DB04B6"/>
    <w:rsid w:val="00DB1C27"/>
    <w:rsid w:val="00DC63AC"/>
    <w:rsid w:val="00DC6607"/>
    <w:rsid w:val="00DD17AB"/>
    <w:rsid w:val="00DD2730"/>
    <w:rsid w:val="00DD4739"/>
    <w:rsid w:val="00DD6710"/>
    <w:rsid w:val="00DD6BC8"/>
    <w:rsid w:val="00DE5F33"/>
    <w:rsid w:val="00DF440F"/>
    <w:rsid w:val="00DF5A46"/>
    <w:rsid w:val="00DF6A7C"/>
    <w:rsid w:val="00DF6F3F"/>
    <w:rsid w:val="00E01EAB"/>
    <w:rsid w:val="00E03562"/>
    <w:rsid w:val="00E07B54"/>
    <w:rsid w:val="00E11F78"/>
    <w:rsid w:val="00E15B51"/>
    <w:rsid w:val="00E16D2B"/>
    <w:rsid w:val="00E179BE"/>
    <w:rsid w:val="00E21B03"/>
    <w:rsid w:val="00E2334D"/>
    <w:rsid w:val="00E32A15"/>
    <w:rsid w:val="00E4026F"/>
    <w:rsid w:val="00E45390"/>
    <w:rsid w:val="00E4616A"/>
    <w:rsid w:val="00E55F46"/>
    <w:rsid w:val="00E56FEB"/>
    <w:rsid w:val="00E621E1"/>
    <w:rsid w:val="00E75B3B"/>
    <w:rsid w:val="00E75D6E"/>
    <w:rsid w:val="00E763D5"/>
    <w:rsid w:val="00E76C35"/>
    <w:rsid w:val="00E7763F"/>
    <w:rsid w:val="00E85CE7"/>
    <w:rsid w:val="00E90E4D"/>
    <w:rsid w:val="00E9226E"/>
    <w:rsid w:val="00E933DC"/>
    <w:rsid w:val="00E95A8D"/>
    <w:rsid w:val="00EA5376"/>
    <w:rsid w:val="00EB051C"/>
    <w:rsid w:val="00EB2A16"/>
    <w:rsid w:val="00EB6063"/>
    <w:rsid w:val="00EC2573"/>
    <w:rsid w:val="00EC51C3"/>
    <w:rsid w:val="00EC55B3"/>
    <w:rsid w:val="00EC6B82"/>
    <w:rsid w:val="00EE00AD"/>
    <w:rsid w:val="00EE5948"/>
    <w:rsid w:val="00EE5FCA"/>
    <w:rsid w:val="00EE6681"/>
    <w:rsid w:val="00EE707C"/>
    <w:rsid w:val="00EF798C"/>
    <w:rsid w:val="00F026FF"/>
    <w:rsid w:val="00F033F9"/>
    <w:rsid w:val="00F11FE9"/>
    <w:rsid w:val="00F1320A"/>
    <w:rsid w:val="00F14142"/>
    <w:rsid w:val="00F147D4"/>
    <w:rsid w:val="00F14835"/>
    <w:rsid w:val="00F16D59"/>
    <w:rsid w:val="00F248CD"/>
    <w:rsid w:val="00F26D90"/>
    <w:rsid w:val="00F35C82"/>
    <w:rsid w:val="00F37329"/>
    <w:rsid w:val="00F3796B"/>
    <w:rsid w:val="00F40111"/>
    <w:rsid w:val="00F47DF4"/>
    <w:rsid w:val="00F51C90"/>
    <w:rsid w:val="00F553DD"/>
    <w:rsid w:val="00F55572"/>
    <w:rsid w:val="00F76D6A"/>
    <w:rsid w:val="00F778F4"/>
    <w:rsid w:val="00F83771"/>
    <w:rsid w:val="00F85827"/>
    <w:rsid w:val="00F87637"/>
    <w:rsid w:val="00F91AA2"/>
    <w:rsid w:val="00F96FB2"/>
    <w:rsid w:val="00F97153"/>
    <w:rsid w:val="00FA3FCF"/>
    <w:rsid w:val="00FA5FDC"/>
    <w:rsid w:val="00FB2FCD"/>
    <w:rsid w:val="00FB51D8"/>
    <w:rsid w:val="00FB56E7"/>
    <w:rsid w:val="00FC32BF"/>
    <w:rsid w:val="00FC38A9"/>
    <w:rsid w:val="00FC44B5"/>
    <w:rsid w:val="00FD08E8"/>
    <w:rsid w:val="00FD75C6"/>
    <w:rsid w:val="00FE19AC"/>
    <w:rsid w:val="00FE2594"/>
    <w:rsid w:val="00FE4430"/>
    <w:rsid w:val="00FE6BAF"/>
    <w:rsid w:val="00FE7929"/>
    <w:rsid w:val="00FE7D64"/>
    <w:rsid w:val="00FF1D25"/>
    <w:rsid w:val="00FF2DE4"/>
    <w:rsid w:val="00FF3379"/>
    <w:rsid w:val="34C04F8C"/>
    <w:rsid w:val="7ADB69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59346"/>
  <w15:chartTrackingRefBased/>
  <w15:docId w15:val="{F511A35C-52E9-44F1-B6CE-D2A17877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3"/>
      </w:numPr>
      <w:spacing w:after="240"/>
      <w:outlineLvl w:val="0"/>
    </w:pPr>
    <w:rPr>
      <w:b/>
      <w:caps/>
      <w:szCs w:val="20"/>
    </w:rPr>
  </w:style>
  <w:style w:type="paragraph" w:styleId="Heading2">
    <w:name w:val="heading 2"/>
    <w:aliases w:val="h2"/>
    <w:basedOn w:val="Normal"/>
    <w:next w:val="Normal"/>
    <w:qFormat/>
    <w:pPr>
      <w:keepNext/>
      <w:numPr>
        <w:ilvl w:val="1"/>
        <w:numId w:val="3"/>
      </w:numPr>
      <w:spacing w:before="240" w:after="240"/>
      <w:outlineLvl w:val="1"/>
    </w:pPr>
    <w:rPr>
      <w:b/>
      <w:szCs w:val="20"/>
    </w:rPr>
  </w:style>
  <w:style w:type="paragraph" w:styleId="Heading3">
    <w:name w:val="heading 3"/>
    <w:aliases w:val="h3"/>
    <w:basedOn w:val="Normal"/>
    <w:next w:val="Normal"/>
    <w:qFormat/>
    <w:pPr>
      <w:keepNext/>
      <w:numPr>
        <w:ilvl w:val="2"/>
        <w:numId w:val="3"/>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3"/>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1"/>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Caption">
    <w:name w:val="caption"/>
    <w:basedOn w:val="Normal"/>
    <w:next w:val="Normal"/>
    <w:uiPriority w:val="35"/>
    <w:unhideWhenUsed/>
    <w:qFormat/>
    <w:rsid w:val="008C4852"/>
    <w:pPr>
      <w:spacing w:after="200"/>
    </w:pPr>
    <w:rPr>
      <w:rFonts w:asciiTheme="minorHAnsi" w:eastAsiaTheme="minorHAnsi" w:hAnsiTheme="minorHAnsi" w:cstheme="minorBidi"/>
      <w:i/>
      <w:iCs/>
      <w:color w:val="0E2841" w:themeColor="text2"/>
      <w:kern w:val="2"/>
      <w:sz w:val="18"/>
      <w:szCs w:val="18"/>
      <w14:ligatures w14:val="standardContextual"/>
    </w:rPr>
  </w:style>
  <w:style w:type="paragraph" w:styleId="Revision">
    <w:name w:val="Revision"/>
    <w:hidden/>
    <w:uiPriority w:val="99"/>
    <w:semiHidden/>
    <w:rsid w:val="00AC64CE"/>
    <w:rPr>
      <w:sz w:val="24"/>
      <w:szCs w:val="24"/>
    </w:rPr>
  </w:style>
  <w:style w:type="paragraph" w:styleId="ListParagraph">
    <w:name w:val="List Paragraph"/>
    <w:basedOn w:val="Normal"/>
    <w:uiPriority w:val="34"/>
    <w:qFormat/>
    <w:rsid w:val="00677310"/>
    <w:pPr>
      <w:ind w:left="720"/>
      <w:contextualSpacing/>
    </w:pPr>
  </w:style>
  <w:style w:type="character" w:styleId="UnresolvedMention">
    <w:name w:val="Unresolved Mention"/>
    <w:basedOn w:val="DefaultParagraphFont"/>
    <w:uiPriority w:val="99"/>
    <w:semiHidden/>
    <w:unhideWhenUsed/>
    <w:rsid w:val="00921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eimers@potomaceconomic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rcot.com/mktrules/issues/NPRR12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4bb770-530c-43db-868c-470100b04b21">
      <Terms xmlns="http://schemas.microsoft.com/office/infopath/2007/PartnerControls"/>
    </lcf76f155ced4ddcb4097134ff3c332f>
    <TaxCatchAll xmlns="937cce53-552a-4e6c-8bb2-bd9caca87b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C4A72CAB0D64D9F7E9682FD2192C4" ma:contentTypeVersion="15" ma:contentTypeDescription="Create a new document." ma:contentTypeScope="" ma:versionID="7675757bd1bb0a76ba4e5ec95231aaa4">
  <xsd:schema xmlns:xsd="http://www.w3.org/2001/XMLSchema" xmlns:xs="http://www.w3.org/2001/XMLSchema" xmlns:p="http://schemas.microsoft.com/office/2006/metadata/properties" xmlns:ns2="b74bb770-530c-43db-868c-470100b04b21" xmlns:ns3="937cce53-552a-4e6c-8bb2-bd9caca87b17" targetNamespace="http://schemas.microsoft.com/office/2006/metadata/properties" ma:root="true" ma:fieldsID="208da01ec2d0db66eedf9cf27e0bcecc" ns2:_="" ns3:_="">
    <xsd:import namespace="b74bb770-530c-43db-868c-470100b04b21"/>
    <xsd:import namespace="937cce53-552a-4e6c-8bb2-bd9caca87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bb770-530c-43db-868c-470100b04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2c33fb-773d-4c7f-af06-7655ec8c41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cce53-552a-4e6c-8bb2-bd9caca87b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d2b1ae2-937c-401e-b607-a9cafcc47ee4}" ma:internalName="TaxCatchAll" ma:showField="CatchAllData" ma:web="937cce53-552a-4e6c-8bb2-bd9caca8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1AC6E-5FED-460A-A7B5-7505AD485422}">
  <ds:schemaRefs>
    <ds:schemaRef ds:uri="http://schemas.microsoft.com/office/2006/metadata/properties"/>
    <ds:schemaRef ds:uri="http://schemas.microsoft.com/office/infopath/2007/PartnerControls"/>
    <ds:schemaRef ds:uri="b74bb770-530c-43db-868c-470100b04b21"/>
    <ds:schemaRef ds:uri="937cce53-552a-4e6c-8bb2-bd9caca87b17"/>
  </ds:schemaRefs>
</ds:datastoreItem>
</file>

<file path=customXml/itemProps2.xml><?xml version="1.0" encoding="utf-8"?>
<ds:datastoreItem xmlns:ds="http://schemas.openxmlformats.org/officeDocument/2006/customXml" ds:itemID="{EE093F2A-66C6-4A86-850C-CB61A60A760C}">
  <ds:schemaRefs>
    <ds:schemaRef ds:uri="http://schemas.microsoft.com/sharepoint/v3/contenttype/forms"/>
  </ds:schemaRefs>
</ds:datastoreItem>
</file>

<file path=customXml/itemProps3.xml><?xml version="1.0" encoding="utf-8"?>
<ds:datastoreItem xmlns:ds="http://schemas.openxmlformats.org/officeDocument/2006/customXml" ds:itemID="{1723EAB1-F3A3-4CC3-85F5-33CC56BE7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bb770-530c-43db-868c-470100b04b21"/>
    <ds:schemaRef ds:uri="937cce53-552a-4e6c-8bb2-bd9caca8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1152</Words>
  <Characters>6592</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2001-06-20T20:28:00Z</cp:lastPrinted>
  <dcterms:created xsi:type="dcterms:W3CDTF">2026-06-22T16:56:00Z</dcterms:created>
  <dcterms:modified xsi:type="dcterms:W3CDTF">2026-06-22T17:08:00Z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0x010100BEEC4A72CAB0D64D9F7E9682FD2192C4</vt:lpwstr>
  </property>
  <property fmtid="{D5CDD505-2E9C-101B-9397-08002B2CF9AE}" pid="3" name="MediaServiceImageTags">
    <vt:lpwstr/>
  </property>
  <property fmtid="{D5CDD505-2E9C-101B-9397-08002B2CF9AE}" pid="4" name="MSIP_Label_7084cbda-52b8-46fb-a7b7-cb5bd465ed85_Enabled">
    <vt:lpwstr>true</vt:lpwstr>
  </property>
  <property fmtid="{D5CDD505-2E9C-101B-9397-08002B2CF9AE}" pid="5" name="MSIP_Label_7084cbda-52b8-46fb-a7b7-cb5bd465ed85_SetDate">
    <vt:lpwstr>2026-06-22T16:56:35Z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8608d9cd-b304-4ac5-93e9-12adf1c48eb7</vt:lpwstr>
  </property>
  <property fmtid="{D5CDD505-2E9C-101B-9397-08002B2CF9AE}" pid="10" name="MSIP_Label_7084cbda-52b8-46fb-a7b7-cb5bd465ed85_ContentBits">
    <vt:lpwstr>0</vt:lpwstr>
  </property>
  <property fmtid="{D5CDD505-2E9C-101B-9397-08002B2CF9AE}" pid="11" name="MSIP_Label_7084cbda-52b8-46fb-a7b7-cb5bd465ed85_Tag">
    <vt:lpwstr>10, 3, 0, 1</vt:lpwstr>
  </property>
</Properties>
</file>