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8365" w14:textId="34B87A3B" w:rsidR="00285860" w:rsidRPr="00FB493C" w:rsidRDefault="00285860" w:rsidP="00285860">
      <w:pPr>
        <w:spacing w:after="160" w:line="278" w:lineRule="auto"/>
        <w:rPr>
          <w:sz w:val="28"/>
          <w:szCs w:val="28"/>
        </w:rPr>
      </w:pPr>
      <w:r w:rsidRPr="00A15BAB">
        <w:rPr>
          <w:b/>
          <w:bCs/>
          <w:sz w:val="28"/>
          <w:szCs w:val="28"/>
        </w:rPr>
        <w:t>Instructions</w:t>
      </w:r>
      <w:r w:rsidRPr="00FB493C">
        <w:rPr>
          <w:sz w:val="28"/>
          <w:szCs w:val="28"/>
        </w:rPr>
        <w:t>: This</w:t>
      </w:r>
      <w:r>
        <w:rPr>
          <w:sz w:val="28"/>
          <w:szCs w:val="28"/>
        </w:rPr>
        <w:t xml:space="preserve"> Provisional Controllable Load Resource for Batch Zero Interconnection Study Form </w:t>
      </w:r>
      <w:r w:rsidRPr="00FB493C">
        <w:rPr>
          <w:sz w:val="28"/>
          <w:szCs w:val="28"/>
        </w:rPr>
        <w:t xml:space="preserve">(“Form”) </w:t>
      </w:r>
      <w:r>
        <w:rPr>
          <w:sz w:val="28"/>
          <w:szCs w:val="28"/>
        </w:rPr>
        <w:t>may</w:t>
      </w:r>
      <w:r w:rsidRPr="00FB493C">
        <w:rPr>
          <w:sz w:val="28"/>
          <w:szCs w:val="28"/>
        </w:rPr>
        <w:t xml:space="preserve"> be completed by </w:t>
      </w:r>
      <w:r>
        <w:rPr>
          <w:sz w:val="28"/>
          <w:szCs w:val="28"/>
        </w:rPr>
        <w:t xml:space="preserve">an authorized representative of the designated Interconnecting Large Load Entity (“Designated ILLE”). </w:t>
      </w:r>
      <w:r w:rsidRPr="00FB493C">
        <w:rPr>
          <w:sz w:val="28"/>
          <w:szCs w:val="28"/>
        </w:rPr>
        <w:t xml:space="preserve">The </w:t>
      </w:r>
      <w:r>
        <w:rPr>
          <w:sz w:val="28"/>
          <w:szCs w:val="28"/>
        </w:rPr>
        <w:t>Designated ILLE is providing this Form</w:t>
      </w:r>
      <w:r w:rsidRPr="00FB493C">
        <w:rPr>
          <w:sz w:val="28"/>
          <w:szCs w:val="28"/>
        </w:rPr>
        <w:t xml:space="preserve"> in accordance with Electric Reliability Council of Texas, Inc.’s </w:t>
      </w:r>
      <w:r>
        <w:rPr>
          <w:sz w:val="28"/>
          <w:szCs w:val="28"/>
        </w:rPr>
        <w:t xml:space="preserve">Nodal Protocol Section 23, Form W Provisional Controllable Load Resource for Batch Zero Interconnection Study Form </w:t>
      </w:r>
      <w:r w:rsidRPr="00093955">
        <w:rPr>
          <w:sz w:val="28"/>
          <w:szCs w:val="28"/>
        </w:rPr>
        <w:t>as</w:t>
      </w:r>
      <w:r w:rsidRPr="00FB493C">
        <w:rPr>
          <w:sz w:val="28"/>
          <w:szCs w:val="28"/>
        </w:rPr>
        <w:t xml:space="preserve"> stated in </w:t>
      </w:r>
      <w:r>
        <w:rPr>
          <w:sz w:val="28"/>
          <w:szCs w:val="28"/>
        </w:rPr>
        <w:t>Nodal Protocol</w:t>
      </w:r>
      <w:r w:rsidRPr="00FB493C">
        <w:rPr>
          <w:sz w:val="28"/>
          <w:szCs w:val="28"/>
        </w:rPr>
        <w:t xml:space="preserve"> Revision Request </w:t>
      </w:r>
      <w:r>
        <w:rPr>
          <w:sz w:val="28"/>
          <w:szCs w:val="28"/>
        </w:rPr>
        <w:t>1325</w:t>
      </w:r>
      <w:r w:rsidRPr="00FB493C">
        <w:rPr>
          <w:sz w:val="28"/>
          <w:szCs w:val="28"/>
        </w:rPr>
        <w:t xml:space="preserve">, which is subject to approval by the Public Utility Commission of Texas. All </w:t>
      </w:r>
      <w:r>
        <w:rPr>
          <w:sz w:val="28"/>
          <w:szCs w:val="28"/>
        </w:rPr>
        <w:t xml:space="preserve">Part A </w:t>
      </w:r>
      <w:r w:rsidRPr="00FB493C">
        <w:rPr>
          <w:sz w:val="28"/>
          <w:szCs w:val="28"/>
        </w:rPr>
        <w:t xml:space="preserve">fields must be completed unless otherwise noted. This Form must be returned to </w:t>
      </w:r>
      <w:r>
        <w:rPr>
          <w:sz w:val="28"/>
          <w:szCs w:val="28"/>
        </w:rPr>
        <w:t>the</w:t>
      </w:r>
      <w:r w:rsidRPr="00FB493C">
        <w:rPr>
          <w:sz w:val="28"/>
          <w:szCs w:val="28"/>
        </w:rPr>
        <w:t xml:space="preserve"> </w:t>
      </w:r>
      <w:r w:rsidRPr="00FB493C">
        <w:rPr>
          <w:rFonts w:eastAsia="Aptos"/>
          <w:kern w:val="2"/>
          <w:sz w:val="28"/>
          <w:szCs w:val="28"/>
          <w14:ligatures w14:val="standardContextual"/>
        </w:rPr>
        <w:t xml:space="preserve">applicable Interconnecting Distribution Service Provider (DSP) or Interconnecting Transmission Service Provider (TSP) </w:t>
      </w:r>
      <w:r w:rsidRPr="00FB493C">
        <w:rPr>
          <w:sz w:val="28"/>
          <w:szCs w:val="28"/>
        </w:rPr>
        <w:t xml:space="preserve">on or before </w:t>
      </w:r>
      <w:r w:rsidRPr="00ED1439">
        <w:rPr>
          <w:b/>
          <w:bCs/>
          <w:sz w:val="28"/>
          <w:szCs w:val="28"/>
        </w:rPr>
        <w:t>July 10, 2026</w:t>
      </w:r>
      <w:r w:rsidRPr="00FB493C">
        <w:rPr>
          <w:sz w:val="28"/>
          <w:szCs w:val="28"/>
        </w:rPr>
        <w:t xml:space="preserve">. Questions regarding this Form may be sent to: </w:t>
      </w:r>
      <w:hyperlink r:id="rId11" w:history="1">
        <w:r>
          <w:rPr>
            <w:rStyle w:val="Hyperlink"/>
            <w:sz w:val="28"/>
            <w:szCs w:val="28"/>
          </w:rPr>
          <w:t>llwg_feedback@ercot.com</w:t>
        </w:r>
      </w:hyperlink>
      <w:r w:rsidRPr="00FB493C">
        <w:rPr>
          <w:sz w:val="28"/>
          <w:szCs w:val="28"/>
        </w:rPr>
        <w:t>.</w:t>
      </w:r>
    </w:p>
    <w:p w14:paraId="3470A64D" w14:textId="77777777" w:rsidR="00285860" w:rsidRPr="00962997" w:rsidRDefault="00075F81" w:rsidP="00285860">
      <w:pPr>
        <w:jc w:val="center"/>
        <w:rPr>
          <w:b/>
          <w:bCs/>
          <w:sz w:val="36"/>
          <w:szCs w:val="36"/>
        </w:rPr>
      </w:pPr>
      <w:r>
        <w:rPr>
          <w:b/>
          <w:bCs/>
          <w:sz w:val="36"/>
          <w:szCs w:val="36"/>
        </w:rPr>
        <w:pict w14:anchorId="07B9BB35">
          <v:rect id="_x0000_i1025" style="width:0;height:1.5pt" o:hralign="center" o:hrstd="t" o:hr="t" fillcolor="#a0a0a0" stroked="f"/>
        </w:pict>
      </w:r>
    </w:p>
    <w:p w14:paraId="1FD92D40" w14:textId="2BB0DEF6" w:rsidR="00962997" w:rsidRPr="00962997" w:rsidRDefault="00962997" w:rsidP="00962997">
      <w:pPr>
        <w:jc w:val="center"/>
        <w:rPr>
          <w:rFonts w:ascii="Times New Roman Bold" w:hAnsi="Times New Roman Bold"/>
          <w:b/>
          <w:bCs/>
          <w:caps/>
          <w:u w:val="single"/>
        </w:rPr>
      </w:pPr>
      <w:r w:rsidRPr="00962997">
        <w:rPr>
          <w:rFonts w:ascii="Times New Roman Bold" w:hAnsi="Times New Roman Bold"/>
          <w:b/>
          <w:bCs/>
          <w:caps/>
          <w:u w:val="single"/>
        </w:rPr>
        <w:t>Provisional Controllable Load Resource for Batch Zero Interconnection Study Form</w:t>
      </w:r>
    </w:p>
    <w:p w14:paraId="69A9BF99" w14:textId="77777777" w:rsidR="00962997" w:rsidRPr="00962997" w:rsidRDefault="00962997" w:rsidP="00962997"/>
    <w:p w14:paraId="30283822" w14:textId="431AD7BC" w:rsidR="00962997" w:rsidRPr="00962997" w:rsidRDefault="00962997" w:rsidP="00962997">
      <w:r w:rsidRPr="00962997">
        <w:t>An Interconnecting Large Load Entity (ILLE) with a Large Load interconnection request eligible for study in the Batch Zero Process may elect for the Large Load to be evaluated as a Provisional Controllable Load Resource (PCLR) as described in ERCOT Planning Guide Section 9.2.2.1.  A PCLR is a Controllable Load Resource (CLR) that may be approved to energize above the maximum Low Power Consumption determined in the Batch Zero Interconnection Study so long as it remains registered and qualified as a CLR.  The PCLR must remain so registered until a defined end date determined during the Batch Zero Interconnection Study or until it deregisters as provided in Section 16.5.5.  The Low Power Consumption (LPC) of the PCLR must never exceed the maximum LPC determined</w:t>
      </w:r>
      <w:r w:rsidRPr="00962997" w:rsidDel="00220A4E">
        <w:t xml:space="preserve"> </w:t>
      </w:r>
      <w:r w:rsidRPr="00962997">
        <w:t>in the Batch Zero Interconnection Study as set forth in the LCP provided to the ILLE per Planning Guide Section 9.4.1.  PCLRs are not eligible to qualify to provide Ancillary Services to the ERCOT System.</w:t>
      </w:r>
    </w:p>
    <w:p w14:paraId="11FE4B3E" w14:textId="77777777" w:rsidR="00962997" w:rsidRPr="00962997" w:rsidRDefault="00962997" w:rsidP="00962997"/>
    <w:p w14:paraId="639949A9" w14:textId="7B76F8B1" w:rsidR="00962997" w:rsidRPr="00962997" w:rsidRDefault="00962997" w:rsidP="00962997">
      <w:r w:rsidRPr="00962997">
        <w:t>For an ILLE to elect for its designated Large Load to be evaluated as a PCLR in the Batch Zero Interconnection Study defined in Section 9 of the ERCOT Planning Guide, the ILLE’s representative, official, officer, or other authorized person with binding authority over the ILLE must complete Part A of this Form and sign, notarize, and deliver it to the applicable Interconnecting Distribution Service Provider (DSP) or Interconnecting Transmission</w:t>
      </w:r>
      <w:r w:rsidRPr="00962997" w:rsidDel="004C3D22">
        <w:t xml:space="preserve"> </w:t>
      </w:r>
      <w:r w:rsidRPr="00962997">
        <w:t>Service Provider (TSP) on or before July 10, 2026.  The Interconnecting DSP or Interconnecting TSP must provide the completed, signed, and notarized Part A of the Form to ERCOT on or before July 24, 2026.  ERCOT may request additional information as reasonably necessary to support operations under the ERCOT Protocols and Planning Guide.</w:t>
      </w:r>
    </w:p>
    <w:p w14:paraId="0AABC4D2" w14:textId="77777777" w:rsidR="00962997" w:rsidRPr="00962997" w:rsidRDefault="00962997" w:rsidP="00962997"/>
    <w:p w14:paraId="7AAA5965" w14:textId="77777777" w:rsidR="00962997" w:rsidRPr="00962997" w:rsidRDefault="00962997" w:rsidP="00962997">
      <w:r w:rsidRPr="00962997">
        <w:t xml:space="preserve">Following the report summarizing the results of the Batch Zero Interconnection Study, if the ILLE executes an interconnection agreement during the commitment period and still intends for </w:t>
      </w:r>
      <w:r w:rsidRPr="00962997">
        <w:lastRenderedPageBreak/>
        <w:t>the designated Large Load to be a PCLR, the ILLE must sign, notarize, and deliver Part B to the applicable Interconnecting DSP or Interconnecting TSP and the Interconnecting DSP or Interconnecting TSP must submit it to ERCOT by the commitment deadline in paragraph (2)(c) of Planning Guide Section 9.3.1.</w:t>
      </w:r>
    </w:p>
    <w:p w14:paraId="74345EDD" w14:textId="77777777" w:rsidR="00962997" w:rsidRPr="00962997" w:rsidRDefault="00962997" w:rsidP="00962997"/>
    <w:p w14:paraId="18284923" w14:textId="77777777" w:rsidR="00962997" w:rsidRPr="00962997" w:rsidRDefault="00962997" w:rsidP="00962997">
      <w:pPr>
        <w:rPr>
          <w:b/>
          <w:bCs/>
        </w:rPr>
      </w:pPr>
      <w:r w:rsidRPr="00962997">
        <w:rPr>
          <w:b/>
          <w:bCs/>
        </w:rPr>
        <w:t>PART A:</w:t>
      </w:r>
    </w:p>
    <w:p w14:paraId="5C8A7923" w14:textId="77777777" w:rsidR="00962997" w:rsidRPr="00962997" w:rsidRDefault="00962997" w:rsidP="00962997"/>
    <w:p w14:paraId="4756211C" w14:textId="77777777" w:rsidR="00962997" w:rsidRPr="00962997" w:rsidRDefault="00962997" w:rsidP="00962997">
      <w:pPr>
        <w:rPr>
          <w:u w:val="single"/>
        </w:rPr>
      </w:pPr>
      <w:r w:rsidRPr="00962997">
        <w:rPr>
          <w:u w:val="single"/>
        </w:rPr>
        <w:t>Part A ILLE Obligations</w:t>
      </w:r>
    </w:p>
    <w:p w14:paraId="4E411081" w14:textId="77777777" w:rsidR="00962997" w:rsidRPr="00962997" w:rsidRDefault="00962997" w:rsidP="00962997"/>
    <w:p w14:paraId="3122FCD5" w14:textId="77777777" w:rsidR="00962997" w:rsidRPr="00962997" w:rsidRDefault="00962997" w:rsidP="00962997">
      <w:pPr>
        <w:spacing w:after="240"/>
      </w:pPr>
      <w:r w:rsidRPr="00962997">
        <w:t>By signing and notarizing Part A of this Form, the ILLE identified below confirms the following:</w:t>
      </w:r>
    </w:p>
    <w:p w14:paraId="264A344C" w14:textId="77777777" w:rsidR="00962997" w:rsidRPr="00962997" w:rsidRDefault="00962997" w:rsidP="00962997">
      <w:pPr>
        <w:spacing w:before="120" w:after="120"/>
        <w:ind w:left="720" w:hanging="360"/>
        <w:rPr>
          <w:rFonts w:eastAsia="Calibri"/>
          <w:kern w:val="2"/>
        </w:rPr>
      </w:pPr>
      <w:r w:rsidRPr="00962997">
        <w:rPr>
          <w:rFonts w:eastAsia="Calibri"/>
          <w:kern w:val="2"/>
        </w:rPr>
        <w:t>1.</w:t>
      </w:r>
      <w:r w:rsidRPr="00962997">
        <w:rPr>
          <w:rFonts w:eastAsia="Calibri"/>
          <w:kern w:val="2"/>
        </w:rPr>
        <w:tab/>
        <w:t>The ILLE declares its intent to register the Large Load designated in Part A below as a PCLR.  The ILLE understands that, by completing Part A of this Form, ERCOT will evaluate the designated Large Load as a PCLR in the Batch Zero Interconnection Study as described in Planning Guide Section 9.3.2.1.  The ILLE must complete, notarize, and sign Part B of this Form after the Batch Zero Interconnection Study.  If ERCOT does not receive the signed and notarized Form W Part B by the date specified in paragraph (2)(c) of Planning Guide Section 9.3.1, ERCOT will exclude that Large Load from the Batch Zero Refinement Study described in Planning Guide Section 9.5.</w:t>
      </w:r>
    </w:p>
    <w:p w14:paraId="07C514F0" w14:textId="22C1198B" w:rsidR="00962997" w:rsidRPr="00962997" w:rsidRDefault="00962997" w:rsidP="00962997">
      <w:pPr>
        <w:spacing w:before="120" w:after="120"/>
        <w:ind w:left="720" w:hanging="360"/>
        <w:rPr>
          <w:rFonts w:eastAsia="Calibri"/>
          <w:kern w:val="2"/>
        </w:rPr>
      </w:pPr>
      <w:r w:rsidRPr="00962997">
        <w:rPr>
          <w:rFonts w:eastAsia="Calibri"/>
          <w:kern w:val="2"/>
        </w:rPr>
        <w:t>2.</w:t>
      </w:r>
      <w:r w:rsidRPr="00962997">
        <w:rPr>
          <w:rFonts w:eastAsia="Calibri"/>
          <w:kern w:val="2"/>
        </w:rPr>
        <w:tab/>
        <w:t>The ILLE understands it must register the designated Large Load as a PCLR to be approved to energize above the maximum LPC amounts determined in the Batch Zero Interconnection Study if the ILLE executed an interconnection agreement according to paragraph (2) of Planning Guide Section 9.4.</w:t>
      </w:r>
    </w:p>
    <w:p w14:paraId="2EC1000C" w14:textId="0312CC52" w:rsidR="00962997" w:rsidRPr="00962997" w:rsidRDefault="00962997" w:rsidP="00962997">
      <w:pPr>
        <w:spacing w:before="120" w:after="120"/>
        <w:ind w:left="720" w:hanging="360"/>
        <w:rPr>
          <w:rFonts w:eastAsia="Calibri"/>
          <w:kern w:val="2"/>
        </w:rPr>
      </w:pPr>
      <w:r w:rsidRPr="00962997">
        <w:rPr>
          <w:rFonts w:eastAsia="Calibri"/>
          <w:kern w:val="2"/>
        </w:rPr>
        <w:t>3.</w:t>
      </w:r>
      <w:r w:rsidRPr="00962997">
        <w:rPr>
          <w:rFonts w:eastAsia="Calibri"/>
          <w:kern w:val="2"/>
        </w:rPr>
        <w:tab/>
        <w:t xml:space="preserve">The ILLE understands the steps to register its designated Large Load as a PCLR, which follows the same steps as registering a CLR. The ILLE agrees to comply with all obligations placed on the owner of a CLR and any additional obligations applicable to a PCLR under the ERCOT Protocols or Guides.  These obligations include, but are not limited to, registering with ERCOT as a Resource Entity, registering in the Resource Integration and Ongoing Operations (RIOO) system as a Load Resource, designating a Qualified Scheduling Entity (QSE), and complying with Security-Constrained Economic Dispatch (SCED) Base Point Dispatch Instructions when consuming energy. </w:t>
      </w:r>
    </w:p>
    <w:p w14:paraId="3D2BA36D" w14:textId="77777777" w:rsidR="00962997" w:rsidRPr="00962997" w:rsidRDefault="00962997" w:rsidP="00962997">
      <w:pPr>
        <w:spacing w:before="120" w:after="120"/>
        <w:ind w:left="720" w:hanging="360"/>
        <w:rPr>
          <w:rFonts w:eastAsia="Calibri"/>
          <w:kern w:val="2"/>
        </w:rPr>
      </w:pPr>
      <w:r w:rsidRPr="00962997">
        <w:rPr>
          <w:rFonts w:eastAsia="Calibri"/>
          <w:kern w:val="2"/>
        </w:rPr>
        <w:t>4.</w:t>
      </w:r>
      <w:r w:rsidRPr="00962997">
        <w:rPr>
          <w:rFonts w:eastAsia="Calibri"/>
          <w:kern w:val="2"/>
        </w:rPr>
        <w:tab/>
        <w:t>The ILLE understands ERCOT does not guarantee that the desired Maximum Power Consumption (MPC) amount can ever be served in Real-Time.  SCED will</w:t>
      </w:r>
      <w:r w:rsidRPr="00962997" w:rsidDel="00A52712">
        <w:rPr>
          <w:rFonts w:eastAsia="Calibri"/>
          <w:kern w:val="2"/>
        </w:rPr>
        <w:t xml:space="preserve"> </w:t>
      </w:r>
      <w:r w:rsidRPr="00962997">
        <w:rPr>
          <w:rFonts w:eastAsia="Calibri"/>
          <w:kern w:val="2"/>
        </w:rPr>
        <w:t>issue a Base Point corresponding to the amount of load that can be served in Real-Time and the PCLR is obligated to follow that Base Point instruction.</w:t>
      </w:r>
    </w:p>
    <w:p w14:paraId="4E2968FC" w14:textId="77777777" w:rsidR="00962997" w:rsidRPr="00962997" w:rsidRDefault="00962997" w:rsidP="00962997">
      <w:pPr>
        <w:spacing w:before="120" w:after="120"/>
        <w:ind w:left="720" w:hanging="360"/>
        <w:rPr>
          <w:rFonts w:eastAsia="Calibri"/>
          <w:kern w:val="2"/>
        </w:rPr>
      </w:pPr>
      <w:r w:rsidRPr="00962997">
        <w:rPr>
          <w:rFonts w:eastAsia="Calibri"/>
          <w:kern w:val="2"/>
        </w:rPr>
        <w:t>5.</w:t>
      </w:r>
      <w:r w:rsidRPr="00962997">
        <w:rPr>
          <w:rFonts w:eastAsia="Calibri"/>
          <w:kern w:val="2"/>
        </w:rPr>
        <w:tab/>
        <w:t>The ILLE understands the ramp rate requirements documented in Section 6.5.7.11 and affirms the designated Large Load will be capable of compliance with these requirements.</w:t>
      </w:r>
    </w:p>
    <w:p w14:paraId="25AD63F7" w14:textId="1BCB7EFD" w:rsidR="00962997" w:rsidRPr="00962997" w:rsidRDefault="00962997" w:rsidP="00962997">
      <w:pPr>
        <w:spacing w:before="120" w:after="120"/>
        <w:ind w:left="720" w:hanging="360"/>
        <w:rPr>
          <w:rFonts w:eastAsia="Calibri"/>
          <w:kern w:val="2"/>
        </w:rPr>
      </w:pPr>
      <w:r w:rsidRPr="00962997">
        <w:rPr>
          <w:rFonts w:eastAsia="Calibri"/>
          <w:kern w:val="2"/>
        </w:rPr>
        <w:t>6.</w:t>
      </w:r>
      <w:r w:rsidRPr="00962997">
        <w:rPr>
          <w:rFonts w:eastAsia="Calibri"/>
          <w:kern w:val="2"/>
        </w:rPr>
        <w:tab/>
        <w:t xml:space="preserve">The designated Large Load shall remain a PCLR until its ERCOT-determined end date set forth in Part B or the date that ERCOT approves the Resource Entity election to change the Large Load’s registration status as set forth in Section 16.5.5, Provisional Controllable Load Resources (PCLRs).  Once the end date has been reached, the existing registration as a PCLR will remain unchanged unless and until the Resource Entity elects </w:t>
      </w:r>
      <w:r w:rsidRPr="00962997">
        <w:rPr>
          <w:rFonts w:eastAsia="Calibri"/>
          <w:kern w:val="2"/>
        </w:rPr>
        <w:lastRenderedPageBreak/>
        <w:t>to modify its Resource registration for the Large Load.  The PCLR can convert to another type of Load Resource or become a firm Load.</w:t>
      </w:r>
    </w:p>
    <w:p w14:paraId="07E0BB19" w14:textId="10A6FDFE" w:rsidR="00962997" w:rsidRPr="00962997" w:rsidRDefault="00962997" w:rsidP="00962997">
      <w:pPr>
        <w:spacing w:before="120" w:after="120"/>
        <w:ind w:left="720" w:hanging="360"/>
        <w:rPr>
          <w:rFonts w:eastAsia="Calibri"/>
          <w:kern w:val="2"/>
        </w:rPr>
      </w:pPr>
      <w:r w:rsidRPr="00962997">
        <w:rPr>
          <w:rFonts w:eastAsia="Calibri"/>
          <w:kern w:val="2"/>
        </w:rPr>
        <w:t>7.</w:t>
      </w:r>
      <w:r w:rsidRPr="00962997">
        <w:rPr>
          <w:rFonts w:eastAsia="Calibri"/>
          <w:kern w:val="2"/>
        </w:rPr>
        <w:tab/>
        <w:t>If the ILLE desires to de-register the Large Load as a PCLR prior to the end date, it may do so with 120 days’ notice to ERCOT as set forth in Section 16.5.5.  Once de-registered as a PCLR, Large Load will be limited to the maximum LPC amounts identified in the Batch Zero Interconnection study and documented in the Load Commissioning Plan (LCP) until new interconnection studies have been performed according to applicable ERCOT Protocols and Guides.</w:t>
      </w:r>
    </w:p>
    <w:p w14:paraId="537662AE" w14:textId="716ABE0E" w:rsidR="00962997" w:rsidRPr="00962997" w:rsidRDefault="00962997" w:rsidP="00962997">
      <w:pPr>
        <w:spacing w:before="120" w:after="120"/>
        <w:ind w:left="720" w:hanging="360"/>
        <w:rPr>
          <w:rFonts w:eastAsia="Calibri"/>
          <w:kern w:val="2"/>
        </w:rPr>
      </w:pPr>
      <w:r w:rsidRPr="00962997">
        <w:rPr>
          <w:rFonts w:eastAsia="Calibri"/>
          <w:kern w:val="2"/>
        </w:rPr>
        <w:t>8.</w:t>
      </w:r>
      <w:r w:rsidRPr="00962997">
        <w:rPr>
          <w:rFonts w:eastAsia="Calibri"/>
          <w:kern w:val="2"/>
        </w:rPr>
        <w:tab/>
        <w:t>The ILLE understands that failure to comply with Real-Time ERCOT Dispatch and operating instructions may result in the revocation of PCLR status, especially after multiple violations, in addition to any other charges or penalties defined in the ERCOT Protocols and Guides.  In the event PCLR status is revoked, the Large Load will be limited to the maximum LPC amounts identified in the Batch Zero Interconnection study and documented in the LCP until new interconnection studies have been performed according to applicable ERCOT Protocols and Guides.</w:t>
      </w:r>
    </w:p>
    <w:p w14:paraId="7FB49AAD" w14:textId="270A158D" w:rsidR="00962997" w:rsidRPr="00962997" w:rsidRDefault="00962997" w:rsidP="00962997">
      <w:pPr>
        <w:spacing w:before="120" w:after="120"/>
        <w:ind w:left="720" w:hanging="360"/>
        <w:rPr>
          <w:rFonts w:eastAsia="Calibri"/>
          <w:kern w:val="2"/>
        </w:rPr>
      </w:pPr>
      <w:r w:rsidRPr="00962997">
        <w:rPr>
          <w:rFonts w:eastAsia="Calibri"/>
          <w:kern w:val="2"/>
        </w:rPr>
        <w:t>9.</w:t>
      </w:r>
      <w:r w:rsidRPr="00962997">
        <w:rPr>
          <w:rFonts w:eastAsia="Calibri"/>
          <w:kern w:val="2"/>
        </w:rPr>
        <w:tab/>
        <w:t>If ownership of the Large Load is transferred to another Entity, the Entity acquiring the Large Load shall be bound by these obligations.  In accordance with Section 16.5.5, the acquiring Entity must notify ERCOT and submit an updated, signed, and notarized Part A of this Form within ten days of the transfer.</w:t>
      </w:r>
    </w:p>
    <w:p w14:paraId="4E9EED83" w14:textId="77777777" w:rsidR="00962997" w:rsidRPr="00962997" w:rsidRDefault="00962997" w:rsidP="00962997">
      <w:r w:rsidRPr="00962997">
        <w:tab/>
      </w:r>
    </w:p>
    <w:p w14:paraId="420A8E6F" w14:textId="77777777" w:rsidR="00962997" w:rsidRPr="00962997" w:rsidRDefault="00962997" w:rsidP="00962997">
      <w:pPr>
        <w:keepNext/>
        <w:rPr>
          <w:u w:val="single"/>
        </w:rPr>
      </w:pPr>
      <w:r w:rsidRPr="00962997">
        <w:rPr>
          <w:u w:val="single"/>
        </w:rPr>
        <w:t>Part A Required Information</w:t>
      </w:r>
    </w:p>
    <w:p w14:paraId="2A071BFB" w14:textId="77777777" w:rsidR="00962997" w:rsidRPr="00962997" w:rsidRDefault="00962997" w:rsidP="00962997">
      <w:pPr>
        <w:keepNext/>
        <w:spacing w:before="120" w:after="120"/>
      </w:pPr>
      <w:r w:rsidRPr="00962997">
        <w:t xml:space="preserve">Interconnecting Large Load Entity Name: </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p>
    <w:p w14:paraId="6DC935FC" w14:textId="77777777" w:rsidR="00962997" w:rsidRPr="00962997" w:rsidRDefault="00962997" w:rsidP="00962997">
      <w:pPr>
        <w:keepNext/>
        <w:spacing w:before="120" w:after="120"/>
      </w:pPr>
      <w:r w:rsidRPr="00962997">
        <w:t xml:space="preserve">Name of Large Load Facility: </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p>
    <w:p w14:paraId="5B290187" w14:textId="77777777" w:rsidR="00962997" w:rsidRPr="00962997" w:rsidRDefault="00962997" w:rsidP="00962997">
      <w:pPr>
        <w:keepNext/>
        <w:spacing w:before="120" w:after="120"/>
      </w:pPr>
      <w:r w:rsidRPr="00962997">
        <w:t>Large Load Number: LLI-</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p>
    <w:p w14:paraId="4F2C70FB" w14:textId="77777777" w:rsidR="00962997" w:rsidRPr="00962997" w:rsidRDefault="00962997" w:rsidP="00962997">
      <w:pPr>
        <w:keepNext/>
        <w:spacing w:before="120" w:after="120"/>
      </w:pPr>
      <w:r w:rsidRPr="00962997">
        <w:t xml:space="preserve">Address of the Large Load Facility: </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p>
    <w:p w14:paraId="76F73E53" w14:textId="77777777" w:rsidR="00962997" w:rsidRPr="00962997" w:rsidRDefault="00962997" w:rsidP="00962997"/>
    <w:p w14:paraId="061EDAA3" w14:textId="77777777" w:rsidR="00962997" w:rsidRPr="00962997" w:rsidRDefault="00962997" w:rsidP="00962997"/>
    <w:p w14:paraId="68B642A7" w14:textId="77777777" w:rsidR="00962997" w:rsidRPr="00962997" w:rsidRDefault="00962997" w:rsidP="00962997">
      <w:pPr>
        <w:rPr>
          <w:u w:val="single"/>
        </w:rPr>
      </w:pPr>
      <w:r w:rsidRPr="00962997">
        <w:rPr>
          <w:u w:val="single"/>
        </w:rPr>
        <w:br w:type="page"/>
      </w:r>
    </w:p>
    <w:p w14:paraId="3327FDA6" w14:textId="77777777" w:rsidR="00962997" w:rsidRPr="00962997" w:rsidRDefault="00962997" w:rsidP="00962997">
      <w:pPr>
        <w:keepNext/>
        <w:spacing w:after="160" w:line="278" w:lineRule="auto"/>
        <w:rPr>
          <w:u w:val="single"/>
        </w:rPr>
      </w:pPr>
      <w:r w:rsidRPr="00962997">
        <w:rPr>
          <w:u w:val="single"/>
        </w:rPr>
        <w:lastRenderedPageBreak/>
        <w:t>Part A Notarization</w:t>
      </w:r>
    </w:p>
    <w:p w14:paraId="203AA23F" w14:textId="77777777" w:rsidR="00962997" w:rsidRPr="00962997" w:rsidRDefault="00962997" w:rsidP="00962997">
      <w:pPr>
        <w:keepNext/>
        <w:spacing w:after="160" w:line="278" w:lineRule="auto"/>
      </w:pPr>
      <w:r w:rsidRPr="00962997">
        <w:t xml:space="preserve">STATE OF _______________ </w:t>
      </w:r>
    </w:p>
    <w:p w14:paraId="046F15AB" w14:textId="77777777" w:rsidR="00962997" w:rsidRPr="00962997" w:rsidRDefault="00962997" w:rsidP="00962997">
      <w:pPr>
        <w:keepNext/>
        <w:spacing w:after="120" w:line="360" w:lineRule="auto"/>
      </w:pPr>
      <w:r w:rsidRPr="00962997">
        <w:t xml:space="preserve">COUNTY OF _____________ </w:t>
      </w:r>
    </w:p>
    <w:p w14:paraId="349EFF3D" w14:textId="77777777" w:rsidR="00962997" w:rsidRPr="00962997" w:rsidRDefault="00962997" w:rsidP="00962997">
      <w:pPr>
        <w:keepNext/>
        <w:spacing w:after="120" w:line="360" w:lineRule="auto"/>
      </w:pPr>
      <w:r w:rsidRPr="00962997">
        <w:t xml:space="preserve">Before me, the undersigned authority, this day appeared ___________________, known by me to be the person whose name is subscribed to the foregoing instrument, who, after first being sworn by me deposed and said: </w:t>
      </w:r>
    </w:p>
    <w:p w14:paraId="52B290E4" w14:textId="77777777" w:rsidR="00962997" w:rsidRPr="00962997" w:rsidRDefault="00962997" w:rsidP="00962997">
      <w:pPr>
        <w:keepNext/>
        <w:spacing w:after="120" w:line="360" w:lineRule="auto"/>
        <w:ind w:left="1440" w:right="1440"/>
      </w:pPr>
      <w:r w:rsidRPr="00962997">
        <w:t xml:space="preserve">“I am a representative, official, officer, or other authorized person with binding authority over ______________, I am authorized to sign and submit the foregoing Part A of Form W: Declaration of Intent to Register as a Provisional Controllable Load Resource on behalf of _____________, and the statements contained in such Form are true and correct.” </w:t>
      </w:r>
    </w:p>
    <w:p w14:paraId="276D4A7B" w14:textId="77777777" w:rsidR="00962997" w:rsidRPr="00962997" w:rsidRDefault="00962997" w:rsidP="00962997">
      <w:pPr>
        <w:keepNext/>
        <w:spacing w:after="120" w:line="360" w:lineRule="auto"/>
      </w:pPr>
      <w:r w:rsidRPr="00962997">
        <w:t xml:space="preserve">SWORN TO AND SUBSCRIBED TO BEFORE ME, the undersigned authority on this the _____ day of ____________, 20__. </w:t>
      </w:r>
    </w:p>
    <w:p w14:paraId="26CF0762" w14:textId="77777777" w:rsidR="00962997" w:rsidRPr="00962997" w:rsidRDefault="00962997" w:rsidP="00962997">
      <w:pPr>
        <w:keepNext/>
        <w:spacing w:after="120" w:line="360" w:lineRule="auto"/>
        <w:jc w:val="right"/>
      </w:pPr>
      <w:r w:rsidRPr="00962997">
        <w:t xml:space="preserve">______________________________ </w:t>
      </w:r>
    </w:p>
    <w:p w14:paraId="6F5B0501" w14:textId="77777777" w:rsidR="00962997" w:rsidRPr="00962997" w:rsidRDefault="00962997" w:rsidP="00962997">
      <w:pPr>
        <w:keepNext/>
        <w:spacing w:after="120" w:line="360" w:lineRule="auto"/>
        <w:jc w:val="right"/>
      </w:pPr>
      <w:r w:rsidRPr="00962997">
        <w:t xml:space="preserve">Notary Public, State of ___________ </w:t>
      </w:r>
    </w:p>
    <w:p w14:paraId="11DBDF5E" w14:textId="77777777" w:rsidR="00962997" w:rsidRPr="00962997" w:rsidRDefault="00962997" w:rsidP="00962997">
      <w:pPr>
        <w:keepNext/>
        <w:spacing w:after="120" w:line="360" w:lineRule="auto"/>
        <w:jc w:val="right"/>
      </w:pPr>
      <w:r w:rsidRPr="00962997">
        <w:t xml:space="preserve">My Commission </w:t>
      </w:r>
      <w:proofErr w:type="gramStart"/>
      <w:r w:rsidRPr="00962997">
        <w:t>expires __</w:t>
      </w:r>
      <w:proofErr w:type="gramEnd"/>
      <w:r w:rsidRPr="00962997">
        <w:t>________</w:t>
      </w:r>
    </w:p>
    <w:p w14:paraId="3B14D11F" w14:textId="77777777" w:rsidR="00962997" w:rsidRPr="00962997" w:rsidRDefault="00962997" w:rsidP="00962997"/>
    <w:p w14:paraId="28A7600A" w14:textId="77777777" w:rsidR="00962997" w:rsidRPr="00962997" w:rsidRDefault="00962997" w:rsidP="00962997">
      <w:pPr>
        <w:rPr>
          <w:b/>
          <w:bCs/>
        </w:rPr>
      </w:pPr>
    </w:p>
    <w:p w14:paraId="381C27F0" w14:textId="77777777" w:rsidR="00962997" w:rsidRPr="00962997" w:rsidRDefault="00962997" w:rsidP="00962997">
      <w:pPr>
        <w:spacing w:after="160" w:line="278" w:lineRule="auto"/>
        <w:rPr>
          <w:b/>
          <w:bCs/>
        </w:rPr>
      </w:pPr>
      <w:r w:rsidRPr="00962997">
        <w:rPr>
          <w:b/>
          <w:bCs/>
        </w:rPr>
        <w:br w:type="page"/>
      </w:r>
    </w:p>
    <w:p w14:paraId="2B3506E5" w14:textId="77777777" w:rsidR="00962997" w:rsidRPr="00962997" w:rsidRDefault="00962997" w:rsidP="00962997">
      <w:pPr>
        <w:rPr>
          <w:b/>
          <w:bCs/>
        </w:rPr>
      </w:pPr>
      <w:r w:rsidRPr="00962997">
        <w:rPr>
          <w:b/>
          <w:bCs/>
        </w:rPr>
        <w:lastRenderedPageBreak/>
        <w:t>PART B</w:t>
      </w:r>
    </w:p>
    <w:p w14:paraId="2C563777" w14:textId="77777777" w:rsidR="00962997" w:rsidRPr="00962997" w:rsidRDefault="00962997" w:rsidP="00962997">
      <w:pPr>
        <w:rPr>
          <w:b/>
          <w:bCs/>
        </w:rPr>
      </w:pPr>
    </w:p>
    <w:p w14:paraId="029A9385" w14:textId="05555795" w:rsidR="00962997" w:rsidRPr="00962997" w:rsidRDefault="00962997" w:rsidP="00962997">
      <w:r w:rsidRPr="00962997">
        <w:t>ERCOT will determine the ILLE’s end date and maximum LPC value by Year in the Batch Zero Interconnection Study and input the numerical fields below.  If the ILLE executes an interconnection agreement, according to paragraph (2) of Planning Guide Section 9.4, and still intends for the designated Large Load to be a PCLR, the ILLE must sign and notarize Part B and return it to the ILLE’s Interconnecting DSP or Interconnecting TSP and the Interconnecting DSP or Interconnecting TSP must submit it to ERCOT on or before the deadline established by paragraph (2)(c) of Planning Guide Section 9.3.1.</w:t>
      </w:r>
    </w:p>
    <w:p w14:paraId="7F1A0D22" w14:textId="77777777" w:rsidR="00962997" w:rsidRPr="00962997" w:rsidRDefault="00962997" w:rsidP="00962997">
      <w:pPr>
        <w:rPr>
          <w:u w:val="single"/>
        </w:rPr>
      </w:pPr>
    </w:p>
    <w:p w14:paraId="2576DDEC" w14:textId="77777777" w:rsidR="00962997" w:rsidRPr="00962997" w:rsidRDefault="00962997" w:rsidP="00962997">
      <w:pPr>
        <w:rPr>
          <w:u w:val="single"/>
        </w:rPr>
      </w:pPr>
      <w:r w:rsidRPr="00962997">
        <w:rPr>
          <w:u w:val="single"/>
        </w:rPr>
        <w:t>Part B Required Information Provided by ERCOT:</w:t>
      </w:r>
    </w:p>
    <w:p w14:paraId="5C2C67FF" w14:textId="77777777" w:rsidR="00962997" w:rsidRPr="00962997" w:rsidRDefault="00962997" w:rsidP="00962997"/>
    <w:p w14:paraId="2E9E837F" w14:textId="360D9259" w:rsidR="00962997" w:rsidRPr="00962997" w:rsidRDefault="00962997" w:rsidP="00962997">
      <w:pPr>
        <w:tabs>
          <w:tab w:val="left" w:pos="1305"/>
        </w:tabs>
      </w:pPr>
      <w:r w:rsidRPr="00962997">
        <w:t xml:space="preserve">Permitted end date: </w:t>
      </w:r>
      <w:r w:rsidRPr="00962997">
        <w:fldChar w:fldCharType="begin">
          <w:ffData>
            <w:name w:val=""/>
            <w:enabled/>
            <w:calcOnExit w:val="0"/>
            <w:textInput>
              <w:default w:val="Insert Year"/>
            </w:textInput>
          </w:ffData>
        </w:fldChar>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p>
    <w:p w14:paraId="12275B28" w14:textId="77777777" w:rsidR="00962997" w:rsidRPr="00962997" w:rsidRDefault="00962997" w:rsidP="00962997">
      <w:pPr>
        <w:rPr>
          <w:u w:val="single"/>
        </w:rPr>
      </w:pPr>
    </w:p>
    <w:p w14:paraId="0AE0D3F8" w14:textId="77777777" w:rsidR="00962997" w:rsidRPr="00962997" w:rsidRDefault="00962997" w:rsidP="00962997">
      <w:pPr>
        <w:rPr>
          <w:u w:val="single"/>
        </w:rPr>
      </w:pPr>
      <w:r w:rsidRPr="00962997">
        <w:rPr>
          <w:u w:val="single"/>
        </w:rPr>
        <w:t>Part B ILLE Election and Obligations:</w:t>
      </w:r>
    </w:p>
    <w:p w14:paraId="6E307AAD" w14:textId="77777777" w:rsidR="00962997" w:rsidRPr="00962997" w:rsidRDefault="00962997" w:rsidP="00962997">
      <w:pPr>
        <w:rPr>
          <w:u w:val="single"/>
        </w:rPr>
      </w:pPr>
    </w:p>
    <w:p w14:paraId="54DF37C8" w14:textId="77777777" w:rsidR="00962997" w:rsidRPr="00962997" w:rsidRDefault="00962997" w:rsidP="00962997">
      <w:r w:rsidRPr="00962997">
        <w:t>The ILLE has reviewed the results and LCP provided by ERCOT per Planning Guide Section 9.4 and makes the following election:</w:t>
      </w:r>
    </w:p>
    <w:p w14:paraId="126BD418" w14:textId="77777777" w:rsidR="00962997" w:rsidRPr="00962997" w:rsidRDefault="00962997" w:rsidP="00962997"/>
    <w:p w14:paraId="4DB4476D" w14:textId="77777777" w:rsidR="00962997" w:rsidRPr="00962997" w:rsidRDefault="00962997" w:rsidP="00962997">
      <w:pPr>
        <w:ind w:left="1350" w:hanging="630"/>
      </w:pPr>
      <w:r w:rsidRPr="00962997">
        <w:fldChar w:fldCharType="begin">
          <w:ffData>
            <w:name w:val="Check1"/>
            <w:enabled/>
            <w:calcOnExit w:val="0"/>
            <w:checkBox>
              <w:sizeAuto/>
              <w:default w:val="0"/>
            </w:checkBox>
          </w:ffData>
        </w:fldChar>
      </w:r>
      <w:bookmarkStart w:id="0" w:name="Check1"/>
      <w:r w:rsidRPr="00962997">
        <w:instrText xml:space="preserve"> FORMCHECKBOX </w:instrText>
      </w:r>
      <w:r w:rsidRPr="00962997">
        <w:rPr>
          <w:u w:val="single"/>
        </w:rPr>
      </w:r>
      <w:r w:rsidRPr="00962997">
        <w:rPr>
          <w:u w:val="single"/>
        </w:rPr>
        <w:fldChar w:fldCharType="separate"/>
      </w:r>
      <w:r w:rsidRPr="00962997">
        <w:fldChar w:fldCharType="end"/>
      </w:r>
      <w:bookmarkEnd w:id="0"/>
      <w:r w:rsidRPr="00962997">
        <w:t xml:space="preserve"> A. The ILLE affirms its intent to register as a PCLR and will accept the LPC and MPC amounts communicated in the LCP with no modifications.</w:t>
      </w:r>
    </w:p>
    <w:p w14:paraId="18250EF8" w14:textId="77777777" w:rsidR="00962997" w:rsidRPr="00962997" w:rsidRDefault="00962997" w:rsidP="00962997">
      <w:pPr>
        <w:ind w:left="1350" w:hanging="630"/>
      </w:pPr>
    </w:p>
    <w:p w14:paraId="60BC08EC" w14:textId="77777777" w:rsidR="00962997" w:rsidRPr="00962997" w:rsidRDefault="00962997" w:rsidP="00962997">
      <w:pPr>
        <w:ind w:left="1350" w:hanging="630"/>
      </w:pPr>
      <w:r w:rsidRPr="00962997">
        <w:fldChar w:fldCharType="begin">
          <w:ffData>
            <w:name w:val="Check1"/>
            <w:enabled/>
            <w:calcOnExit w:val="0"/>
            <w:checkBox>
              <w:sizeAuto/>
              <w:default w:val="0"/>
            </w:checkBox>
          </w:ffData>
        </w:fldChar>
      </w:r>
      <w:r w:rsidRPr="00962997">
        <w:instrText xml:space="preserve"> FORMCHECKBOX </w:instrText>
      </w:r>
      <w:r w:rsidRPr="00962997">
        <w:rPr>
          <w:u w:val="single"/>
        </w:rPr>
      </w:r>
      <w:r w:rsidRPr="00962997">
        <w:rPr>
          <w:u w:val="single"/>
        </w:rPr>
        <w:fldChar w:fldCharType="separate"/>
      </w:r>
      <w:r w:rsidRPr="00962997">
        <w:fldChar w:fldCharType="end"/>
      </w:r>
      <w:r w:rsidRPr="00962997">
        <w:t xml:space="preserve"> B. The ILLE affirms its intent to register as a PCLR with modifications to the LPC and/or MPC values communicated in the LCP.  The ILLE understands these modified values must be less than or equal to the values communicated by ERCOT.</w:t>
      </w:r>
    </w:p>
    <w:p w14:paraId="28AF34DB" w14:textId="77777777" w:rsidR="00962997" w:rsidRPr="00962997" w:rsidRDefault="00962997" w:rsidP="00962997">
      <w:pPr>
        <w:ind w:left="1350" w:hanging="630"/>
      </w:pPr>
    </w:p>
    <w:p w14:paraId="648B7758" w14:textId="41B4220B" w:rsidR="00962997" w:rsidRPr="00962997" w:rsidRDefault="00962997" w:rsidP="00962997">
      <w:pPr>
        <w:ind w:left="1350" w:hanging="630"/>
      </w:pPr>
      <w:r w:rsidRPr="00962997">
        <w:fldChar w:fldCharType="begin">
          <w:ffData>
            <w:name w:val="Check1"/>
            <w:enabled/>
            <w:calcOnExit w:val="0"/>
            <w:checkBox>
              <w:sizeAuto/>
              <w:default w:val="0"/>
            </w:checkBox>
          </w:ffData>
        </w:fldChar>
      </w:r>
      <w:r w:rsidRPr="00962997">
        <w:instrText xml:space="preserve"> FORMCHECKBOX </w:instrText>
      </w:r>
      <w:r w:rsidRPr="00962997">
        <w:rPr>
          <w:u w:val="single"/>
        </w:rPr>
      </w:r>
      <w:r w:rsidRPr="00962997">
        <w:rPr>
          <w:u w:val="single"/>
        </w:rPr>
        <w:fldChar w:fldCharType="separate"/>
      </w:r>
      <w:r w:rsidRPr="00962997">
        <w:fldChar w:fldCharType="end"/>
      </w:r>
      <w:r w:rsidRPr="00962997">
        <w:t xml:space="preserve"> C. The ILLE withdraws its intent to register as a PCLR but will accept the LPC values communicated in the LCP as allocated peak Demand with no modifications.</w:t>
      </w:r>
    </w:p>
    <w:p w14:paraId="556E573D" w14:textId="77777777" w:rsidR="00962997" w:rsidRPr="00962997" w:rsidRDefault="00962997" w:rsidP="00962997">
      <w:pPr>
        <w:ind w:left="1350" w:hanging="630"/>
      </w:pPr>
    </w:p>
    <w:p w14:paraId="0515AB10" w14:textId="368AE54D" w:rsidR="00962997" w:rsidRPr="00962997" w:rsidRDefault="00962997" w:rsidP="00962997">
      <w:pPr>
        <w:ind w:left="1350" w:hanging="630"/>
      </w:pPr>
      <w:r w:rsidRPr="00962997">
        <w:fldChar w:fldCharType="begin">
          <w:ffData>
            <w:name w:val="Check1"/>
            <w:enabled/>
            <w:calcOnExit w:val="0"/>
            <w:checkBox>
              <w:sizeAuto/>
              <w:default w:val="0"/>
            </w:checkBox>
          </w:ffData>
        </w:fldChar>
      </w:r>
      <w:r w:rsidRPr="00962997">
        <w:instrText xml:space="preserve"> FORMCHECKBOX </w:instrText>
      </w:r>
      <w:r w:rsidRPr="00962997">
        <w:rPr>
          <w:u w:val="single"/>
        </w:rPr>
      </w:r>
      <w:r w:rsidRPr="00962997">
        <w:rPr>
          <w:u w:val="single"/>
        </w:rPr>
        <w:fldChar w:fldCharType="separate"/>
      </w:r>
      <w:r w:rsidRPr="00962997">
        <w:fldChar w:fldCharType="end"/>
      </w:r>
      <w:r w:rsidRPr="00962997">
        <w:t xml:space="preserve"> D. The ILLE withdraws its intent to register as a PCLR but will accept the LPC values communicated in the LCP as allocated peak Demand with modifications.  The ILLE understands these modified values must be less than or equal to the values communicated by ERCOT.</w:t>
      </w:r>
    </w:p>
    <w:p w14:paraId="2B502782" w14:textId="77777777" w:rsidR="00962997" w:rsidRPr="00962997" w:rsidRDefault="00962997" w:rsidP="00962997">
      <w:pPr>
        <w:ind w:left="1350" w:hanging="630"/>
      </w:pPr>
    </w:p>
    <w:p w14:paraId="3D085D86" w14:textId="77777777" w:rsidR="00962997" w:rsidRPr="00962997" w:rsidRDefault="00962997" w:rsidP="00962997">
      <w:pPr>
        <w:spacing w:after="240"/>
      </w:pPr>
      <w:r w:rsidRPr="00962997">
        <w:t>If option A or B is selected above and the ILLE executed an interconnection agreement according to paragraph (2) of Planning Guide Section 9.4, the ILLE further confirms the following by signing and notarizing Part B of this Form:</w:t>
      </w:r>
    </w:p>
    <w:p w14:paraId="04F8B979" w14:textId="77777777" w:rsidR="00962997" w:rsidRPr="00962997" w:rsidRDefault="00962997" w:rsidP="00962997">
      <w:pPr>
        <w:spacing w:before="120" w:after="120"/>
        <w:ind w:left="720" w:hanging="360"/>
        <w:rPr>
          <w:rFonts w:eastAsia="Calibri"/>
          <w:kern w:val="2"/>
        </w:rPr>
      </w:pPr>
      <w:r w:rsidRPr="00962997">
        <w:rPr>
          <w:rFonts w:eastAsia="Calibri"/>
          <w:kern w:val="2"/>
        </w:rPr>
        <w:t>1.</w:t>
      </w:r>
      <w:r w:rsidRPr="00962997">
        <w:rPr>
          <w:rFonts w:eastAsia="Calibri"/>
          <w:kern w:val="2"/>
        </w:rPr>
        <w:tab/>
        <w:t>By completing Part B of this Form, the ILLE commits to registering the designated Large Load as a PCLR.</w:t>
      </w:r>
    </w:p>
    <w:p w14:paraId="54EFF7A0" w14:textId="486BDD2B" w:rsidR="00962997" w:rsidRPr="00962997" w:rsidRDefault="00962997" w:rsidP="00962997">
      <w:pPr>
        <w:spacing w:before="120" w:after="120"/>
        <w:ind w:left="720" w:hanging="360"/>
        <w:rPr>
          <w:rFonts w:eastAsia="Calibri"/>
          <w:kern w:val="2"/>
        </w:rPr>
      </w:pPr>
      <w:r w:rsidRPr="00962997">
        <w:rPr>
          <w:rFonts w:eastAsia="Calibri"/>
          <w:kern w:val="2"/>
        </w:rPr>
        <w:t>2.</w:t>
      </w:r>
      <w:r w:rsidRPr="00962997">
        <w:rPr>
          <w:rFonts w:eastAsia="Calibri"/>
          <w:kern w:val="2"/>
        </w:rPr>
        <w:tab/>
        <w:t>The ILLE understands it must register the designated Large Load as a PCLR to be approved to energize above the maximum LPC amounts determined in the Batch Zero Interconnection Study.</w:t>
      </w:r>
    </w:p>
    <w:p w14:paraId="14FB9676" w14:textId="6D109BCD" w:rsidR="00962997" w:rsidRPr="00962997" w:rsidRDefault="00962997" w:rsidP="00962997">
      <w:pPr>
        <w:spacing w:before="120" w:after="120"/>
        <w:ind w:left="720" w:hanging="360"/>
        <w:rPr>
          <w:rFonts w:eastAsia="Calibri"/>
          <w:kern w:val="2"/>
        </w:rPr>
      </w:pPr>
      <w:r w:rsidRPr="00962997">
        <w:rPr>
          <w:rFonts w:eastAsia="Calibri"/>
          <w:kern w:val="2"/>
        </w:rPr>
        <w:lastRenderedPageBreak/>
        <w:t>3.</w:t>
      </w:r>
      <w:r w:rsidRPr="00962997">
        <w:rPr>
          <w:rFonts w:eastAsia="Calibri"/>
          <w:kern w:val="2"/>
        </w:rPr>
        <w:tab/>
        <w:t>The ILLE understands the steps to register its designated Large Load as a PCLR, which follows the same steps as registering a CLR.  The ILLE agrees to comply with all obligations placed on the owner of a CLR and any additional obligations applicable to a PCLR under the ERCOT Protocols or Guides.  These obligations include, but are not limited to, registering with ERCOT as a Resource Entity, registering in Resource Integration and Ongoing Operations (RIOO) system as a Load Resource, designating a Qualified Scheduling Entity (QSE), and complying with Security-Constrained Economic Dispatch (SCED)</w:t>
      </w:r>
      <w:r w:rsidRPr="00962997" w:rsidDel="002F7B7F">
        <w:rPr>
          <w:rFonts w:eastAsia="Calibri"/>
          <w:kern w:val="2"/>
        </w:rPr>
        <w:t xml:space="preserve"> </w:t>
      </w:r>
      <w:r w:rsidRPr="00962997">
        <w:rPr>
          <w:rFonts w:eastAsia="Calibri"/>
          <w:kern w:val="2"/>
        </w:rPr>
        <w:t>Base Point Dispatch Instructions when consuming energy.</w:t>
      </w:r>
    </w:p>
    <w:p w14:paraId="12C7DE79" w14:textId="77777777" w:rsidR="00962997" w:rsidRPr="00962997" w:rsidRDefault="00962997" w:rsidP="00962997">
      <w:pPr>
        <w:spacing w:before="120" w:after="120"/>
        <w:ind w:left="720" w:hanging="360"/>
        <w:rPr>
          <w:rFonts w:eastAsia="Calibri"/>
          <w:kern w:val="2"/>
        </w:rPr>
      </w:pPr>
      <w:r w:rsidRPr="00962997">
        <w:rPr>
          <w:rFonts w:eastAsia="Calibri"/>
          <w:kern w:val="2"/>
        </w:rPr>
        <w:t>4.</w:t>
      </w:r>
      <w:r w:rsidRPr="00962997">
        <w:rPr>
          <w:rFonts w:eastAsia="Calibri"/>
          <w:kern w:val="2"/>
        </w:rPr>
        <w:tab/>
      </w:r>
      <w:proofErr w:type="gramStart"/>
      <w:r w:rsidRPr="00962997">
        <w:rPr>
          <w:rFonts w:eastAsia="Calibri"/>
          <w:kern w:val="2"/>
        </w:rPr>
        <w:t>The ILLE</w:t>
      </w:r>
      <w:proofErr w:type="gramEnd"/>
      <w:r w:rsidRPr="00962997">
        <w:rPr>
          <w:rFonts w:eastAsia="Calibri"/>
          <w:kern w:val="2"/>
        </w:rPr>
        <w:t xml:space="preserve"> understands ERCOT does not guarantee that the desired MPC amount can ever be served in Real-Time.  SCED will issue a Base Point corresponding to the amount of Load that can be served in Real-Time and the PCLR is obligated to follow that Base Point instruction.</w:t>
      </w:r>
    </w:p>
    <w:p w14:paraId="18AE84E0" w14:textId="77777777" w:rsidR="00962997" w:rsidRPr="00962997" w:rsidRDefault="00962997" w:rsidP="00962997">
      <w:pPr>
        <w:spacing w:before="120" w:after="120"/>
        <w:ind w:left="720" w:hanging="360"/>
        <w:rPr>
          <w:rFonts w:eastAsia="Calibri"/>
          <w:kern w:val="2"/>
        </w:rPr>
      </w:pPr>
      <w:r w:rsidRPr="00962997">
        <w:rPr>
          <w:rFonts w:eastAsia="Calibri"/>
          <w:kern w:val="2"/>
        </w:rPr>
        <w:t>5.</w:t>
      </w:r>
      <w:r w:rsidRPr="00962997">
        <w:rPr>
          <w:rFonts w:eastAsia="Calibri"/>
          <w:kern w:val="2"/>
        </w:rPr>
        <w:tab/>
        <w:t>The ILLE understands the ramp rate requirements documented in Section 6.5.7.11 and affirms the designated Large Load will be capable of compliance with these requirements.</w:t>
      </w:r>
    </w:p>
    <w:p w14:paraId="7A2C52B3" w14:textId="181B6AD2" w:rsidR="00962997" w:rsidRPr="00962997" w:rsidRDefault="00962997" w:rsidP="00962997">
      <w:pPr>
        <w:spacing w:before="120" w:after="120"/>
        <w:ind w:left="720" w:hanging="360"/>
        <w:rPr>
          <w:rFonts w:eastAsia="Calibri"/>
          <w:kern w:val="2"/>
        </w:rPr>
      </w:pPr>
      <w:r w:rsidRPr="00962997">
        <w:rPr>
          <w:rFonts w:eastAsia="Calibri"/>
          <w:kern w:val="2"/>
        </w:rPr>
        <w:t>6.</w:t>
      </w:r>
      <w:r w:rsidRPr="00962997">
        <w:rPr>
          <w:rFonts w:eastAsia="Calibri"/>
          <w:kern w:val="2"/>
        </w:rPr>
        <w:tab/>
        <w:t>The designated Large Load shall remain a PCLR until the ERCOT-determined end date set forth in Part B or the date that ERCOT approves the Resource Entity election to change the Large Load’s registration status as set forth in Protocol Section 16.5.5.  Once the end date has been reached, the existing registration as a PCLR will remain unchanged unless and until the Resource Entity elects to modify its Resource registration for the Large Load.  The PCLR can convert to another type of Load Resource or become a firm Load.</w:t>
      </w:r>
    </w:p>
    <w:p w14:paraId="116D8841" w14:textId="4DB597F4" w:rsidR="00962997" w:rsidRPr="00962997" w:rsidRDefault="00962997" w:rsidP="00962997">
      <w:pPr>
        <w:spacing w:before="120" w:after="120"/>
        <w:ind w:left="720" w:hanging="360"/>
        <w:rPr>
          <w:rFonts w:eastAsia="Calibri"/>
          <w:kern w:val="2"/>
        </w:rPr>
      </w:pPr>
      <w:r w:rsidRPr="00962997">
        <w:rPr>
          <w:rFonts w:eastAsia="Calibri"/>
          <w:kern w:val="2"/>
        </w:rPr>
        <w:t>7.</w:t>
      </w:r>
      <w:r w:rsidRPr="00962997">
        <w:rPr>
          <w:rFonts w:eastAsia="Calibri"/>
          <w:kern w:val="2"/>
        </w:rPr>
        <w:tab/>
        <w:t xml:space="preserve">If the ILLE desires to de-register the Large Load as a PCLR prior to the end date, it may do so with 120 days’ notice to ERCOT as set forth in Section 16.5.5.  Once de-registered as a PCLR, Large Load will be limited to the maximum LPC amounts identified in the Batch Zero Interconnection study and documented in the LCP until new interconnection studies have been performed according to applicable ERCOT Protocols and </w:t>
      </w:r>
      <w:r w:rsidRPr="00962997" w:rsidDel="007E60AC">
        <w:rPr>
          <w:rFonts w:eastAsia="Calibri"/>
          <w:kern w:val="2"/>
        </w:rPr>
        <w:t>Guides</w:t>
      </w:r>
      <w:r w:rsidRPr="00962997">
        <w:rPr>
          <w:rFonts w:eastAsia="Calibri"/>
          <w:kern w:val="2"/>
        </w:rPr>
        <w:t>.</w:t>
      </w:r>
    </w:p>
    <w:p w14:paraId="3210D665" w14:textId="4A93598F" w:rsidR="00962997" w:rsidRPr="00962997" w:rsidRDefault="00962997" w:rsidP="00962997">
      <w:pPr>
        <w:spacing w:before="120" w:after="120"/>
        <w:ind w:left="720" w:hanging="360"/>
        <w:rPr>
          <w:rFonts w:eastAsia="Calibri"/>
          <w:kern w:val="2"/>
        </w:rPr>
      </w:pPr>
      <w:r w:rsidRPr="00962997">
        <w:rPr>
          <w:rFonts w:eastAsia="Calibri"/>
          <w:kern w:val="2"/>
        </w:rPr>
        <w:t>8.</w:t>
      </w:r>
      <w:r w:rsidRPr="00962997">
        <w:rPr>
          <w:rFonts w:eastAsia="Calibri"/>
          <w:kern w:val="2"/>
        </w:rPr>
        <w:tab/>
        <w:t>The ILLE understands that failure to comply with Real-Time ERCOT Dispatch and operating instructions may result in the revocation of PCLR status, especially after multiple violations, in addition to any other charges or penalties defined in the ERCOT Protocols and Guides.  In the event PCLR status is revoked, the Large Load will be limited to the maximum LPC amounts identified in the Batch Zero Interconnection study and documented in the LCP until new interconnection studies have been performed according to applicable ERCOT Protocols and Guides.</w:t>
      </w:r>
    </w:p>
    <w:p w14:paraId="4AFD9DAF" w14:textId="11DFAEB3" w:rsidR="00962997" w:rsidRPr="00962997" w:rsidRDefault="00962997" w:rsidP="00962997">
      <w:pPr>
        <w:spacing w:before="120" w:after="120"/>
        <w:ind w:left="720" w:hanging="360"/>
        <w:rPr>
          <w:rFonts w:eastAsia="Calibri"/>
          <w:kern w:val="2"/>
        </w:rPr>
      </w:pPr>
      <w:r w:rsidRPr="00962997">
        <w:rPr>
          <w:rFonts w:eastAsia="Calibri"/>
          <w:kern w:val="2"/>
        </w:rPr>
        <w:t>9.</w:t>
      </w:r>
      <w:r w:rsidRPr="00962997">
        <w:rPr>
          <w:rFonts w:eastAsia="Calibri"/>
          <w:kern w:val="2"/>
        </w:rPr>
        <w:tab/>
        <w:t>If ownership of the Large Load is transferred to another Entity, the Entity acquiring the Large Load shall be bound by these obligations.  In accordance with Section 16.5.5, the acquiring Entity must notify ERCOT and submit an updated signed and notarized Part B of this Form within ten days of the transfer.</w:t>
      </w:r>
    </w:p>
    <w:p w14:paraId="7E9716DD" w14:textId="77777777" w:rsidR="00962997" w:rsidRPr="00962997" w:rsidRDefault="00962997" w:rsidP="00962997">
      <w:pPr>
        <w:keepNext/>
        <w:spacing w:after="160" w:line="278" w:lineRule="auto"/>
        <w:rPr>
          <w:u w:val="single"/>
        </w:rPr>
      </w:pPr>
      <w:r w:rsidRPr="00962997">
        <w:rPr>
          <w:u w:val="single"/>
        </w:rPr>
        <w:lastRenderedPageBreak/>
        <w:t>Part B Notarization</w:t>
      </w:r>
    </w:p>
    <w:p w14:paraId="055529C1" w14:textId="77777777" w:rsidR="00962997" w:rsidRPr="00962997" w:rsidRDefault="00962997" w:rsidP="00962997">
      <w:pPr>
        <w:keepNext/>
        <w:spacing w:after="160" w:line="278" w:lineRule="auto"/>
      </w:pPr>
      <w:r w:rsidRPr="00962997">
        <w:t xml:space="preserve">STATE OF _______________ </w:t>
      </w:r>
    </w:p>
    <w:p w14:paraId="2F2F8231" w14:textId="77777777" w:rsidR="00962997" w:rsidRPr="00962997" w:rsidRDefault="00962997" w:rsidP="00962997">
      <w:pPr>
        <w:keepNext/>
        <w:spacing w:after="120" w:line="360" w:lineRule="auto"/>
      </w:pPr>
      <w:r w:rsidRPr="00962997">
        <w:t xml:space="preserve">COUNTY OF _____________ </w:t>
      </w:r>
    </w:p>
    <w:p w14:paraId="4CA26AAA" w14:textId="77777777" w:rsidR="00962997" w:rsidRPr="00962997" w:rsidRDefault="00962997" w:rsidP="00962997">
      <w:pPr>
        <w:keepNext/>
        <w:spacing w:after="120" w:line="360" w:lineRule="auto"/>
      </w:pPr>
      <w:r w:rsidRPr="00962997">
        <w:t>Before me, the undersigned authority, this day appeared ___________________, known by me to be the person whose name is subscribed to the foregoing instrument, who, after first being sworn by me deposed and said:</w:t>
      </w:r>
    </w:p>
    <w:p w14:paraId="0DE2E5EF" w14:textId="77777777" w:rsidR="00962997" w:rsidRPr="00962997" w:rsidRDefault="00962997" w:rsidP="00962997">
      <w:pPr>
        <w:keepNext/>
        <w:spacing w:after="120" w:line="360" w:lineRule="auto"/>
        <w:ind w:left="1440" w:right="1440"/>
      </w:pPr>
      <w:r w:rsidRPr="00962997">
        <w:t>“I am a representative, official, officer, or other authorized person with binding authority over ______________, I am authorized to sign and submit the foregoing Part B of Form W: Provisional Controllable Load Resource for Batch Zero Interconnection Study on behalf of ______________, and the statements contained in such Form are true and correct.”</w:t>
      </w:r>
    </w:p>
    <w:p w14:paraId="549BC40F" w14:textId="77777777" w:rsidR="00962997" w:rsidRPr="00962997" w:rsidRDefault="00962997" w:rsidP="00962997">
      <w:pPr>
        <w:keepNext/>
        <w:spacing w:after="120" w:line="360" w:lineRule="auto"/>
      </w:pPr>
      <w:r w:rsidRPr="00962997">
        <w:t xml:space="preserve">SWORN TO AND SUBSCRIBED TO BEFORE ME, the undersigned authority on this the _____ day of ____________, 20__. </w:t>
      </w:r>
    </w:p>
    <w:p w14:paraId="76BD632A" w14:textId="77777777" w:rsidR="00962997" w:rsidRPr="00962997" w:rsidRDefault="00962997" w:rsidP="00962997">
      <w:pPr>
        <w:keepNext/>
        <w:spacing w:after="120" w:line="360" w:lineRule="auto"/>
        <w:jc w:val="right"/>
      </w:pPr>
      <w:r w:rsidRPr="00962997">
        <w:t xml:space="preserve">______________________________ </w:t>
      </w:r>
    </w:p>
    <w:p w14:paraId="5A923BCA" w14:textId="77777777" w:rsidR="00962997" w:rsidRPr="00962997" w:rsidRDefault="00962997" w:rsidP="00962997">
      <w:pPr>
        <w:keepNext/>
        <w:spacing w:after="120" w:line="360" w:lineRule="auto"/>
        <w:jc w:val="right"/>
      </w:pPr>
      <w:r w:rsidRPr="00962997">
        <w:t xml:space="preserve">Notary Public, State of ___________ </w:t>
      </w:r>
    </w:p>
    <w:p w14:paraId="370CA633" w14:textId="77777777" w:rsidR="00962997" w:rsidRPr="00962997" w:rsidRDefault="00962997" w:rsidP="00962997">
      <w:pPr>
        <w:keepNext/>
        <w:spacing w:after="120" w:line="360" w:lineRule="auto"/>
        <w:jc w:val="right"/>
      </w:pPr>
      <w:r w:rsidRPr="00962997">
        <w:t xml:space="preserve">My Commission </w:t>
      </w:r>
      <w:proofErr w:type="gramStart"/>
      <w:r w:rsidRPr="00962997">
        <w:t>expires __</w:t>
      </w:r>
      <w:proofErr w:type="gramEnd"/>
      <w:r w:rsidRPr="00962997">
        <w:t>________</w:t>
      </w:r>
    </w:p>
    <w:sectPr w:rsidR="00962997" w:rsidRPr="00962997">
      <w:headerReference w:type="default" r:id="rId12"/>
      <w:footerReference w:type="even" r:id="rId13"/>
      <w:footerReference w:type="defaul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0237D" w14:textId="77777777" w:rsidR="00373600" w:rsidRDefault="00373600">
      <w:r>
        <w:separator/>
      </w:r>
    </w:p>
  </w:endnote>
  <w:endnote w:type="continuationSeparator" w:id="0">
    <w:p w14:paraId="75E6DCC7" w14:textId="77777777" w:rsidR="00373600" w:rsidRDefault="0037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7763" w14:textId="32EDEF9F"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6E4597">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6E4597">
      <w:rPr>
        <w:rFonts w:ascii="Arial" w:hAnsi="Arial" w:cs="Arial"/>
        <w:noProof/>
        <w:sz w:val="18"/>
      </w:rPr>
      <w:t>2</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76A5" w14:textId="77777777" w:rsidR="00373600" w:rsidRDefault="00373600">
      <w:r>
        <w:separator/>
      </w:r>
    </w:p>
  </w:footnote>
  <w:footnote w:type="continuationSeparator" w:id="0">
    <w:p w14:paraId="1D0D77FA" w14:textId="77777777" w:rsidR="00373600" w:rsidRDefault="00373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F327" w14:textId="5C815D57" w:rsidR="00285860" w:rsidRPr="00285860" w:rsidRDefault="00285860" w:rsidP="00285860">
    <w:pPr>
      <w:spacing w:after="160" w:line="278" w:lineRule="auto"/>
      <w:rPr>
        <w:b/>
        <w:bCs/>
        <w:color w:val="FF0000"/>
        <w:sz w:val="20"/>
        <w:szCs w:val="20"/>
      </w:rPr>
    </w:pPr>
    <w:r w:rsidRPr="00285860">
      <w:rPr>
        <w:b/>
        <w:bCs/>
        <w:color w:val="FF0000"/>
        <w:sz w:val="20"/>
        <w:szCs w:val="20"/>
      </w:rPr>
      <w:t>Customer specific information submitted to ERCOT by an Interconnecting DSP or Interconnecting TSP in this document is considered Protected Information under paragraph (1)(r) of Protocol Section 1.3.1.1, Items Considered Protected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C01164"/>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19E"/>
    <w:multiLevelType w:val="multilevel"/>
    <w:tmpl w:val="B446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54679"/>
    <w:multiLevelType w:val="hybridMultilevel"/>
    <w:tmpl w:val="B196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B5CA6"/>
    <w:multiLevelType w:val="multilevel"/>
    <w:tmpl w:val="4482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45CFE"/>
    <w:multiLevelType w:val="multilevel"/>
    <w:tmpl w:val="70F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76F30"/>
    <w:multiLevelType w:val="multilevel"/>
    <w:tmpl w:val="A660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F7852"/>
    <w:multiLevelType w:val="multilevel"/>
    <w:tmpl w:val="8E2A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162CF"/>
    <w:multiLevelType w:val="multilevel"/>
    <w:tmpl w:val="C922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933F9"/>
    <w:multiLevelType w:val="hybridMultilevel"/>
    <w:tmpl w:val="4BD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474B5"/>
    <w:multiLevelType w:val="multilevel"/>
    <w:tmpl w:val="193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0237D"/>
    <w:multiLevelType w:val="hybridMultilevel"/>
    <w:tmpl w:val="3C76D0C6"/>
    <w:lvl w:ilvl="0" w:tplc="EF12437C">
      <w:start w:val="1"/>
      <w:numFmt w:val="upperLetter"/>
      <w:lvlText w:val="(%1)"/>
      <w:lvlJc w:val="left"/>
      <w:pPr>
        <w:ind w:left="3030" w:hanging="87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3756DE1"/>
    <w:multiLevelType w:val="hybridMultilevel"/>
    <w:tmpl w:val="8D021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5C591C"/>
    <w:multiLevelType w:val="hybridMultilevel"/>
    <w:tmpl w:val="8D021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012DB"/>
    <w:multiLevelType w:val="hybridMultilevel"/>
    <w:tmpl w:val="E6F83BBC"/>
    <w:lvl w:ilvl="0" w:tplc="240A20D4">
      <w:start w:val="1"/>
      <w:numFmt w:val="lowerRoman"/>
      <w:lvlText w:val="(%1)"/>
      <w:lvlJc w:val="left"/>
      <w:pPr>
        <w:ind w:left="2265" w:hanging="825"/>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94A3729"/>
    <w:multiLevelType w:val="multilevel"/>
    <w:tmpl w:val="B24E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320840"/>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9FA493A"/>
    <w:multiLevelType w:val="multilevel"/>
    <w:tmpl w:val="ED6E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27"/>
  </w:num>
  <w:num w:numId="3" w16cid:durableId="971709594">
    <w:abstractNumId w:val="29"/>
  </w:num>
  <w:num w:numId="4" w16cid:durableId="1736123474">
    <w:abstractNumId w:val="1"/>
  </w:num>
  <w:num w:numId="5" w16cid:durableId="1475442967">
    <w:abstractNumId w:val="21"/>
  </w:num>
  <w:num w:numId="6" w16cid:durableId="1071393571">
    <w:abstractNumId w:val="21"/>
  </w:num>
  <w:num w:numId="7" w16cid:durableId="1413744175">
    <w:abstractNumId w:val="21"/>
  </w:num>
  <w:num w:numId="8" w16cid:durableId="1147820290">
    <w:abstractNumId w:val="21"/>
  </w:num>
  <w:num w:numId="9" w16cid:durableId="729764067">
    <w:abstractNumId w:val="21"/>
  </w:num>
  <w:num w:numId="10" w16cid:durableId="651908752">
    <w:abstractNumId w:val="21"/>
  </w:num>
  <w:num w:numId="11" w16cid:durableId="2021545621">
    <w:abstractNumId w:val="21"/>
  </w:num>
  <w:num w:numId="12" w16cid:durableId="2033334835">
    <w:abstractNumId w:val="21"/>
  </w:num>
  <w:num w:numId="13" w16cid:durableId="1354840513">
    <w:abstractNumId w:val="21"/>
  </w:num>
  <w:num w:numId="14" w16cid:durableId="2082215892">
    <w:abstractNumId w:val="7"/>
  </w:num>
  <w:num w:numId="15" w16cid:durableId="1265773267">
    <w:abstractNumId w:val="20"/>
  </w:num>
  <w:num w:numId="16" w16cid:durableId="304939696">
    <w:abstractNumId w:val="23"/>
  </w:num>
  <w:num w:numId="17" w16cid:durableId="1837302691">
    <w:abstractNumId w:val="26"/>
  </w:num>
  <w:num w:numId="18" w16cid:durableId="2140175323">
    <w:abstractNumId w:val="9"/>
  </w:num>
  <w:num w:numId="19" w16cid:durableId="731661008">
    <w:abstractNumId w:val="22"/>
  </w:num>
  <w:num w:numId="20" w16cid:durableId="1512917052">
    <w:abstractNumId w:val="3"/>
  </w:num>
  <w:num w:numId="21" w16cid:durableId="111101205">
    <w:abstractNumId w:val="24"/>
  </w:num>
  <w:num w:numId="22" w16cid:durableId="1356349493">
    <w:abstractNumId w:val="17"/>
  </w:num>
  <w:num w:numId="23" w16cid:durableId="1879731956">
    <w:abstractNumId w:val="16"/>
  </w:num>
  <w:num w:numId="24" w16cid:durableId="1579292874">
    <w:abstractNumId w:val="25"/>
  </w:num>
  <w:num w:numId="25" w16cid:durableId="1012074495">
    <w:abstractNumId w:val="2"/>
  </w:num>
  <w:num w:numId="26" w16cid:durableId="760445680">
    <w:abstractNumId w:val="18"/>
  </w:num>
  <w:num w:numId="27" w16cid:durableId="100616012">
    <w:abstractNumId w:val="15"/>
  </w:num>
  <w:num w:numId="28" w16cid:durableId="1259679050">
    <w:abstractNumId w:val="13"/>
  </w:num>
  <w:num w:numId="29" w16cid:durableId="1192379149">
    <w:abstractNumId w:val="5"/>
  </w:num>
  <w:num w:numId="30" w16cid:durableId="123696847">
    <w:abstractNumId w:val="6"/>
  </w:num>
  <w:num w:numId="31" w16cid:durableId="582760623">
    <w:abstractNumId w:val="10"/>
  </w:num>
  <w:num w:numId="32" w16cid:durableId="440413610">
    <w:abstractNumId w:val="19"/>
  </w:num>
  <w:num w:numId="33" w16cid:durableId="1457942242">
    <w:abstractNumId w:val="4"/>
  </w:num>
  <w:num w:numId="34" w16cid:durableId="938634009">
    <w:abstractNumId w:val="11"/>
  </w:num>
  <w:num w:numId="35" w16cid:durableId="849685027">
    <w:abstractNumId w:val="28"/>
  </w:num>
  <w:num w:numId="36" w16cid:durableId="1242106921">
    <w:abstractNumId w:val="14"/>
  </w:num>
  <w:num w:numId="37" w16cid:durableId="1402369793">
    <w:abstractNumId w:val="12"/>
  </w:num>
  <w:num w:numId="38" w16cid:durableId="1941987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546"/>
    <w:rsid w:val="00006711"/>
    <w:rsid w:val="0001247A"/>
    <w:rsid w:val="00027B8A"/>
    <w:rsid w:val="000402D5"/>
    <w:rsid w:val="0004601F"/>
    <w:rsid w:val="00060A5A"/>
    <w:rsid w:val="00064160"/>
    <w:rsid w:val="00064B44"/>
    <w:rsid w:val="000664D3"/>
    <w:rsid w:val="00067FE2"/>
    <w:rsid w:val="00075F81"/>
    <w:rsid w:val="0007682E"/>
    <w:rsid w:val="00083FA1"/>
    <w:rsid w:val="000B601D"/>
    <w:rsid w:val="000D1AEB"/>
    <w:rsid w:val="000D315A"/>
    <w:rsid w:val="000D3E64"/>
    <w:rsid w:val="000E7D4D"/>
    <w:rsid w:val="000F13C5"/>
    <w:rsid w:val="00100AE4"/>
    <w:rsid w:val="00105A36"/>
    <w:rsid w:val="0011325A"/>
    <w:rsid w:val="00114629"/>
    <w:rsid w:val="00123915"/>
    <w:rsid w:val="00126705"/>
    <w:rsid w:val="001313B4"/>
    <w:rsid w:val="00141D8B"/>
    <w:rsid w:val="0014546D"/>
    <w:rsid w:val="001500D9"/>
    <w:rsid w:val="00156DB7"/>
    <w:rsid w:val="00157228"/>
    <w:rsid w:val="00160C3C"/>
    <w:rsid w:val="00162005"/>
    <w:rsid w:val="00166835"/>
    <w:rsid w:val="00176375"/>
    <w:rsid w:val="0017783C"/>
    <w:rsid w:val="001872F2"/>
    <w:rsid w:val="0019100C"/>
    <w:rsid w:val="0019314C"/>
    <w:rsid w:val="001C6A7B"/>
    <w:rsid w:val="001D791D"/>
    <w:rsid w:val="001E75E8"/>
    <w:rsid w:val="001F38F0"/>
    <w:rsid w:val="0020001A"/>
    <w:rsid w:val="0020259A"/>
    <w:rsid w:val="002035D3"/>
    <w:rsid w:val="00204823"/>
    <w:rsid w:val="002156FA"/>
    <w:rsid w:val="00233981"/>
    <w:rsid w:val="00237430"/>
    <w:rsid w:val="002425DE"/>
    <w:rsid w:val="0024268B"/>
    <w:rsid w:val="00245DB7"/>
    <w:rsid w:val="002527B3"/>
    <w:rsid w:val="00254F33"/>
    <w:rsid w:val="00255B14"/>
    <w:rsid w:val="00262462"/>
    <w:rsid w:val="0026307D"/>
    <w:rsid w:val="00273A64"/>
    <w:rsid w:val="00274DC7"/>
    <w:rsid w:val="00276A99"/>
    <w:rsid w:val="00285860"/>
    <w:rsid w:val="00286AD9"/>
    <w:rsid w:val="0029159F"/>
    <w:rsid w:val="002966F3"/>
    <w:rsid w:val="002A57BC"/>
    <w:rsid w:val="002A6E64"/>
    <w:rsid w:val="002A7CE7"/>
    <w:rsid w:val="002B69F3"/>
    <w:rsid w:val="002B763A"/>
    <w:rsid w:val="002D382A"/>
    <w:rsid w:val="002F1EDD"/>
    <w:rsid w:val="002F3A5F"/>
    <w:rsid w:val="002F624E"/>
    <w:rsid w:val="003013F2"/>
    <w:rsid w:val="0030232A"/>
    <w:rsid w:val="003051B0"/>
    <w:rsid w:val="0030694A"/>
    <w:rsid w:val="003069F4"/>
    <w:rsid w:val="0031545F"/>
    <w:rsid w:val="0031591C"/>
    <w:rsid w:val="0031727E"/>
    <w:rsid w:val="0032619E"/>
    <w:rsid w:val="003263F8"/>
    <w:rsid w:val="0034786B"/>
    <w:rsid w:val="003511CE"/>
    <w:rsid w:val="00356180"/>
    <w:rsid w:val="00360920"/>
    <w:rsid w:val="00367D93"/>
    <w:rsid w:val="00373600"/>
    <w:rsid w:val="003765D7"/>
    <w:rsid w:val="00380FB8"/>
    <w:rsid w:val="00384709"/>
    <w:rsid w:val="00386C35"/>
    <w:rsid w:val="003A3BCA"/>
    <w:rsid w:val="003A3D77"/>
    <w:rsid w:val="003B5AED"/>
    <w:rsid w:val="003C6B7B"/>
    <w:rsid w:val="003D3C35"/>
    <w:rsid w:val="003F020A"/>
    <w:rsid w:val="004135BD"/>
    <w:rsid w:val="004302A4"/>
    <w:rsid w:val="00431392"/>
    <w:rsid w:val="00440BD2"/>
    <w:rsid w:val="00441AA7"/>
    <w:rsid w:val="004420F7"/>
    <w:rsid w:val="00442144"/>
    <w:rsid w:val="00445049"/>
    <w:rsid w:val="004463BA"/>
    <w:rsid w:val="00466C3F"/>
    <w:rsid w:val="00473CDB"/>
    <w:rsid w:val="00475552"/>
    <w:rsid w:val="004822D4"/>
    <w:rsid w:val="004864D3"/>
    <w:rsid w:val="0048741F"/>
    <w:rsid w:val="0049290B"/>
    <w:rsid w:val="004A4451"/>
    <w:rsid w:val="004A4F8A"/>
    <w:rsid w:val="004B0E45"/>
    <w:rsid w:val="004D3958"/>
    <w:rsid w:val="004D60D5"/>
    <w:rsid w:val="004E1BBB"/>
    <w:rsid w:val="004E200F"/>
    <w:rsid w:val="004F2B69"/>
    <w:rsid w:val="004F5773"/>
    <w:rsid w:val="005008DF"/>
    <w:rsid w:val="00501BB8"/>
    <w:rsid w:val="00503532"/>
    <w:rsid w:val="005045D0"/>
    <w:rsid w:val="00510CA4"/>
    <w:rsid w:val="00516EC7"/>
    <w:rsid w:val="00523003"/>
    <w:rsid w:val="0052336B"/>
    <w:rsid w:val="00532F31"/>
    <w:rsid w:val="00534C6C"/>
    <w:rsid w:val="00535D35"/>
    <w:rsid w:val="00541CAE"/>
    <w:rsid w:val="0054264E"/>
    <w:rsid w:val="00547F74"/>
    <w:rsid w:val="00555554"/>
    <w:rsid w:val="00580340"/>
    <w:rsid w:val="005809D2"/>
    <w:rsid w:val="005841C0"/>
    <w:rsid w:val="00592482"/>
    <w:rsid w:val="0059260F"/>
    <w:rsid w:val="005A1716"/>
    <w:rsid w:val="005A5290"/>
    <w:rsid w:val="005A745D"/>
    <w:rsid w:val="005B0AA9"/>
    <w:rsid w:val="005B10D8"/>
    <w:rsid w:val="005B2321"/>
    <w:rsid w:val="005B70E7"/>
    <w:rsid w:val="005D7DAC"/>
    <w:rsid w:val="005E5074"/>
    <w:rsid w:val="005F408A"/>
    <w:rsid w:val="00602DE6"/>
    <w:rsid w:val="00612E4F"/>
    <w:rsid w:val="00613501"/>
    <w:rsid w:val="00615D5E"/>
    <w:rsid w:val="00622E99"/>
    <w:rsid w:val="00625698"/>
    <w:rsid w:val="0062581A"/>
    <w:rsid w:val="00625E5D"/>
    <w:rsid w:val="0063602A"/>
    <w:rsid w:val="006456B6"/>
    <w:rsid w:val="00657C61"/>
    <w:rsid w:val="00660654"/>
    <w:rsid w:val="0066370F"/>
    <w:rsid w:val="00676B4F"/>
    <w:rsid w:val="00687EB9"/>
    <w:rsid w:val="00691CC7"/>
    <w:rsid w:val="006A0784"/>
    <w:rsid w:val="006A11E7"/>
    <w:rsid w:val="006A39F6"/>
    <w:rsid w:val="006A5B76"/>
    <w:rsid w:val="006A697B"/>
    <w:rsid w:val="006B2BC6"/>
    <w:rsid w:val="006B4DDE"/>
    <w:rsid w:val="006C2837"/>
    <w:rsid w:val="006C4D9E"/>
    <w:rsid w:val="006D0254"/>
    <w:rsid w:val="006E4597"/>
    <w:rsid w:val="006F3909"/>
    <w:rsid w:val="006F4059"/>
    <w:rsid w:val="006F71F2"/>
    <w:rsid w:val="006F7F6D"/>
    <w:rsid w:val="00704B3E"/>
    <w:rsid w:val="007158F6"/>
    <w:rsid w:val="0073746F"/>
    <w:rsid w:val="007375A2"/>
    <w:rsid w:val="00743968"/>
    <w:rsid w:val="00751960"/>
    <w:rsid w:val="00760867"/>
    <w:rsid w:val="007629AE"/>
    <w:rsid w:val="00762CBA"/>
    <w:rsid w:val="00765D34"/>
    <w:rsid w:val="00767012"/>
    <w:rsid w:val="007672F6"/>
    <w:rsid w:val="007701F6"/>
    <w:rsid w:val="007716F6"/>
    <w:rsid w:val="007753CD"/>
    <w:rsid w:val="00785415"/>
    <w:rsid w:val="00786294"/>
    <w:rsid w:val="00791CB9"/>
    <w:rsid w:val="00793130"/>
    <w:rsid w:val="00797DEE"/>
    <w:rsid w:val="007A1BE1"/>
    <w:rsid w:val="007B3185"/>
    <w:rsid w:val="007B3233"/>
    <w:rsid w:val="007B38A2"/>
    <w:rsid w:val="007B5A42"/>
    <w:rsid w:val="007C199B"/>
    <w:rsid w:val="007D3073"/>
    <w:rsid w:val="007D4178"/>
    <w:rsid w:val="007D5DD1"/>
    <w:rsid w:val="007D64B9"/>
    <w:rsid w:val="007D72D4"/>
    <w:rsid w:val="007E0452"/>
    <w:rsid w:val="007E159B"/>
    <w:rsid w:val="007E6BC1"/>
    <w:rsid w:val="007F385C"/>
    <w:rsid w:val="007F61EF"/>
    <w:rsid w:val="008066B1"/>
    <w:rsid w:val="008070C0"/>
    <w:rsid w:val="00811C12"/>
    <w:rsid w:val="00811E07"/>
    <w:rsid w:val="008331BA"/>
    <w:rsid w:val="008360F3"/>
    <w:rsid w:val="00845616"/>
    <w:rsid w:val="00845778"/>
    <w:rsid w:val="0086260E"/>
    <w:rsid w:val="00870527"/>
    <w:rsid w:val="008735D0"/>
    <w:rsid w:val="00883229"/>
    <w:rsid w:val="00887E28"/>
    <w:rsid w:val="00890281"/>
    <w:rsid w:val="008A3723"/>
    <w:rsid w:val="008A5FCA"/>
    <w:rsid w:val="008A6C26"/>
    <w:rsid w:val="008C0E38"/>
    <w:rsid w:val="008C32CB"/>
    <w:rsid w:val="008C6A16"/>
    <w:rsid w:val="008D0587"/>
    <w:rsid w:val="008D1038"/>
    <w:rsid w:val="008D5C3A"/>
    <w:rsid w:val="008E2870"/>
    <w:rsid w:val="008E4A3F"/>
    <w:rsid w:val="008E6DA2"/>
    <w:rsid w:val="008F5DDF"/>
    <w:rsid w:val="008F6DD5"/>
    <w:rsid w:val="00907B1E"/>
    <w:rsid w:val="00920A3F"/>
    <w:rsid w:val="00920E06"/>
    <w:rsid w:val="00921C44"/>
    <w:rsid w:val="00924D68"/>
    <w:rsid w:val="0093133F"/>
    <w:rsid w:val="00935B9E"/>
    <w:rsid w:val="00943AFD"/>
    <w:rsid w:val="00944030"/>
    <w:rsid w:val="009526E7"/>
    <w:rsid w:val="00962997"/>
    <w:rsid w:val="00963A51"/>
    <w:rsid w:val="00964984"/>
    <w:rsid w:val="00983B6E"/>
    <w:rsid w:val="009936F8"/>
    <w:rsid w:val="009A3772"/>
    <w:rsid w:val="009C20B1"/>
    <w:rsid w:val="009C5FA2"/>
    <w:rsid w:val="009D0B41"/>
    <w:rsid w:val="009D17F0"/>
    <w:rsid w:val="009E222B"/>
    <w:rsid w:val="009F7900"/>
    <w:rsid w:val="00A02BB5"/>
    <w:rsid w:val="00A2175B"/>
    <w:rsid w:val="00A26988"/>
    <w:rsid w:val="00A35B2F"/>
    <w:rsid w:val="00A42796"/>
    <w:rsid w:val="00A430D0"/>
    <w:rsid w:val="00A5311D"/>
    <w:rsid w:val="00A531F8"/>
    <w:rsid w:val="00A534E1"/>
    <w:rsid w:val="00A56C5C"/>
    <w:rsid w:val="00A63C85"/>
    <w:rsid w:val="00A64076"/>
    <w:rsid w:val="00A64E49"/>
    <w:rsid w:val="00A7150F"/>
    <w:rsid w:val="00A72C9F"/>
    <w:rsid w:val="00A741C1"/>
    <w:rsid w:val="00A9200C"/>
    <w:rsid w:val="00A97067"/>
    <w:rsid w:val="00AA29DF"/>
    <w:rsid w:val="00AA5DBD"/>
    <w:rsid w:val="00AC4BCD"/>
    <w:rsid w:val="00AC4F12"/>
    <w:rsid w:val="00AD3B58"/>
    <w:rsid w:val="00AD6BC4"/>
    <w:rsid w:val="00AF0D4F"/>
    <w:rsid w:val="00AF56C6"/>
    <w:rsid w:val="00AF7CB2"/>
    <w:rsid w:val="00B00AE5"/>
    <w:rsid w:val="00B032E8"/>
    <w:rsid w:val="00B114E2"/>
    <w:rsid w:val="00B12D1D"/>
    <w:rsid w:val="00B13CBD"/>
    <w:rsid w:val="00B14E1B"/>
    <w:rsid w:val="00B20E8F"/>
    <w:rsid w:val="00B30174"/>
    <w:rsid w:val="00B341BD"/>
    <w:rsid w:val="00B40E3E"/>
    <w:rsid w:val="00B415C4"/>
    <w:rsid w:val="00B44252"/>
    <w:rsid w:val="00B460FD"/>
    <w:rsid w:val="00B50D06"/>
    <w:rsid w:val="00B538D9"/>
    <w:rsid w:val="00B56013"/>
    <w:rsid w:val="00B56728"/>
    <w:rsid w:val="00B57F96"/>
    <w:rsid w:val="00B67892"/>
    <w:rsid w:val="00B67943"/>
    <w:rsid w:val="00B71FE6"/>
    <w:rsid w:val="00B82211"/>
    <w:rsid w:val="00B97A08"/>
    <w:rsid w:val="00BA4D33"/>
    <w:rsid w:val="00BA7F61"/>
    <w:rsid w:val="00BB0268"/>
    <w:rsid w:val="00BB24C3"/>
    <w:rsid w:val="00BC2D06"/>
    <w:rsid w:val="00BD049D"/>
    <w:rsid w:val="00BD19A6"/>
    <w:rsid w:val="00BD2354"/>
    <w:rsid w:val="00BD25D6"/>
    <w:rsid w:val="00BE7569"/>
    <w:rsid w:val="00C02054"/>
    <w:rsid w:val="00C034EA"/>
    <w:rsid w:val="00C14125"/>
    <w:rsid w:val="00C1499B"/>
    <w:rsid w:val="00C2264D"/>
    <w:rsid w:val="00C24534"/>
    <w:rsid w:val="00C3472B"/>
    <w:rsid w:val="00C36F79"/>
    <w:rsid w:val="00C4035F"/>
    <w:rsid w:val="00C4551A"/>
    <w:rsid w:val="00C605B1"/>
    <w:rsid w:val="00C677A7"/>
    <w:rsid w:val="00C744EB"/>
    <w:rsid w:val="00C7544E"/>
    <w:rsid w:val="00C76412"/>
    <w:rsid w:val="00C82133"/>
    <w:rsid w:val="00C83BC1"/>
    <w:rsid w:val="00C90091"/>
    <w:rsid w:val="00C90702"/>
    <w:rsid w:val="00C917FF"/>
    <w:rsid w:val="00C9766A"/>
    <w:rsid w:val="00CA2090"/>
    <w:rsid w:val="00CA63EE"/>
    <w:rsid w:val="00CA6A70"/>
    <w:rsid w:val="00CA6CE5"/>
    <w:rsid w:val="00CB54F0"/>
    <w:rsid w:val="00CB69EA"/>
    <w:rsid w:val="00CC23F6"/>
    <w:rsid w:val="00CC4F39"/>
    <w:rsid w:val="00CC7BAB"/>
    <w:rsid w:val="00CD22AE"/>
    <w:rsid w:val="00CD544C"/>
    <w:rsid w:val="00CE2A04"/>
    <w:rsid w:val="00CF0522"/>
    <w:rsid w:val="00CF0F84"/>
    <w:rsid w:val="00CF4256"/>
    <w:rsid w:val="00CF7EB7"/>
    <w:rsid w:val="00D04FE8"/>
    <w:rsid w:val="00D14EF2"/>
    <w:rsid w:val="00D176CF"/>
    <w:rsid w:val="00D17AD5"/>
    <w:rsid w:val="00D243EF"/>
    <w:rsid w:val="00D271E3"/>
    <w:rsid w:val="00D2720D"/>
    <w:rsid w:val="00D273FB"/>
    <w:rsid w:val="00D279F8"/>
    <w:rsid w:val="00D3021C"/>
    <w:rsid w:val="00D449DC"/>
    <w:rsid w:val="00D47A80"/>
    <w:rsid w:val="00D62F49"/>
    <w:rsid w:val="00D671C4"/>
    <w:rsid w:val="00D7260E"/>
    <w:rsid w:val="00D77ED5"/>
    <w:rsid w:val="00D8470F"/>
    <w:rsid w:val="00D85807"/>
    <w:rsid w:val="00D87349"/>
    <w:rsid w:val="00D90F0B"/>
    <w:rsid w:val="00D91EE9"/>
    <w:rsid w:val="00D9627A"/>
    <w:rsid w:val="00D97220"/>
    <w:rsid w:val="00D97666"/>
    <w:rsid w:val="00DA0AC3"/>
    <w:rsid w:val="00DA4E3A"/>
    <w:rsid w:val="00DA4F03"/>
    <w:rsid w:val="00DA5D59"/>
    <w:rsid w:val="00DA7292"/>
    <w:rsid w:val="00DB1E5D"/>
    <w:rsid w:val="00DB2DAD"/>
    <w:rsid w:val="00DB45DA"/>
    <w:rsid w:val="00DE0798"/>
    <w:rsid w:val="00DE7202"/>
    <w:rsid w:val="00DF132D"/>
    <w:rsid w:val="00DF1EF2"/>
    <w:rsid w:val="00DF474B"/>
    <w:rsid w:val="00E06F22"/>
    <w:rsid w:val="00E10F29"/>
    <w:rsid w:val="00E123D4"/>
    <w:rsid w:val="00E141AD"/>
    <w:rsid w:val="00E14D47"/>
    <w:rsid w:val="00E1641C"/>
    <w:rsid w:val="00E170F5"/>
    <w:rsid w:val="00E21909"/>
    <w:rsid w:val="00E26708"/>
    <w:rsid w:val="00E33617"/>
    <w:rsid w:val="00E34958"/>
    <w:rsid w:val="00E37AB0"/>
    <w:rsid w:val="00E43218"/>
    <w:rsid w:val="00E629EC"/>
    <w:rsid w:val="00E656C2"/>
    <w:rsid w:val="00E66B4E"/>
    <w:rsid w:val="00E71C39"/>
    <w:rsid w:val="00E737D2"/>
    <w:rsid w:val="00E8171F"/>
    <w:rsid w:val="00E860D8"/>
    <w:rsid w:val="00EA3399"/>
    <w:rsid w:val="00EA56E6"/>
    <w:rsid w:val="00EA694D"/>
    <w:rsid w:val="00EB18B9"/>
    <w:rsid w:val="00EB3232"/>
    <w:rsid w:val="00EC335F"/>
    <w:rsid w:val="00EC48FB"/>
    <w:rsid w:val="00EC7DA7"/>
    <w:rsid w:val="00ED3965"/>
    <w:rsid w:val="00ED63D4"/>
    <w:rsid w:val="00EE684F"/>
    <w:rsid w:val="00EF232A"/>
    <w:rsid w:val="00EF3C35"/>
    <w:rsid w:val="00EF513D"/>
    <w:rsid w:val="00F058ED"/>
    <w:rsid w:val="00F05A69"/>
    <w:rsid w:val="00F147E2"/>
    <w:rsid w:val="00F1526A"/>
    <w:rsid w:val="00F255F4"/>
    <w:rsid w:val="00F275C0"/>
    <w:rsid w:val="00F34335"/>
    <w:rsid w:val="00F3497A"/>
    <w:rsid w:val="00F43FFD"/>
    <w:rsid w:val="00F44236"/>
    <w:rsid w:val="00F45916"/>
    <w:rsid w:val="00F4683F"/>
    <w:rsid w:val="00F52517"/>
    <w:rsid w:val="00F709E3"/>
    <w:rsid w:val="00F826EB"/>
    <w:rsid w:val="00F877EF"/>
    <w:rsid w:val="00F93688"/>
    <w:rsid w:val="00F93D87"/>
    <w:rsid w:val="00F94BEA"/>
    <w:rsid w:val="00F96DA5"/>
    <w:rsid w:val="00FA1E77"/>
    <w:rsid w:val="00FA57B2"/>
    <w:rsid w:val="00FA5F13"/>
    <w:rsid w:val="00FB2988"/>
    <w:rsid w:val="00FB4F4A"/>
    <w:rsid w:val="00FB509B"/>
    <w:rsid w:val="00FB6CE1"/>
    <w:rsid w:val="00FC369C"/>
    <w:rsid w:val="00FC3D4B"/>
    <w:rsid w:val="00FC6312"/>
    <w:rsid w:val="00FD043E"/>
    <w:rsid w:val="00FE08F4"/>
    <w:rsid w:val="00FE36E3"/>
    <w:rsid w:val="00FE3B0E"/>
    <w:rsid w:val="00FE6B01"/>
    <w:rsid w:val="00FF0941"/>
    <w:rsid w:val="00FF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C849B92"/>
  <w15:chartTrackingRefBased/>
  <w15:docId w15:val="{13AD5892-E7BE-4D6C-ACAA-26FF9178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uiPriority w:val="9"/>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uiPriority w:val="9"/>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unhideWhenUsed/>
    <w:rsid w:val="00AF7CB2"/>
    <w:rPr>
      <w:color w:val="605E5C"/>
      <w:shd w:val="clear" w:color="auto" w:fill="E1DFDD"/>
    </w:rPr>
  </w:style>
  <w:style w:type="character" w:customStyle="1" w:styleId="HeaderChar">
    <w:name w:val="Header Char"/>
    <w:basedOn w:val="DefaultParagraphFont"/>
    <w:link w:val="Header"/>
    <w:rsid w:val="0063602A"/>
    <w:rPr>
      <w:rFonts w:ascii="Arial" w:hAnsi="Arial"/>
      <w:b/>
      <w:bCs/>
      <w:sz w:val="24"/>
      <w:szCs w:val="24"/>
    </w:rPr>
  </w:style>
  <w:style w:type="character" w:customStyle="1" w:styleId="FootnoteTextChar">
    <w:name w:val="Footnote Text Char"/>
    <w:link w:val="FootnoteText"/>
    <w:rsid w:val="00523003"/>
    <w:rPr>
      <w:sz w:val="18"/>
    </w:rPr>
  </w:style>
  <w:style w:type="character" w:customStyle="1" w:styleId="H2Char">
    <w:name w:val="H2 Char"/>
    <w:link w:val="H2"/>
    <w:rsid w:val="00523003"/>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523003"/>
    <w:rPr>
      <w:sz w:val="24"/>
      <w:szCs w:val="24"/>
    </w:rPr>
  </w:style>
  <w:style w:type="character" w:customStyle="1" w:styleId="H3Char">
    <w:name w:val="H3 Char"/>
    <w:link w:val="H3"/>
    <w:rsid w:val="00523003"/>
    <w:rPr>
      <w:b/>
      <w:bCs/>
      <w:i/>
      <w:sz w:val="24"/>
    </w:rPr>
  </w:style>
  <w:style w:type="character" w:customStyle="1" w:styleId="H4Char">
    <w:name w:val="H4 Char"/>
    <w:link w:val="H4"/>
    <w:rsid w:val="00523003"/>
    <w:rPr>
      <w:b/>
      <w:bCs/>
      <w:snapToGrid w:val="0"/>
      <w:sz w:val="24"/>
    </w:rPr>
  </w:style>
  <w:style w:type="paragraph" w:customStyle="1" w:styleId="BodyTextNumbered">
    <w:name w:val="Body Text Numbered"/>
    <w:basedOn w:val="BodyText"/>
    <w:link w:val="BodyTextNumberedChar"/>
    <w:rsid w:val="00523003"/>
    <w:pPr>
      <w:ind w:left="720" w:hanging="720"/>
    </w:pPr>
    <w:rPr>
      <w:szCs w:val="20"/>
    </w:rPr>
  </w:style>
  <w:style w:type="character" w:customStyle="1" w:styleId="BodyTextNumberedChar">
    <w:name w:val="Body Text Numbered Char"/>
    <w:link w:val="BodyTextNumbered"/>
    <w:rsid w:val="00523003"/>
    <w:rPr>
      <w:sz w:val="24"/>
    </w:rPr>
  </w:style>
  <w:style w:type="character" w:customStyle="1" w:styleId="InstructionsChar">
    <w:name w:val="Instructions Char"/>
    <w:link w:val="Instructions"/>
    <w:rsid w:val="00523003"/>
    <w:rPr>
      <w:b/>
      <w:i/>
      <w:iCs/>
      <w:sz w:val="24"/>
      <w:szCs w:val="24"/>
    </w:rPr>
  </w:style>
  <w:style w:type="character" w:customStyle="1" w:styleId="Heading1Char">
    <w:name w:val="Heading 1 Char"/>
    <w:aliases w:val="h1 Char"/>
    <w:link w:val="Heading1"/>
    <w:uiPriority w:val="9"/>
    <w:rsid w:val="00523003"/>
    <w:rPr>
      <w:b/>
      <w:caps/>
      <w:sz w:val="24"/>
    </w:rPr>
  </w:style>
  <w:style w:type="character" w:customStyle="1" w:styleId="Heading2Char">
    <w:name w:val="Heading 2 Char"/>
    <w:aliases w:val="h2 Char"/>
    <w:link w:val="Heading2"/>
    <w:uiPriority w:val="9"/>
    <w:rsid w:val="00523003"/>
    <w:rPr>
      <w:b/>
      <w:sz w:val="24"/>
    </w:rPr>
  </w:style>
  <w:style w:type="character" w:customStyle="1" w:styleId="Heading3Char">
    <w:name w:val="Heading 3 Char"/>
    <w:aliases w:val="h3 Char"/>
    <w:link w:val="Heading3"/>
    <w:uiPriority w:val="9"/>
    <w:rsid w:val="00523003"/>
    <w:rPr>
      <w:b/>
      <w:bCs/>
      <w:i/>
      <w:sz w:val="24"/>
    </w:rPr>
  </w:style>
  <w:style w:type="character" w:customStyle="1" w:styleId="Heading4Char">
    <w:name w:val="Heading 4 Char"/>
    <w:aliases w:val="h4 Char"/>
    <w:link w:val="Heading4"/>
    <w:uiPriority w:val="9"/>
    <w:rsid w:val="00523003"/>
    <w:rPr>
      <w:b/>
      <w:bCs/>
      <w:snapToGrid w:val="0"/>
      <w:sz w:val="24"/>
    </w:rPr>
  </w:style>
  <w:style w:type="character" w:customStyle="1" w:styleId="Heading5Char">
    <w:name w:val="Heading 5 Char"/>
    <w:aliases w:val="h5 Char"/>
    <w:link w:val="Heading5"/>
    <w:uiPriority w:val="9"/>
    <w:rsid w:val="00523003"/>
    <w:rPr>
      <w:b/>
      <w:bCs/>
      <w:i/>
      <w:iCs/>
      <w:sz w:val="24"/>
      <w:szCs w:val="26"/>
    </w:rPr>
  </w:style>
  <w:style w:type="character" w:customStyle="1" w:styleId="Heading6Char">
    <w:name w:val="Heading 6 Char"/>
    <w:aliases w:val="h6 Char"/>
    <w:link w:val="Heading6"/>
    <w:uiPriority w:val="9"/>
    <w:rsid w:val="00523003"/>
    <w:rPr>
      <w:b/>
      <w:bCs/>
      <w:sz w:val="24"/>
      <w:szCs w:val="22"/>
    </w:rPr>
  </w:style>
  <w:style w:type="character" w:customStyle="1" w:styleId="Heading7Char">
    <w:name w:val="Heading 7 Char"/>
    <w:link w:val="Heading7"/>
    <w:uiPriority w:val="9"/>
    <w:rsid w:val="00523003"/>
    <w:rPr>
      <w:sz w:val="24"/>
      <w:szCs w:val="24"/>
    </w:rPr>
  </w:style>
  <w:style w:type="character" w:customStyle="1" w:styleId="Heading8Char">
    <w:name w:val="Heading 8 Char"/>
    <w:link w:val="Heading8"/>
    <w:uiPriority w:val="9"/>
    <w:rsid w:val="00523003"/>
    <w:rPr>
      <w:i/>
      <w:iCs/>
      <w:sz w:val="24"/>
      <w:szCs w:val="24"/>
    </w:rPr>
  </w:style>
  <w:style w:type="character" w:customStyle="1" w:styleId="Heading9Char">
    <w:name w:val="Heading 9 Char"/>
    <w:link w:val="Heading9"/>
    <w:uiPriority w:val="9"/>
    <w:rsid w:val="00523003"/>
    <w:rPr>
      <w:b/>
      <w:sz w:val="24"/>
      <w:szCs w:val="24"/>
    </w:rPr>
  </w:style>
  <w:style w:type="paragraph" w:styleId="Title">
    <w:name w:val="Title"/>
    <w:basedOn w:val="Normal"/>
    <w:next w:val="Normal"/>
    <w:link w:val="TitleChar"/>
    <w:uiPriority w:val="10"/>
    <w:qFormat/>
    <w:rsid w:val="00523003"/>
    <w:pPr>
      <w:spacing w:after="8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uiPriority w:val="10"/>
    <w:rsid w:val="00523003"/>
    <w:rPr>
      <w:rFonts w:ascii="Calibri Light" w:eastAsia="Yu Gothic Light" w:hAnsi="Calibri Light"/>
      <w:spacing w:val="-10"/>
      <w:kern w:val="28"/>
      <w:sz w:val="56"/>
      <w:szCs w:val="56"/>
    </w:rPr>
  </w:style>
  <w:style w:type="paragraph" w:styleId="Subtitle">
    <w:name w:val="Subtitle"/>
    <w:basedOn w:val="Normal"/>
    <w:next w:val="Normal"/>
    <w:link w:val="SubtitleChar"/>
    <w:uiPriority w:val="11"/>
    <w:qFormat/>
    <w:rsid w:val="00523003"/>
    <w:pPr>
      <w:numPr>
        <w:ilvl w:val="1"/>
      </w:numPr>
      <w:spacing w:after="160" w:line="278" w:lineRule="auto"/>
    </w:pPr>
    <w:rPr>
      <w:rFonts w:ascii="Calibri" w:eastAsia="Yu Gothic Light" w:hAnsi="Calibri"/>
      <w:color w:val="595959"/>
      <w:spacing w:val="15"/>
      <w:kern w:val="2"/>
      <w:sz w:val="28"/>
      <w:szCs w:val="28"/>
    </w:rPr>
  </w:style>
  <w:style w:type="character" w:customStyle="1" w:styleId="SubtitleChar">
    <w:name w:val="Subtitle Char"/>
    <w:basedOn w:val="DefaultParagraphFont"/>
    <w:link w:val="Subtitle"/>
    <w:uiPriority w:val="11"/>
    <w:rsid w:val="00523003"/>
    <w:rPr>
      <w:rFonts w:ascii="Calibri" w:eastAsia="Yu Gothic Light" w:hAnsi="Calibri"/>
      <w:color w:val="595959"/>
      <w:spacing w:val="15"/>
      <w:kern w:val="2"/>
      <w:sz w:val="28"/>
      <w:szCs w:val="28"/>
    </w:rPr>
  </w:style>
  <w:style w:type="paragraph" w:styleId="Quote">
    <w:name w:val="Quote"/>
    <w:basedOn w:val="Normal"/>
    <w:next w:val="Normal"/>
    <w:link w:val="QuoteChar"/>
    <w:uiPriority w:val="29"/>
    <w:qFormat/>
    <w:rsid w:val="00523003"/>
    <w:pPr>
      <w:spacing w:before="160" w:after="160" w:line="278" w:lineRule="auto"/>
      <w:jc w:val="center"/>
    </w:pPr>
    <w:rPr>
      <w:rFonts w:ascii="Calibri" w:eastAsia="Calibri" w:hAnsi="Calibri" w:cs="Arial"/>
      <w:i/>
      <w:iCs/>
      <w:color w:val="404040"/>
      <w:kern w:val="2"/>
    </w:rPr>
  </w:style>
  <w:style w:type="character" w:customStyle="1" w:styleId="QuoteChar">
    <w:name w:val="Quote Char"/>
    <w:basedOn w:val="DefaultParagraphFont"/>
    <w:link w:val="Quote"/>
    <w:uiPriority w:val="29"/>
    <w:rsid w:val="00523003"/>
    <w:rPr>
      <w:rFonts w:ascii="Calibri" w:eastAsia="Calibri" w:hAnsi="Calibri" w:cs="Arial"/>
      <w:i/>
      <w:iCs/>
      <w:color w:val="404040"/>
      <w:kern w:val="2"/>
      <w:sz w:val="24"/>
      <w:szCs w:val="24"/>
    </w:rPr>
  </w:style>
  <w:style w:type="paragraph" w:styleId="ListParagraph">
    <w:name w:val="List Paragraph"/>
    <w:basedOn w:val="Normal"/>
    <w:uiPriority w:val="34"/>
    <w:qFormat/>
    <w:rsid w:val="00523003"/>
    <w:pPr>
      <w:spacing w:after="160" w:line="278" w:lineRule="auto"/>
      <w:ind w:left="720"/>
      <w:contextualSpacing/>
    </w:pPr>
    <w:rPr>
      <w:rFonts w:ascii="Calibri" w:eastAsia="Calibri" w:hAnsi="Calibri" w:cs="Arial"/>
      <w:kern w:val="2"/>
    </w:rPr>
  </w:style>
  <w:style w:type="character" w:styleId="IntenseEmphasis">
    <w:name w:val="Intense Emphasis"/>
    <w:uiPriority w:val="21"/>
    <w:qFormat/>
    <w:rsid w:val="00523003"/>
    <w:rPr>
      <w:i/>
      <w:iCs/>
      <w:color w:val="2F5496"/>
    </w:rPr>
  </w:style>
  <w:style w:type="paragraph" w:styleId="IntenseQuote">
    <w:name w:val="Intense Quote"/>
    <w:basedOn w:val="Normal"/>
    <w:next w:val="Normal"/>
    <w:link w:val="IntenseQuoteChar"/>
    <w:uiPriority w:val="30"/>
    <w:qFormat/>
    <w:rsid w:val="00523003"/>
    <w:pPr>
      <w:pBdr>
        <w:top w:val="single" w:sz="4" w:space="10" w:color="2F5496"/>
        <w:bottom w:val="single" w:sz="4" w:space="10" w:color="2F5496"/>
      </w:pBdr>
      <w:spacing w:before="360" w:after="360" w:line="278" w:lineRule="auto"/>
      <w:ind w:left="864" w:right="864"/>
      <w:jc w:val="center"/>
    </w:pPr>
    <w:rPr>
      <w:rFonts w:ascii="Calibri" w:eastAsia="Calibri" w:hAnsi="Calibri" w:cs="Arial"/>
      <w:i/>
      <w:iCs/>
      <w:color w:val="2F5496"/>
      <w:kern w:val="2"/>
    </w:rPr>
  </w:style>
  <w:style w:type="character" w:customStyle="1" w:styleId="IntenseQuoteChar">
    <w:name w:val="Intense Quote Char"/>
    <w:basedOn w:val="DefaultParagraphFont"/>
    <w:link w:val="IntenseQuote"/>
    <w:uiPriority w:val="30"/>
    <w:rsid w:val="00523003"/>
    <w:rPr>
      <w:rFonts w:ascii="Calibri" w:eastAsia="Calibri" w:hAnsi="Calibri" w:cs="Arial"/>
      <w:i/>
      <w:iCs/>
      <w:color w:val="2F5496"/>
      <w:kern w:val="2"/>
      <w:sz w:val="24"/>
      <w:szCs w:val="24"/>
    </w:rPr>
  </w:style>
  <w:style w:type="character" w:styleId="IntenseReference">
    <w:name w:val="Intense Reference"/>
    <w:uiPriority w:val="32"/>
    <w:qFormat/>
    <w:rsid w:val="00523003"/>
    <w:rPr>
      <w:b/>
      <w:bCs/>
      <w:smallCaps/>
      <w:color w:val="2F5496"/>
      <w:spacing w:val="5"/>
    </w:rPr>
  </w:style>
  <w:style w:type="character" w:customStyle="1" w:styleId="H5Char">
    <w:name w:val="H5 Char"/>
    <w:link w:val="H5"/>
    <w:rsid w:val="00523003"/>
    <w:rPr>
      <w:b/>
      <w:bCs/>
      <w:i/>
      <w:iCs/>
      <w:sz w:val="24"/>
      <w:szCs w:val="26"/>
    </w:rPr>
  </w:style>
  <w:style w:type="character" w:customStyle="1" w:styleId="CommentTextChar">
    <w:name w:val="Comment Text Char"/>
    <w:basedOn w:val="DefaultParagraphFont"/>
    <w:link w:val="CommentText"/>
    <w:uiPriority w:val="99"/>
    <w:rsid w:val="00523003"/>
  </w:style>
  <w:style w:type="character" w:customStyle="1" w:styleId="CommentSubjectChar">
    <w:name w:val="Comment Subject Char"/>
    <w:link w:val="CommentSubject"/>
    <w:uiPriority w:val="99"/>
    <w:semiHidden/>
    <w:rsid w:val="00523003"/>
    <w:rPr>
      <w:b/>
      <w:bCs/>
    </w:rPr>
  </w:style>
  <w:style w:type="paragraph" w:styleId="BodyText3">
    <w:name w:val="Body Text 3"/>
    <w:basedOn w:val="Normal"/>
    <w:link w:val="BodyText3Char"/>
    <w:rsid w:val="00523003"/>
    <w:pPr>
      <w:spacing w:after="120"/>
    </w:pPr>
    <w:rPr>
      <w:sz w:val="16"/>
      <w:szCs w:val="16"/>
    </w:rPr>
  </w:style>
  <w:style w:type="character" w:customStyle="1" w:styleId="BodyText3Char">
    <w:name w:val="Body Text 3 Char"/>
    <w:basedOn w:val="DefaultParagraphFont"/>
    <w:link w:val="BodyText3"/>
    <w:rsid w:val="00523003"/>
    <w:rPr>
      <w:sz w:val="16"/>
      <w:szCs w:val="16"/>
    </w:rPr>
  </w:style>
  <w:style w:type="character" w:styleId="Mention">
    <w:name w:val="Mention"/>
    <w:uiPriority w:val="99"/>
    <w:unhideWhenUsed/>
    <w:rsid w:val="00523003"/>
    <w:rPr>
      <w:color w:val="2B579A"/>
      <w:shd w:val="clear" w:color="auto" w:fill="E1DFDD"/>
    </w:rPr>
  </w:style>
  <w:style w:type="character" w:customStyle="1" w:styleId="BodyTextNumberedChar1">
    <w:name w:val="Body Text Numbered Char1"/>
    <w:rsid w:val="00523003"/>
    <w:rPr>
      <w:iC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wg_feedback@ercot.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D0E9D229717A45A0F014C745A02018" ma:contentTypeVersion="10" ma:contentTypeDescription="Create a new document." ma:contentTypeScope="" ma:versionID="f3d69bc3bfd0aac6724cf821c4b9b5ef">
  <xsd:schema xmlns:xsd="http://www.w3.org/2001/XMLSchema" xmlns:xs="http://www.w3.org/2001/XMLSchema" xmlns:p="http://schemas.microsoft.com/office/2006/metadata/properties" xmlns:ns2="f419a087-1e80-495d-85c4-486fa6b09cae" xmlns:ns3="c37ac4fa-902d-4f29-bbdc-3877ea87d1ce" targetNamespace="http://schemas.microsoft.com/office/2006/metadata/properties" ma:root="true" ma:fieldsID="971f991f8e9e1bdcc84bdb1939d05c3d" ns2:_="" ns3:_="">
    <xsd:import namespace="f419a087-1e80-495d-85c4-486fa6b09cae"/>
    <xsd:import namespace="c37ac4fa-902d-4f29-bbdc-3877ea87d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9a087-1e80-495d-85c4-486fa6b09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ac4fa-902d-4f29-bbdc-3877ea87d1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af1a2d-7cff-4f55-99dc-3de56818a427}" ma:internalName="TaxCatchAll" ma:showField="CatchAllData" ma:web="c37ac4fa-902d-4f29-bbdc-3877ea87d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19a087-1e80-495d-85c4-486fa6b09cae">
      <Terms xmlns="http://schemas.microsoft.com/office/infopath/2007/PartnerControls"/>
    </lcf76f155ced4ddcb4097134ff3c332f>
    <TaxCatchAll xmlns="c37ac4fa-902d-4f29-bbdc-3877ea87d1ce" xsi:nil="true"/>
  </documentManagement>
</p:properti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54E1E5BA-C4DC-4EBC-BA1A-A0FFA3C62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9a087-1e80-495d-85c4-486fa6b09cae"/>
    <ds:schemaRef ds:uri="c37ac4fa-902d-4f29-bbdc-3877ea87d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9178D-261D-4E24-8CBD-B461DE4F7D6F}">
  <ds:schemaRefs>
    <ds:schemaRef ds:uri="http://schemas.microsoft.com/sharepoint/v3/contenttype/forms"/>
  </ds:schemaRefs>
</ds:datastoreItem>
</file>

<file path=customXml/itemProps4.xml><?xml version="1.0" encoding="utf-8"?>
<ds:datastoreItem xmlns:ds="http://schemas.openxmlformats.org/officeDocument/2006/customXml" ds:itemID="{73EC4E32-E435-43B5-BDB1-52604A05E5B8}">
  <ds:schemaRefs>
    <ds:schemaRef ds:uri="c37ac4fa-902d-4f29-bbdc-3877ea87d1ce"/>
    <ds:schemaRef ds:uri="http://purl.org/dc/dcmitype/"/>
    <ds:schemaRef ds:uri="http://purl.org/dc/elements/1.1/"/>
    <ds:schemaRef ds:uri="f419a087-1e80-495d-85c4-486fa6b09ca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2294</Words>
  <Characters>12232</Characters>
  <Application>Microsoft Office Word</Application>
  <DocSecurity>0</DocSecurity>
  <Lines>235</Lines>
  <Paragraphs>72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14454</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Ayson, Janice</cp:lastModifiedBy>
  <cp:revision>4</cp:revision>
  <cp:lastPrinted>2013-11-16T04:11:00Z</cp:lastPrinted>
  <dcterms:created xsi:type="dcterms:W3CDTF">2026-06-09T21:56:00Z</dcterms:created>
  <dcterms:modified xsi:type="dcterms:W3CDTF">2026-06-12T13:36:00Z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0x0101003CD0E9D229717A45A0F014C745A02018</vt:lpwstr>
  </property>
  <property fmtid="{D5CDD505-2E9C-101B-9397-08002B2CF9AE}" pid="10" name="docLang">
    <vt:lpwstr>en</vt:lpwstr>
  </property>
  <property fmtid="{D5CDD505-2E9C-101B-9397-08002B2CF9AE}" pid="11" name="MediaServiceImageTags">
    <vt:lpwstr/>
  </property>
</Properties>
</file>