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A32FDD">
            <w:pPr>
              <w:pStyle w:val="Header"/>
              <w:snapToGrid w:val="0"/>
            </w:pPr>
            <w:hyperlink r:id="rId7" w:history="1">
              <w:r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6327483E" w:rsidR="005307E6" w:rsidRPr="00BA5050" w:rsidRDefault="00E9156B">
            <w:pPr>
              <w:pStyle w:val="Header"/>
              <w:snapToGrid w:val="0"/>
            </w:pPr>
            <w:r w:rsidRPr="00E9156B">
              <w:t>Board Priority - Large Computational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59F9B503" w:rsidR="005307E6" w:rsidRDefault="00A8481D">
            <w:pPr>
              <w:pStyle w:val="NormalArial"/>
              <w:snapToGrid w:val="0"/>
            </w:pPr>
            <w:r>
              <w:t>Eric Goff</w:t>
            </w: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56C786E3" w:rsidR="005307E6" w:rsidRDefault="00060D04">
            <w:pPr>
              <w:pStyle w:val="NormalArial"/>
              <w:snapToGrid w:val="0"/>
            </w:pPr>
            <w:r>
              <w:t>Goff Policy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11908355" w:rsidR="005307E6" w:rsidRDefault="00A8481D">
            <w:pPr>
              <w:pStyle w:val="NormalArial"/>
              <w:snapToGrid w:val="0"/>
            </w:pPr>
            <w:r>
              <w:t>Not applicable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43FAFEB1" w:rsidR="00034C6B" w:rsidRPr="00034C6B" w:rsidRDefault="00A8481D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Goff Policy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24E7"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="00034C6B" w:rsidRPr="00034C6B">
        <w:rPr>
          <w:rFonts w:ascii="Arial" w:hAnsi="Arial" w:cs="Arial"/>
          <w:lang w:eastAsia="en-US"/>
        </w:rPr>
        <w:t>.</w:t>
      </w:r>
    </w:p>
    <w:p w14:paraId="707C92DE" w14:textId="2AEE7F89" w:rsidR="00A8481D" w:rsidRPr="00034C6B" w:rsidRDefault="00A8481D" w:rsidP="00034C6B">
      <w:pPr>
        <w:suppressAutoHyphens w:val="0"/>
        <w:spacing w:after="240"/>
        <w:jc w:val="both"/>
        <w:rPr>
          <w:rFonts w:ascii="Arial" w:hAnsi="Arial" w:cs="Arial"/>
          <w:lang w:eastAsia="en-US"/>
        </w:rPr>
      </w:pPr>
      <w:hyperlink r:id="rId8" w:history="1">
        <w:r w:rsidRPr="00A8481D">
          <w:rPr>
            <w:rStyle w:val="Hyperlink"/>
            <w:rFonts w:ascii="Arial" w:hAnsi="Arial" w:cs="Arial"/>
            <w:lang w:eastAsia="en-US"/>
          </w:rPr>
          <w:t>Goff Policy Comments on NOGRR282</w:t>
        </w:r>
      </w:hyperlink>
    </w:p>
    <w:sectPr w:rsidR="00A8481D" w:rsidRPr="00034C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7A71ECC2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A8481D">
      <w:rPr>
        <w:rFonts w:ascii="Arial" w:hAnsi="Arial" w:cs="Arial"/>
        <w:noProof/>
        <w:sz w:val="18"/>
      </w:rPr>
      <w:t>282NOGRR-3</w:t>
    </w:r>
    <w:r w:rsidR="00CD6678">
      <w:rPr>
        <w:rFonts w:ascii="Arial" w:hAnsi="Arial" w:cs="Arial"/>
        <w:noProof/>
        <w:sz w:val="18"/>
      </w:rPr>
      <w:t>8</w:t>
    </w:r>
    <w:r w:rsidR="00A8481D">
      <w:rPr>
        <w:rFonts w:ascii="Arial" w:hAnsi="Arial" w:cs="Arial"/>
        <w:noProof/>
        <w:sz w:val="18"/>
      </w:rPr>
      <w:t xml:space="preserve"> Goff Policy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475AB"/>
    <w:rsid w:val="005307E6"/>
    <w:rsid w:val="00631DCC"/>
    <w:rsid w:val="006653DA"/>
    <w:rsid w:val="0072510C"/>
    <w:rsid w:val="007C086B"/>
    <w:rsid w:val="00810B12"/>
    <w:rsid w:val="0083075A"/>
    <w:rsid w:val="00873D13"/>
    <w:rsid w:val="00A32FDD"/>
    <w:rsid w:val="00A8481D"/>
    <w:rsid w:val="00B60BC5"/>
    <w:rsid w:val="00BA5050"/>
    <w:rsid w:val="00C15268"/>
    <w:rsid w:val="00C30FAC"/>
    <w:rsid w:val="00CD6678"/>
    <w:rsid w:val="00CD76ED"/>
    <w:rsid w:val="00E275AC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4</cp:revision>
  <dcterms:created xsi:type="dcterms:W3CDTF">2026-06-12T19:06:00Z</dcterms:created>
  <dcterms:modified xsi:type="dcterms:W3CDTF">2026-06-12T19:11:00Z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