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6333D" w14:textId="77777777" w:rsidR="00E52A56" w:rsidRDefault="00000000">
      <w:pPr>
        <w:spacing w:after="160"/>
        <w:jc w:val="center"/>
      </w:pPr>
      <w:r>
        <w:rPr>
          <w:b/>
          <w:bCs/>
          <w:sz w:val="28"/>
          <w:szCs w:val="28"/>
        </w:rPr>
        <w:t>Planning Working Group (PLWG) Meeting Minutes</w:t>
      </w:r>
    </w:p>
    <w:p w14:paraId="1A687484" w14:textId="77777777" w:rsidR="00E52A56" w:rsidRDefault="00000000">
      <w:pPr>
        <w:spacing w:after="40"/>
        <w:jc w:val="center"/>
      </w:pPr>
      <w:r>
        <w:rPr>
          <w:b/>
          <w:bCs/>
          <w:sz w:val="24"/>
          <w:szCs w:val="24"/>
        </w:rPr>
        <w:t xml:space="preserve">May 2026 (In Person &amp; </w:t>
      </w:r>
      <w:proofErr w:type="spellStart"/>
      <w:r>
        <w:rPr>
          <w:b/>
          <w:bCs/>
          <w:sz w:val="24"/>
          <w:szCs w:val="24"/>
        </w:rPr>
        <w:t>WebEx</w:t>
      </w:r>
      <w:proofErr w:type="spellEnd"/>
      <w:r>
        <w:rPr>
          <w:b/>
          <w:bCs/>
          <w:sz w:val="24"/>
          <w:szCs w:val="24"/>
        </w:rPr>
        <w:t>)</w:t>
      </w:r>
    </w:p>
    <w:p w14:paraId="344ABF20" w14:textId="77777777" w:rsidR="00E52A56" w:rsidRDefault="00E52A56">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7660"/>
        <w:gridCol w:w="1200"/>
      </w:tblGrid>
      <w:tr w:rsidR="00E52A56" w14:paraId="3FE99697"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3292F9EE" w14:textId="77777777" w:rsidR="00E52A56" w:rsidRDefault="00000000">
            <w:pPr>
              <w:spacing w:before="40" w:after="40"/>
            </w:pPr>
            <w:r>
              <w:rPr>
                <w:b/>
                <w:bCs/>
                <w:color w:val="FFFFFF"/>
              </w:rPr>
              <w:t>#</w:t>
            </w:r>
          </w:p>
        </w:tc>
        <w:tc>
          <w:tcPr>
            <w:tcW w:w="766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4B8AE7FE" w14:textId="77777777" w:rsidR="00E52A56" w:rsidRDefault="00000000">
            <w:pPr>
              <w:spacing w:before="40" w:after="40"/>
            </w:pPr>
            <w:r>
              <w:rPr>
                <w:b/>
                <w:bCs/>
                <w:color w:val="FFFFFF"/>
              </w:rPr>
              <w:t>Discussion Item</w:t>
            </w:r>
          </w:p>
        </w:tc>
        <w:tc>
          <w:tcPr>
            <w:tcW w:w="1200"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tcPr>
          <w:p w14:paraId="2AF2CE85" w14:textId="77777777" w:rsidR="00E52A56" w:rsidRDefault="00000000">
            <w:pPr>
              <w:spacing w:before="40" w:after="40"/>
            </w:pPr>
            <w:r>
              <w:rPr>
                <w:b/>
                <w:bCs/>
                <w:color w:val="FFFFFF"/>
              </w:rPr>
              <w:t>Owner</w:t>
            </w:r>
          </w:p>
        </w:tc>
      </w:tr>
      <w:tr w:rsidR="00E52A56" w14:paraId="2FA05A7D"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F42E343" w14:textId="77777777" w:rsidR="00E52A56" w:rsidRDefault="00000000">
            <w:pPr>
              <w:spacing w:before="40" w:after="40"/>
            </w:pPr>
            <w:r>
              <w:rPr>
                <w:b/>
                <w:bCs/>
              </w:rPr>
              <w:t>1.</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4157B53" w14:textId="77777777" w:rsidR="00E52A56" w:rsidRDefault="00000000">
            <w:pPr>
              <w:spacing w:before="40" w:after="40"/>
            </w:pPr>
            <w:r>
              <w:rPr>
                <w:b/>
                <w:bCs/>
              </w:rPr>
              <w:t>Call to Order / Antitrust Admonition</w:t>
            </w:r>
          </w:p>
          <w:p w14:paraId="0728EDE8" w14:textId="034C9726" w:rsidR="00E52A56" w:rsidRDefault="008B436C">
            <w:pPr>
              <w:spacing w:before="40" w:after="40"/>
            </w:pPr>
            <w:r>
              <w:t>The meeting</w:t>
            </w:r>
            <w:r w:rsidR="00000000">
              <w:t xml:space="preserve"> was called to order. The Chair apologized for a brief delay in getting started. The antitrust admonition was given. Technical difficulties with screen sharing via </w:t>
            </w:r>
            <w:proofErr w:type="spellStart"/>
            <w:r w:rsidR="00000000">
              <w:t>WebEx</w:t>
            </w:r>
            <w:proofErr w:type="spellEnd"/>
            <w:r w:rsidR="00000000">
              <w:t xml:space="preserve"> were noted throughout the meeting.</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3B8D16" w14:textId="77777777" w:rsidR="00E52A56" w:rsidRDefault="00000000">
            <w:pPr>
              <w:spacing w:before="40" w:after="40"/>
            </w:pPr>
            <w:r>
              <w:t>Chair</w:t>
            </w:r>
          </w:p>
        </w:tc>
      </w:tr>
      <w:tr w:rsidR="00E52A56" w14:paraId="5D1303B2"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BC2A8D" w14:textId="77777777" w:rsidR="00E52A56" w:rsidRDefault="00000000">
            <w:pPr>
              <w:spacing w:before="40" w:after="40"/>
            </w:pPr>
            <w:r>
              <w:rPr>
                <w:b/>
                <w:bCs/>
              </w:rPr>
              <w:t>2.</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EB94575" w14:textId="77777777" w:rsidR="00E52A56" w:rsidRDefault="00000000">
            <w:pPr>
              <w:spacing w:before="40" w:after="40"/>
            </w:pPr>
            <w:r>
              <w:rPr>
                <w:b/>
                <w:bCs/>
              </w:rPr>
              <w:t>Agenda Review</w:t>
            </w:r>
          </w:p>
          <w:p w14:paraId="74AA51FF" w14:textId="13862E25" w:rsidR="00E52A56" w:rsidRDefault="00000000">
            <w:pPr>
              <w:spacing w:before="40" w:after="40"/>
            </w:pPr>
            <w:r>
              <w:t xml:space="preserve">The Chair reviewed the agenda, noting </w:t>
            </w:r>
            <w:r w:rsidR="008B436C">
              <w:t>that it was moderate in length and included</w:t>
            </w:r>
            <w:r>
              <w:t xml:space="preserve"> several items to discuss. The Chair also noted that prior meeting minutes had not yet been forwarded </w:t>
            </w:r>
            <w:r w:rsidR="008B436C">
              <w:t>for posting</w:t>
            </w:r>
            <w:r>
              <w:t xml:space="preserve"> and committed to sending them to stakeholder services.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18A231" w14:textId="77777777" w:rsidR="00E52A56" w:rsidRDefault="00000000">
            <w:pPr>
              <w:spacing w:before="40" w:after="40"/>
            </w:pPr>
            <w:r>
              <w:t>Chair</w:t>
            </w:r>
          </w:p>
        </w:tc>
      </w:tr>
      <w:tr w:rsidR="00E52A56" w14:paraId="01C3BAC3"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81B1F5" w14:textId="77777777" w:rsidR="00E52A56" w:rsidRDefault="00000000">
            <w:pPr>
              <w:spacing w:before="40" w:after="40"/>
            </w:pPr>
            <w:r>
              <w:rPr>
                <w:b/>
                <w:bCs/>
              </w:rPr>
              <w:t>3.</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394EC3B" w14:textId="77777777" w:rsidR="00E52A56" w:rsidRDefault="00000000">
            <w:pPr>
              <w:spacing w:before="40" w:after="40"/>
            </w:pPr>
            <w:r>
              <w:rPr>
                <w:b/>
                <w:bCs/>
              </w:rPr>
              <w:t>Vice Chair Vacancy / Leadership Nominations</w:t>
            </w:r>
          </w:p>
          <w:p w14:paraId="7337604F" w14:textId="37BDB8D8" w:rsidR="00E52A56" w:rsidRDefault="00000000">
            <w:pPr>
              <w:spacing w:before="40" w:after="40"/>
            </w:pPr>
            <w:r>
              <w:t>The Chair noted that PLWG has two vacancies</w:t>
            </w:r>
            <w:r w:rsidR="008B436C">
              <w:t>,</w:t>
            </w:r>
            <w:r>
              <w:t xml:space="preserve"> per a communication from ROS, including the Vice Chair position following K</w:t>
            </w:r>
            <w:r w:rsidR="008B436C">
              <w:t>i</w:t>
            </w:r>
            <w:r>
              <w:t>r</w:t>
            </w:r>
            <w:r w:rsidR="008B436C">
              <w:t>a</w:t>
            </w:r>
            <w:r>
              <w:t>n’s change of positions. The Chair indicated that K</w:t>
            </w:r>
            <w:r w:rsidR="008B436C">
              <w:t>i</w:t>
            </w:r>
            <w:r>
              <w:t>r</w:t>
            </w:r>
            <w:r w:rsidR="008B436C">
              <w:t>a</w:t>
            </w:r>
            <w:r>
              <w:t xml:space="preserve">n may continue as Vice </w:t>
            </w:r>
            <w:proofErr w:type="gramStart"/>
            <w:r>
              <w:t>Chair, but</w:t>
            </w:r>
            <w:proofErr w:type="gramEnd"/>
            <w:r>
              <w:t xml:space="preserve"> opened the floor for other stakeholders to express interest. Nominations will be taken at the next meeting to allow time for consideration. The Chair also noted </w:t>
            </w:r>
            <w:r w:rsidR="008B436C">
              <w:t>that she will need to be reconfirmed as Chair at the next ROS meeting due to her change of company</w:t>
            </w:r>
            <w:r>
              <w:t>.</w:t>
            </w:r>
          </w:p>
          <w:p w14:paraId="2E769E7A" w14:textId="49EC742A" w:rsidR="00E52A56" w:rsidRDefault="00000000">
            <w:pPr>
              <w:spacing w:before="40" w:after="40"/>
            </w:pPr>
            <w:r>
              <w:rPr>
                <w:i/>
                <w:iCs/>
              </w:rPr>
              <w:t xml:space="preserve">Action Taken: Nominations for Vice Chair deferred to next meeting. Chair to be </w:t>
            </w:r>
            <w:r w:rsidR="008B436C">
              <w:rPr>
                <w:i/>
                <w:iCs/>
              </w:rPr>
              <w:t>reconfirmed</w:t>
            </w:r>
            <w:r>
              <w:rPr>
                <w:i/>
                <w:iCs/>
              </w:rPr>
              <w:t xml:space="preserve"> at ROS.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AA77D4" w14:textId="77777777" w:rsidR="00E52A56" w:rsidRDefault="00000000">
            <w:pPr>
              <w:spacing w:before="40" w:after="40"/>
            </w:pPr>
            <w:r>
              <w:t>Chair</w:t>
            </w:r>
          </w:p>
        </w:tc>
      </w:tr>
      <w:tr w:rsidR="00E52A56" w14:paraId="5C599C81"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E08DE6" w14:textId="77777777" w:rsidR="00E52A56" w:rsidRDefault="00000000">
            <w:pPr>
              <w:spacing w:before="40" w:after="40"/>
            </w:pPr>
            <w:r>
              <w:rPr>
                <w:b/>
                <w:bCs/>
              </w:rPr>
              <w:t>4.</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DB0A033" w14:textId="0A259D7E" w:rsidR="00E52A56" w:rsidRDefault="00000000">
            <w:pPr>
              <w:spacing w:before="40" w:after="40"/>
            </w:pPr>
            <w:r>
              <w:rPr>
                <w:b/>
                <w:bCs/>
              </w:rPr>
              <w:t xml:space="preserve">PGRR128 – Regional Transmission Plan Review of </w:t>
            </w:r>
            <w:r w:rsidR="008B436C">
              <w:rPr>
                <w:b/>
                <w:bCs/>
              </w:rPr>
              <w:t>Grid-Enhancing</w:t>
            </w:r>
            <w:r>
              <w:rPr>
                <w:b/>
                <w:bCs/>
              </w:rPr>
              <w:t xml:space="preserve"> Technologies</w:t>
            </w:r>
          </w:p>
          <w:p w14:paraId="5BFEA7BB" w14:textId="3643D95F" w:rsidR="00E52A56" w:rsidRDefault="00000000">
            <w:pPr>
              <w:spacing w:before="40" w:after="40"/>
            </w:pPr>
            <w:r>
              <w:t xml:space="preserve">Sponsor Eric Goff (TEBA) indicated that a revised version of the language was circulated via email on May 8, though it had not yet been posted to the ERCOT website. The updated language moves the requirement into its own section (new Section 3.1.10), renaming the “Annual Forum” to a “workshop,” and </w:t>
            </w:r>
            <w:r w:rsidR="008B436C">
              <w:t>clarifying</w:t>
            </w:r>
            <w:r>
              <w:t xml:space="preserve"> that ERCOT is only required to facilitate the scheduling of the meeting. All previously proposed new </w:t>
            </w:r>
            <w:r w:rsidR="008B436C">
              <w:t>languages have</w:t>
            </w:r>
            <w:r>
              <w:t xml:space="preserve"> been struck.</w:t>
            </w:r>
          </w:p>
          <w:p w14:paraId="53759DA7" w14:textId="77777777" w:rsidR="00E52A56" w:rsidRDefault="00000000">
            <w:pPr>
              <w:spacing w:before="40" w:after="40"/>
            </w:pPr>
            <w:r>
              <w:t>Martha Henson (Oncor) expressed support, noting that the revised approach is a good landing spot and that Oncor’s prior concerns have been addressed.</w:t>
            </w:r>
          </w:p>
          <w:p w14:paraId="622DFF02" w14:textId="3C3B5D54" w:rsidR="00E52A56" w:rsidRDefault="00000000">
            <w:pPr>
              <w:spacing w:before="40" w:after="40"/>
            </w:pPr>
            <w:r>
              <w:t>Matt Arthur (</w:t>
            </w:r>
            <w:r w:rsidR="008B436C">
              <w:t>ERCOT</w:t>
            </w:r>
            <w:r>
              <w:t xml:space="preserve"> Legal) proposed a tabletop edit to use the defined term “ERCOT transmission grid” (capitalized) rather than “ERCOT transmission system,” to avoid unintentionally including the distribution system. Eric Goff and the group agreed.</w:t>
            </w:r>
          </w:p>
          <w:p w14:paraId="199CECC9" w14:textId="77777777" w:rsidR="00E52A56" w:rsidRDefault="00000000">
            <w:pPr>
              <w:spacing w:before="40" w:after="40"/>
            </w:pPr>
            <w:r>
              <w:t>Bob Wittmeyer raised a clarifying question about whether striking “transmission” inadvertently included the distribution system; this was resolved by adopting “ERCOT transmission grid” as the defined term.</w:t>
            </w:r>
          </w:p>
          <w:p w14:paraId="34349491" w14:textId="2BE2A653" w:rsidR="00E52A56" w:rsidRDefault="00000000">
            <w:pPr>
              <w:spacing w:before="40" w:after="40"/>
            </w:pPr>
            <w:r>
              <w:t xml:space="preserve">Britney agreed to prepare the tabletop edits on </w:t>
            </w:r>
            <w:r w:rsidR="008B436C">
              <w:t>PLWG's behalf</w:t>
            </w:r>
            <w:r>
              <w:t xml:space="preserve"> for Chair approval and submission.</w:t>
            </w:r>
          </w:p>
          <w:p w14:paraId="60344555" w14:textId="77777777" w:rsidR="00E52A56" w:rsidRDefault="00000000">
            <w:pPr>
              <w:spacing w:before="40" w:after="40"/>
            </w:pPr>
            <w:r>
              <w:rPr>
                <w:i/>
                <w:iCs/>
              </w:rPr>
              <w:t>Action Taken: PGRR128 approved to move forward to ROS with tabletop edits (use of defined term “ERCOT Transmission Grid”). Stakeholder Services to be notified to post the May 8 revision.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54B2BB" w14:textId="77777777" w:rsidR="00E52A56" w:rsidRDefault="00000000">
            <w:pPr>
              <w:spacing w:before="40" w:after="40"/>
            </w:pPr>
            <w:r>
              <w:t>PLWG</w:t>
            </w:r>
          </w:p>
        </w:tc>
      </w:tr>
      <w:tr w:rsidR="00E52A56" w14:paraId="01F05367"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4D5E244" w14:textId="77777777" w:rsidR="00E52A56" w:rsidRDefault="00000000">
            <w:pPr>
              <w:spacing w:before="40" w:after="40"/>
            </w:pPr>
            <w:r>
              <w:rPr>
                <w:b/>
                <w:bCs/>
              </w:rPr>
              <w:t>5.</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C565000" w14:textId="77777777" w:rsidR="00E52A56" w:rsidRDefault="00000000">
            <w:pPr>
              <w:spacing w:before="40" w:after="40"/>
            </w:pPr>
            <w:r>
              <w:rPr>
                <w:b/>
                <w:bCs/>
              </w:rPr>
              <w:t>PGRR130 – Related to NPRR1295, GTC Exit Solutions</w:t>
            </w:r>
          </w:p>
          <w:p w14:paraId="2647EF3C" w14:textId="77777777" w:rsidR="00E52A56" w:rsidRDefault="00000000">
            <w:pPr>
              <w:spacing w:before="40" w:after="40"/>
            </w:pPr>
            <w:r>
              <w:t xml:space="preserve">Suzi McClellan (on behalf of Invenergy and EDF Power Solutions) provided a status update. New language was circulated to ERCOT on the day of the meeting, focused on incorporating periodic or routine evaluation of GTC exit strategies into the protocols. Sponsors are hopeful an agreement can be reached prior to the next meeting and plan to </w:t>
            </w:r>
            <w:r>
              <w:lastRenderedPageBreak/>
              <w:t>file comments on NPRR1295. Sponsors noted that if agreement is reached on NPRR1295, PGRR130 may be withdrawn.</w:t>
            </w:r>
          </w:p>
          <w:p w14:paraId="30B1A578" w14:textId="0933A586" w:rsidR="00E52A56" w:rsidRDefault="00000000">
            <w:pPr>
              <w:spacing w:before="40" w:after="40"/>
            </w:pPr>
            <w:r>
              <w:rPr>
                <w:i/>
                <w:iCs/>
              </w:rPr>
              <w:t xml:space="preserve">Action Taken: PGRR130 remains tabled. Sponsors to file comments ahead of </w:t>
            </w:r>
            <w:r w:rsidR="008B436C">
              <w:rPr>
                <w:i/>
                <w:iCs/>
              </w:rPr>
              <w:t xml:space="preserve">the </w:t>
            </w:r>
            <w:r>
              <w:rPr>
                <w:i/>
                <w:iCs/>
              </w:rPr>
              <w:t>next meeting.</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A25A9D0" w14:textId="77777777" w:rsidR="00E52A56" w:rsidRDefault="00000000">
            <w:pPr>
              <w:spacing w:before="40" w:after="40"/>
            </w:pPr>
            <w:r>
              <w:lastRenderedPageBreak/>
              <w:t>PLWG</w:t>
            </w:r>
          </w:p>
        </w:tc>
      </w:tr>
      <w:tr w:rsidR="00E52A56" w14:paraId="6DE9F78C"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BBC4ACA" w14:textId="77777777" w:rsidR="00E52A56" w:rsidRDefault="00000000">
            <w:pPr>
              <w:spacing w:before="40" w:after="40"/>
            </w:pPr>
            <w:r>
              <w:rPr>
                <w:b/>
                <w:bCs/>
              </w:rPr>
              <w:t>6.</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8E2651" w14:textId="77777777" w:rsidR="00E52A56" w:rsidRDefault="00000000">
            <w:pPr>
              <w:spacing w:before="40" w:after="40"/>
            </w:pPr>
            <w:r>
              <w:rPr>
                <w:b/>
                <w:bCs/>
              </w:rPr>
              <w:t>PGRR134 – Interconnection Studies Reform for Dispatchable Loads</w:t>
            </w:r>
          </w:p>
          <w:p w14:paraId="4560B071" w14:textId="77777777" w:rsidR="00E52A56" w:rsidRDefault="00000000">
            <w:pPr>
              <w:spacing w:before="40" w:after="40"/>
            </w:pPr>
            <w:r>
              <w:t>Sponsor Clayton Greer was not available to provide an update. The item remains tabled pending progress on PGRR145 and the Large Load batch study process. The Chair noted that this PGRR may become obsolete once PGRR145 passes TAC and the Board and committed to reaching out to the sponsor ahead of the June meeting about a potential withdrawal recommendation.</w:t>
            </w:r>
          </w:p>
          <w:p w14:paraId="295DAFAD" w14:textId="05958C2F" w:rsidR="00E52A56" w:rsidRDefault="00000000">
            <w:pPr>
              <w:spacing w:before="40" w:after="40"/>
            </w:pPr>
            <w:r>
              <w:rPr>
                <w:i/>
                <w:iCs/>
              </w:rPr>
              <w:t xml:space="preserve">Action Taken: Continued to table PGRR134. Chair to follow up with </w:t>
            </w:r>
            <w:r w:rsidR="008B436C">
              <w:rPr>
                <w:i/>
                <w:iCs/>
              </w:rPr>
              <w:t xml:space="preserve">the </w:t>
            </w:r>
            <w:r>
              <w:rPr>
                <w:i/>
                <w:iCs/>
              </w:rPr>
              <w:t>sponsor on potential withdrawal.</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294FE0" w14:textId="77777777" w:rsidR="00E52A56" w:rsidRDefault="00000000">
            <w:pPr>
              <w:spacing w:before="40" w:after="40"/>
            </w:pPr>
            <w:r>
              <w:t>PLWG</w:t>
            </w:r>
          </w:p>
        </w:tc>
      </w:tr>
      <w:tr w:rsidR="00E52A56" w14:paraId="5F13F210"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3CAB862" w14:textId="77777777" w:rsidR="00E52A56" w:rsidRDefault="00000000">
            <w:pPr>
              <w:spacing w:before="40" w:after="40"/>
            </w:pPr>
            <w:r>
              <w:rPr>
                <w:b/>
                <w:bCs/>
              </w:rPr>
              <w:t>7.</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31071A0" w14:textId="77777777" w:rsidR="00E52A56" w:rsidRDefault="00000000">
            <w:pPr>
              <w:spacing w:before="40" w:after="40"/>
            </w:pPr>
            <w:r>
              <w:rPr>
                <w:b/>
                <w:bCs/>
              </w:rPr>
              <w:t>PGRR140 – Creation of Non-Settled Generator (NSG) and Clarification of the Types, Usage, and Registration of Distributed Generation</w:t>
            </w:r>
          </w:p>
          <w:p w14:paraId="38E3E1CA" w14:textId="41012B52" w:rsidR="00E52A56" w:rsidRDefault="00000000">
            <w:pPr>
              <w:spacing w:before="40" w:after="40"/>
            </w:pPr>
            <w:r>
              <w:t>Thinesh (ERCOT) summarized updates filed on May 6/7</w:t>
            </w:r>
            <w:r w:rsidR="008B436C">
              <w:t xml:space="preserve"> that addressed Priority Power’s comments regarding resources under 10 MW by revising the language to reflect </w:t>
            </w:r>
            <w:r>
              <w:t>a margin process.</w:t>
            </w:r>
          </w:p>
          <w:p w14:paraId="1959D3FB" w14:textId="77777777" w:rsidR="00E52A56" w:rsidRDefault="00000000">
            <w:pPr>
              <w:spacing w:before="40" w:after="40"/>
            </w:pPr>
            <w:r>
              <w:t>Michael Jewell (Priority Power) confirmed that Priority Power has reviewed the updates and is comfortable with where things stand, noting only minor wording items remain that are being discussed with ERCOT directly.</w:t>
            </w:r>
          </w:p>
          <w:p w14:paraId="2626169B" w14:textId="71735F06" w:rsidR="00E52A56" w:rsidRDefault="00000000">
            <w:pPr>
              <w:spacing w:before="40" w:after="40"/>
            </w:pPr>
            <w:r>
              <w:t xml:space="preserve">Monica (Vistra) noted ongoing email exchanges with ERCOT regarding exclusions </w:t>
            </w:r>
            <w:r w:rsidR="008B436C">
              <w:t>under the Lone Star Infrastructure Protection Act and concerns about UFE calculations</w:t>
            </w:r>
            <w:r>
              <w:t>. An internal meeting with ERCOT was scheduled for May</w:t>
            </w:r>
            <w:r w:rsidR="008B436C">
              <w:t>,</w:t>
            </w:r>
            <w:r>
              <w:t xml:space="preserve"> and Vistra indicated they could file comments at ROS if the item moves forward.</w:t>
            </w:r>
          </w:p>
          <w:p w14:paraId="1E3E0AA8" w14:textId="421B0A61" w:rsidR="00E52A56" w:rsidRDefault="00000000">
            <w:pPr>
              <w:spacing w:before="40" w:after="40"/>
            </w:pPr>
            <w:r>
              <w:t xml:space="preserve">Doug Fohn (ERCOT) expressed ERCOT’s preference to move the item to ROS, citing </w:t>
            </w:r>
            <w:r w:rsidR="008B436C">
              <w:t xml:space="preserve">the </w:t>
            </w:r>
            <w:r>
              <w:t xml:space="preserve">calendar complexity of maintaining the item across multiple working groups. After </w:t>
            </w:r>
            <w:r w:rsidR="008B436C">
              <w:t xml:space="preserve">a brief discussion on whether a </w:t>
            </w:r>
            <w:r>
              <w:t>PLWG consensus was needed, Britney clarified that PLWG does not have a formal voting structure and is only required to report the range of views.</w:t>
            </w:r>
          </w:p>
          <w:p w14:paraId="4D2B9A69" w14:textId="77777777" w:rsidR="00E52A56" w:rsidRDefault="00000000">
            <w:pPr>
              <w:spacing w:before="40" w:after="40"/>
            </w:pPr>
            <w:r>
              <w:rPr>
                <w:i/>
                <w:iCs/>
              </w:rPr>
              <w:t>Action Taken: PGRR140 to move to ROS. Vistra to file any remaining comments at ROS.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CCF7DA5" w14:textId="77777777" w:rsidR="00E52A56" w:rsidRDefault="00000000">
            <w:pPr>
              <w:spacing w:before="40" w:after="40"/>
            </w:pPr>
            <w:r>
              <w:t>ERCOT</w:t>
            </w:r>
          </w:p>
        </w:tc>
      </w:tr>
      <w:tr w:rsidR="00E52A56" w14:paraId="2579E1B1"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3A48D3" w14:textId="77777777" w:rsidR="00E52A56" w:rsidRDefault="00000000">
            <w:pPr>
              <w:spacing w:before="40" w:after="40"/>
            </w:pPr>
            <w:r>
              <w:rPr>
                <w:b/>
                <w:bCs/>
              </w:rPr>
              <w:t>8.</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08878B" w14:textId="77777777" w:rsidR="00E52A56" w:rsidRDefault="00000000">
            <w:pPr>
              <w:spacing w:before="40" w:after="40"/>
            </w:pPr>
            <w:r>
              <w:rPr>
                <w:b/>
                <w:bCs/>
              </w:rPr>
              <w:t>PGRR141 – Large Load Interconnection Study Reform for Substantiated Load</w:t>
            </w:r>
          </w:p>
          <w:p w14:paraId="30449E83" w14:textId="77777777" w:rsidR="00E52A56" w:rsidRDefault="00000000">
            <w:pPr>
              <w:spacing w:before="40" w:after="40"/>
            </w:pPr>
            <w:r>
              <w:t>Sponsor Evan Neel (</w:t>
            </w:r>
            <w:proofErr w:type="spellStart"/>
            <w:r>
              <w:t>Lancium</w:t>
            </w:r>
            <w:proofErr w:type="spellEnd"/>
            <w:r>
              <w:t>) was briefly available and confirmed that, given ongoing Batch Zero activity, PGRR141 should remain tabled at PLWG. Martha Henson (Oncor) suggested that PGRR141 may be a candidate for withdrawal review at the June meeting; Evan Neel indicated a preference to defer that determination until Batch One rules are available.</w:t>
            </w:r>
          </w:p>
          <w:p w14:paraId="5381D836" w14:textId="6BFDDA9D" w:rsidR="00E52A56" w:rsidRDefault="00000000">
            <w:pPr>
              <w:spacing w:before="40" w:after="40"/>
            </w:pPr>
            <w:r>
              <w:rPr>
                <w:i/>
                <w:iCs/>
              </w:rPr>
              <w:t>Action Taken: Continued to table PGRR141</w:t>
            </w:r>
            <w:r w:rsidR="008B436C">
              <w:rPr>
                <w:i/>
                <w:iCs/>
              </w:rPr>
              <w:t xml:space="preserve"> until the Batch Study is formalized</w:t>
            </w:r>
            <w:r>
              <w:rPr>
                <w:i/>
                <w:iCs/>
              </w:rPr>
              <w:t xml:space="preserve">. Chair to discuss potential withdrawal with </w:t>
            </w:r>
            <w:r w:rsidR="008B436C">
              <w:rPr>
                <w:i/>
                <w:iCs/>
              </w:rPr>
              <w:t xml:space="preserve">the </w:t>
            </w:r>
            <w:r>
              <w:rPr>
                <w:i/>
                <w:iCs/>
              </w:rPr>
              <w:t>sponsor offline.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7507A8A" w14:textId="77777777" w:rsidR="00E52A56" w:rsidRDefault="00000000">
            <w:pPr>
              <w:spacing w:before="40" w:after="40"/>
            </w:pPr>
            <w:r>
              <w:t>PLWG</w:t>
            </w:r>
          </w:p>
        </w:tc>
      </w:tr>
      <w:tr w:rsidR="00E52A56" w14:paraId="2D7619A7"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FD409CF" w14:textId="77777777" w:rsidR="00E52A56" w:rsidRDefault="00000000">
            <w:pPr>
              <w:spacing w:before="40" w:after="40"/>
            </w:pPr>
            <w:r>
              <w:rPr>
                <w:b/>
                <w:bCs/>
              </w:rPr>
              <w:t>9.</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489211E" w14:textId="77777777" w:rsidR="00E52A56" w:rsidRDefault="00000000">
            <w:pPr>
              <w:spacing w:before="40" w:after="40"/>
            </w:pPr>
            <w:r>
              <w:rPr>
                <w:b/>
                <w:bCs/>
              </w:rPr>
              <w:t>PGRR142 – In-Kind Definition for Generation</w:t>
            </w:r>
          </w:p>
          <w:p w14:paraId="6BC84A59" w14:textId="794CDF5B" w:rsidR="00E52A56" w:rsidRDefault="00000000">
            <w:pPr>
              <w:spacing w:before="40" w:after="40"/>
            </w:pPr>
            <w:r>
              <w:t xml:space="preserve">Jennifer (ERCOT) noted no updates to ERCOT’s previously filed comments. ERCOT’s concerns center on </w:t>
            </w:r>
            <w:r w:rsidR="008B436C">
              <w:t xml:space="preserve">the </w:t>
            </w:r>
            <w:r>
              <w:t>vagueness of performance-based replacement language and the potential to bypass the interconnection and commissioning process.</w:t>
            </w:r>
          </w:p>
          <w:p w14:paraId="7DD918FC" w14:textId="795852F1" w:rsidR="00E52A56" w:rsidRDefault="00000000">
            <w:pPr>
              <w:spacing w:before="40" w:after="40"/>
            </w:pPr>
            <w:r>
              <w:t>Kevin Hanson (Invenergy) clarified the sponsor’s current proposal: retain ERCOT’s language framework</w:t>
            </w:r>
            <w:r w:rsidR="008B436C">
              <w:t>, but use “same or better specifications” for software only and remove</w:t>
            </w:r>
            <w:r>
              <w:t xml:space="preserve"> the equipment sentence. Kevin emphasized the distinction between “same or similar” (not proposed) </w:t>
            </w:r>
            <w:r w:rsidR="008B436C">
              <w:t>and “same or better” (the actual proposal</w:t>
            </w:r>
            <w:proofErr w:type="gramStart"/>
            <w:r w:rsidR="008B436C">
              <w:t>), and</w:t>
            </w:r>
            <w:proofErr w:type="gramEnd"/>
            <w:r w:rsidR="008B436C">
              <w:t xml:space="preserve"> referenced the </w:t>
            </w:r>
            <w:r>
              <w:t>parallel use of “same or better” language in PGRR144 for large computational loads.</w:t>
            </w:r>
          </w:p>
          <w:p w14:paraId="0CA0880A" w14:textId="6478307E" w:rsidR="00E52A56" w:rsidRDefault="008B436C">
            <w:pPr>
              <w:spacing w:before="40" w:after="40"/>
            </w:pPr>
            <w:r>
              <w:t>Sun Wook Kang (</w:t>
            </w:r>
            <w:r w:rsidR="00000000">
              <w:t>ERCOT</w:t>
            </w:r>
            <w:r>
              <w:t>)</w:t>
            </w:r>
            <w:r w:rsidR="00000000">
              <w:t xml:space="preserve"> clarified that PGRR144 governs a review process for large computational loads and does not define “replacement in kind.” He stressed that generation and load should not be treated </w:t>
            </w:r>
            <w:r>
              <w:t xml:space="preserve">as equivalent, given the </w:t>
            </w:r>
            <w:r w:rsidR="00000000">
              <w:t>NERC requirements applicable to generation.</w:t>
            </w:r>
          </w:p>
          <w:p w14:paraId="058FB14B" w14:textId="77777777" w:rsidR="00E52A56" w:rsidRDefault="00000000">
            <w:pPr>
              <w:spacing w:before="40" w:after="40"/>
            </w:pPr>
            <w:r>
              <w:lastRenderedPageBreak/>
              <w:t>Blake Holt (LCRA) and Martha Henson (Oncor) expressed concerns about discretion in evaluating “same or better” without strict definitions and supported moving to ROS for further discussion.</w:t>
            </w:r>
          </w:p>
          <w:p w14:paraId="74912C8F" w14:textId="77777777" w:rsidR="00E52A56" w:rsidRDefault="00000000">
            <w:pPr>
              <w:spacing w:before="40" w:after="40"/>
            </w:pPr>
            <w:r>
              <w:t>Monica (Vistra) and Katie Rich confirmed support for moving PGRR142 to ROS. Kevin agreed to move forward. Kevin committed to re-sending his prior email with the proposed language to ERCOT and copying Katie Rich, Blake Holt, and Martha Henson prior to the ROS meeting.</w:t>
            </w:r>
          </w:p>
          <w:p w14:paraId="00677180" w14:textId="77777777" w:rsidR="00E52A56" w:rsidRDefault="00000000">
            <w:pPr>
              <w:spacing w:before="40" w:after="40"/>
            </w:pPr>
            <w:r>
              <w:rPr>
                <w:i/>
                <w:iCs/>
              </w:rPr>
              <w:t>Action Taken: PGRR142 to move to ROS for a vote and continued discussion.</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B79DF3E" w14:textId="77777777" w:rsidR="00E52A56" w:rsidRDefault="00000000">
            <w:pPr>
              <w:spacing w:before="40" w:after="40"/>
            </w:pPr>
            <w:r>
              <w:lastRenderedPageBreak/>
              <w:t>PLWG</w:t>
            </w:r>
          </w:p>
        </w:tc>
      </w:tr>
      <w:tr w:rsidR="00E52A56" w14:paraId="45A29BC3"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C2F283" w14:textId="77777777" w:rsidR="00E52A56" w:rsidRDefault="00000000">
            <w:pPr>
              <w:spacing w:before="40" w:after="40"/>
            </w:pPr>
            <w:r>
              <w:rPr>
                <w:b/>
                <w:bCs/>
              </w:rPr>
              <w:t>10.</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FDE5313" w14:textId="77777777" w:rsidR="00E52A56" w:rsidRDefault="00000000">
            <w:pPr>
              <w:spacing w:before="40" w:after="40"/>
            </w:pPr>
            <w:r>
              <w:rPr>
                <w:b/>
                <w:bCs/>
              </w:rPr>
              <w:t>PGRR144 – Dynamic Model Submission and Review Requirements</w:t>
            </w:r>
          </w:p>
          <w:p w14:paraId="2F25BE52" w14:textId="753FA4B6" w:rsidR="00E52A56" w:rsidRDefault="00000000">
            <w:pPr>
              <w:spacing w:before="40" w:after="40"/>
            </w:pPr>
            <w:r>
              <w:t>Sun</w:t>
            </w:r>
            <w:r w:rsidR="008B436C">
              <w:t xml:space="preserve"> Wook Kang</w:t>
            </w:r>
            <w:r>
              <w:t xml:space="preserve"> (ERCOT) summarized updates posted to the ERCOT website the prior week: (1) terminology updated from “LEL” to “SEL” (large computational load) to align with NPRR1308; (2) Section 9.6.1(f) updated to require dynamic model data submission to both ERCOT and the interconnecting TSP (previously TSP only), to allow ERCOT to assess potential adverse impacts to prior stability studies in collaboration with the TSP; and (3) a response added in the comment section clarifying that BRT requirements will not be imposed on large loads not required to meet Node 282 performance standards.</w:t>
            </w:r>
          </w:p>
          <w:p w14:paraId="56030F07" w14:textId="4F7B8ED9" w:rsidR="00E52A56" w:rsidRDefault="00000000">
            <w:pPr>
              <w:spacing w:before="40" w:after="40"/>
            </w:pPr>
            <w:r>
              <w:t>Eric Goff (</w:t>
            </w:r>
            <w:r w:rsidR="008B436C">
              <w:t>Goff Policy</w:t>
            </w:r>
            <w:r>
              <w:t xml:space="preserve">) requested one additional month to review the comments and file a formal response, noting bandwidth constraints due to batch activity. ERCOT agreed to leave the item at PLWG for one more month, noting </w:t>
            </w:r>
            <w:r w:rsidR="008B436C">
              <w:t>that DWG would also review</w:t>
            </w:r>
            <w:r>
              <w:t xml:space="preserve"> the updates the following week.</w:t>
            </w:r>
          </w:p>
          <w:p w14:paraId="4E646512" w14:textId="77777777" w:rsidR="00E52A56" w:rsidRDefault="00000000">
            <w:pPr>
              <w:spacing w:before="40" w:after="40"/>
            </w:pPr>
            <w:r>
              <w:rPr>
                <w:i/>
                <w:iCs/>
              </w:rPr>
              <w:t xml:space="preserve">Action Taken: PGRR144 remains at PLWG for one additional month. Eric Goff </w:t>
            </w:r>
            <w:proofErr w:type="gramStart"/>
            <w:r>
              <w:rPr>
                <w:i/>
                <w:iCs/>
              </w:rPr>
              <w:t>to file</w:t>
            </w:r>
            <w:proofErr w:type="gramEnd"/>
            <w:r>
              <w:rPr>
                <w:i/>
                <w:iCs/>
              </w:rPr>
              <w:t xml:space="preserve"> formal comments ahead of next meeting.</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7C864218" w14:textId="77777777" w:rsidR="00E52A56" w:rsidRDefault="00000000">
            <w:pPr>
              <w:spacing w:before="40" w:after="40"/>
            </w:pPr>
            <w:r>
              <w:t>PLWG</w:t>
            </w:r>
          </w:p>
        </w:tc>
      </w:tr>
      <w:tr w:rsidR="00E52A56" w14:paraId="629037AD"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A3E6A39" w14:textId="77777777" w:rsidR="00E52A56" w:rsidRDefault="00000000">
            <w:pPr>
              <w:spacing w:before="40" w:after="40"/>
            </w:pPr>
            <w:r>
              <w:rPr>
                <w:b/>
                <w:bCs/>
              </w:rPr>
              <w:t>11.</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77DD324" w14:textId="77777777" w:rsidR="00E52A56" w:rsidRDefault="00000000">
            <w:pPr>
              <w:spacing w:before="40" w:after="40"/>
            </w:pPr>
            <w:r>
              <w:rPr>
                <w:b/>
                <w:bCs/>
              </w:rPr>
              <w:t>Tabled Items</w:t>
            </w:r>
          </w:p>
          <w:p w14:paraId="5119DC07" w14:textId="77777777" w:rsidR="00E52A56" w:rsidRDefault="00000000">
            <w:pPr>
              <w:spacing w:before="40" w:after="40"/>
            </w:pPr>
            <w:r>
              <w:t>The following items were not taken up for discussion:</w:t>
            </w:r>
          </w:p>
          <w:p w14:paraId="681ACB1D" w14:textId="77777777" w:rsidR="00E52A56" w:rsidRDefault="00000000">
            <w:pPr>
              <w:spacing w:before="40" w:after="40"/>
            </w:pPr>
            <w:r>
              <w:t>• PGRR126 – Related to NPRR1284, Guaranteed Reliability Load Process (pending batch process)</w:t>
            </w:r>
          </w:p>
          <w:p w14:paraId="66EEF7D1" w14:textId="77777777" w:rsidR="00E52A56" w:rsidRDefault="00000000">
            <w:pPr>
              <w:spacing w:before="40" w:after="40"/>
            </w:pPr>
            <w:r>
              <w:t>• PGRR124 – ESR Maintenance Exception to Modifications (Chair to follow up with Tesla, the sponsor, ahead of June meeting)</w:t>
            </w:r>
          </w:p>
          <w:p w14:paraId="78A5F66C" w14:textId="77777777" w:rsidR="00E52A56" w:rsidRDefault="00000000">
            <w:pPr>
              <w:spacing w:before="40" w:after="40"/>
            </w:pPr>
            <w:r>
              <w:t>• PGRR122 – Reliability Performance Criteria for Loss of Load (tabled at ERCOT’s request pending Batch 0)</w:t>
            </w:r>
          </w:p>
          <w:p w14:paraId="11EB83D9" w14:textId="24BE806E" w:rsidR="00E52A56" w:rsidRDefault="00000000">
            <w:pPr>
              <w:spacing w:before="40" w:after="40"/>
            </w:pPr>
            <w:r>
              <w:t xml:space="preserve">Martha Henson (Oncor) requested that the June agenda include a review of PGRRs that may have become obsolete following </w:t>
            </w:r>
            <w:r w:rsidR="008B436C">
              <w:t xml:space="preserve">the </w:t>
            </w:r>
            <w:r>
              <w:t>passage of PGRR145. Chair agreed and identified PGRR134 and PGRR126 as likely withdrawal candidates, with follow-up to those sponsors planned prior to June.</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32DE3FE" w14:textId="77777777" w:rsidR="00E52A56" w:rsidRDefault="00000000">
            <w:pPr>
              <w:spacing w:before="40" w:after="40"/>
            </w:pPr>
            <w:r>
              <w:t>Chair</w:t>
            </w:r>
          </w:p>
        </w:tc>
      </w:tr>
      <w:tr w:rsidR="00E52A56" w14:paraId="69074B17" w14:textId="77777777">
        <w:tblPrEx>
          <w:tblCellMar>
            <w:top w:w="0" w:type="dxa"/>
            <w:bottom w:w="0" w:type="dxa"/>
          </w:tblCellMar>
        </w:tblPrEx>
        <w:tc>
          <w:tcPr>
            <w:tcW w:w="5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638D50" w14:textId="4ACFA0BD" w:rsidR="00E52A56" w:rsidRDefault="00000000">
            <w:pPr>
              <w:spacing w:before="40" w:after="40"/>
            </w:pPr>
            <w:r>
              <w:rPr>
                <w:b/>
                <w:bCs/>
              </w:rPr>
              <w:t>1</w:t>
            </w:r>
            <w:r w:rsidR="008B436C">
              <w:rPr>
                <w:b/>
                <w:bCs/>
              </w:rPr>
              <w:t>2</w:t>
            </w:r>
            <w:r>
              <w:rPr>
                <w:b/>
                <w:bCs/>
              </w:rPr>
              <w:t>.</w:t>
            </w:r>
          </w:p>
        </w:tc>
        <w:tc>
          <w:tcPr>
            <w:tcW w:w="76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230E976" w14:textId="77777777" w:rsidR="00E52A56" w:rsidRDefault="00000000">
            <w:pPr>
              <w:spacing w:before="40" w:after="40"/>
            </w:pPr>
            <w:r>
              <w:rPr>
                <w:b/>
                <w:bCs/>
              </w:rPr>
              <w:t>Adjourn</w:t>
            </w:r>
          </w:p>
          <w:p w14:paraId="097944F0" w14:textId="44AD9264" w:rsidR="00E52A56" w:rsidRDefault="00000000">
            <w:pPr>
              <w:spacing w:before="40" w:after="40"/>
            </w:pPr>
            <w:r>
              <w:t>Meeting adjourned. The next PLWG meeting is scheduled for June 24, 2026 (</w:t>
            </w:r>
            <w:r w:rsidR="008B436C">
              <w:t xml:space="preserve">the date referenced in the </w:t>
            </w:r>
            <w:r>
              <w:t>discussion for upcoming agenda items).</w:t>
            </w:r>
          </w:p>
        </w:tc>
        <w:tc>
          <w:tcPr>
            <w:tcW w:w="120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566257" w14:textId="77777777" w:rsidR="00E52A56" w:rsidRDefault="00000000">
            <w:pPr>
              <w:spacing w:before="40" w:after="40"/>
            </w:pPr>
            <w:r>
              <w:t>Chair</w:t>
            </w:r>
          </w:p>
        </w:tc>
      </w:tr>
    </w:tbl>
    <w:p w14:paraId="57D8A6FE" w14:textId="77777777" w:rsidR="00E52A56" w:rsidRDefault="00E52A56">
      <w:pPr>
        <w:spacing w:before="200"/>
      </w:pPr>
    </w:p>
    <w:p w14:paraId="2D8B3EDC" w14:textId="77777777" w:rsidR="00E52A56" w:rsidRDefault="00000000">
      <w:pPr>
        <w:jc w:val="right"/>
      </w:pPr>
      <w:r>
        <w:rPr>
          <w:color w:val="888888"/>
          <w:sz w:val="18"/>
          <w:szCs w:val="18"/>
        </w:rPr>
        <w:t>Page 1</w:t>
      </w:r>
    </w:p>
    <w:sectPr w:rsidR="00E52A56">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316C5"/>
    <w:multiLevelType w:val="hybridMultilevel"/>
    <w:tmpl w:val="4E326064"/>
    <w:lvl w:ilvl="0" w:tplc="3BD26512">
      <w:start w:val="1"/>
      <w:numFmt w:val="bullet"/>
      <w:lvlText w:val="●"/>
      <w:lvlJc w:val="left"/>
      <w:pPr>
        <w:ind w:left="720" w:hanging="360"/>
      </w:pPr>
    </w:lvl>
    <w:lvl w:ilvl="1" w:tplc="BA68BD4A">
      <w:start w:val="1"/>
      <w:numFmt w:val="bullet"/>
      <w:lvlText w:val="○"/>
      <w:lvlJc w:val="left"/>
      <w:pPr>
        <w:ind w:left="1440" w:hanging="360"/>
      </w:pPr>
    </w:lvl>
    <w:lvl w:ilvl="2" w:tplc="4D9CD5B8">
      <w:start w:val="1"/>
      <w:numFmt w:val="bullet"/>
      <w:lvlText w:val="■"/>
      <w:lvlJc w:val="left"/>
      <w:pPr>
        <w:ind w:left="2160" w:hanging="360"/>
      </w:pPr>
    </w:lvl>
    <w:lvl w:ilvl="3" w:tplc="9F00473C">
      <w:start w:val="1"/>
      <w:numFmt w:val="bullet"/>
      <w:lvlText w:val="●"/>
      <w:lvlJc w:val="left"/>
      <w:pPr>
        <w:ind w:left="2880" w:hanging="360"/>
      </w:pPr>
    </w:lvl>
    <w:lvl w:ilvl="4" w:tplc="6024DAC6">
      <w:start w:val="1"/>
      <w:numFmt w:val="bullet"/>
      <w:lvlText w:val="○"/>
      <w:lvlJc w:val="left"/>
      <w:pPr>
        <w:ind w:left="3600" w:hanging="360"/>
      </w:pPr>
    </w:lvl>
    <w:lvl w:ilvl="5" w:tplc="6A3CE75E">
      <w:start w:val="1"/>
      <w:numFmt w:val="bullet"/>
      <w:lvlText w:val="■"/>
      <w:lvlJc w:val="left"/>
      <w:pPr>
        <w:ind w:left="4320" w:hanging="360"/>
      </w:pPr>
    </w:lvl>
    <w:lvl w:ilvl="6" w:tplc="BCEEA78E">
      <w:start w:val="1"/>
      <w:numFmt w:val="bullet"/>
      <w:lvlText w:val="●"/>
      <w:lvlJc w:val="left"/>
      <w:pPr>
        <w:ind w:left="5040" w:hanging="360"/>
      </w:pPr>
    </w:lvl>
    <w:lvl w:ilvl="7" w:tplc="72C6A090">
      <w:start w:val="1"/>
      <w:numFmt w:val="bullet"/>
      <w:lvlText w:val="●"/>
      <w:lvlJc w:val="left"/>
      <w:pPr>
        <w:ind w:left="5760" w:hanging="360"/>
      </w:pPr>
    </w:lvl>
    <w:lvl w:ilvl="8" w:tplc="48369ACE">
      <w:start w:val="1"/>
      <w:numFmt w:val="bullet"/>
      <w:lvlText w:val="●"/>
      <w:lvlJc w:val="left"/>
      <w:pPr>
        <w:ind w:left="6480" w:hanging="360"/>
      </w:pPr>
    </w:lvl>
  </w:abstractNum>
  <w:num w:numId="1" w16cid:durableId="20644002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A56"/>
    <w:rsid w:val="0081692C"/>
    <w:rsid w:val="008B436C"/>
    <w:rsid w:val="00E52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8095"/>
  <w15:docId w15:val="{1459F45C-CBA5-4858-885F-DA306D26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1389</Words>
  <Characters>7670</Characters>
  <Application>Microsoft Office Word</Application>
  <DocSecurity>0</DocSecurity>
  <Lines>134</Lines>
  <Paragraphs>36</Paragraphs>
  <ScaleCrop>false</ScaleCrop>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Kiran Kota</cp:lastModifiedBy>
  <cp:revision>2</cp:revision>
  <dcterms:created xsi:type="dcterms:W3CDTF">2026-06-03T17:45:00Z</dcterms:created>
  <dcterms:modified xsi:type="dcterms:W3CDTF">2026-06-03T17:59:00Z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3b3f4716-5a9c-4a59-ab03-d5109bbcfd3b</vt:lpwstr>
  </property>
</Properties>
</file>