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490DF14C" w14:textId="77777777">
        <w:tc>
          <w:tcPr>
            <w:tcW w:w="1620" w:type="dxa"/>
            <w:tcBorders>
              <w:bottom w:val="single" w:sz="4" w:space="0" w:color="auto"/>
            </w:tcBorders>
            <w:shd w:val="clear" w:color="auto" w:fill="FFFFFF"/>
            <w:vAlign w:val="center"/>
          </w:tcPr>
          <w:p w14:paraId="375845A7"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5074EAEA" w14:textId="1E94F971" w:rsidR="00152993" w:rsidRDefault="007018D4">
            <w:pPr>
              <w:pStyle w:val="Header"/>
            </w:pPr>
            <w:hyperlink r:id="rId11" w:history="1">
              <w:r w:rsidRPr="00874F87">
                <w:rPr>
                  <w:rStyle w:val="Hyperlink"/>
                </w:rPr>
                <w:t>12</w:t>
              </w:r>
              <w:r w:rsidR="001C24B4" w:rsidRPr="00874F87">
                <w:rPr>
                  <w:rStyle w:val="Hyperlink"/>
                </w:rPr>
                <w:t>96</w:t>
              </w:r>
            </w:hyperlink>
          </w:p>
        </w:tc>
        <w:tc>
          <w:tcPr>
            <w:tcW w:w="900" w:type="dxa"/>
            <w:tcBorders>
              <w:bottom w:val="single" w:sz="4" w:space="0" w:color="auto"/>
            </w:tcBorders>
            <w:shd w:val="clear" w:color="auto" w:fill="FFFFFF"/>
            <w:vAlign w:val="center"/>
          </w:tcPr>
          <w:p w14:paraId="3064E548" w14:textId="77777777" w:rsidR="00152993" w:rsidRDefault="00EE6681">
            <w:pPr>
              <w:pStyle w:val="Header"/>
            </w:pPr>
            <w:r>
              <w:t>N</w:t>
            </w:r>
            <w:r w:rsidR="00152993">
              <w:t>PRR Title</w:t>
            </w:r>
          </w:p>
        </w:tc>
        <w:tc>
          <w:tcPr>
            <w:tcW w:w="6660" w:type="dxa"/>
            <w:tcBorders>
              <w:bottom w:val="single" w:sz="4" w:space="0" w:color="auto"/>
            </w:tcBorders>
            <w:vAlign w:val="center"/>
          </w:tcPr>
          <w:p w14:paraId="29BCBF91" w14:textId="140FC5D5" w:rsidR="00152993" w:rsidRDefault="00DA789F">
            <w:pPr>
              <w:pStyle w:val="Header"/>
            </w:pPr>
            <w:r w:rsidRPr="00DA789F">
              <w:t>Residential Demand Response Program</w:t>
            </w:r>
          </w:p>
        </w:tc>
      </w:tr>
      <w:tr w:rsidR="00152993" w14:paraId="4CE03059" w14:textId="77777777">
        <w:trPr>
          <w:trHeight w:val="413"/>
        </w:trPr>
        <w:tc>
          <w:tcPr>
            <w:tcW w:w="2880" w:type="dxa"/>
            <w:gridSpan w:val="2"/>
            <w:tcBorders>
              <w:top w:val="nil"/>
              <w:left w:val="nil"/>
              <w:bottom w:val="single" w:sz="4" w:space="0" w:color="auto"/>
              <w:right w:val="nil"/>
            </w:tcBorders>
            <w:vAlign w:val="center"/>
          </w:tcPr>
          <w:p w14:paraId="36EEBF5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0300298" w14:textId="77777777" w:rsidR="00152993" w:rsidRDefault="00152993">
            <w:pPr>
              <w:pStyle w:val="NormalArial"/>
            </w:pPr>
          </w:p>
        </w:tc>
      </w:tr>
      <w:tr w:rsidR="00152993" w14:paraId="094D0E7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FABA9D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9F675D" w14:textId="265949DE" w:rsidR="00152993" w:rsidRDefault="000B5A76">
            <w:pPr>
              <w:pStyle w:val="NormalArial"/>
            </w:pPr>
            <w:r>
              <w:t xml:space="preserve">June </w:t>
            </w:r>
            <w:r w:rsidR="00407017">
              <w:t>2</w:t>
            </w:r>
            <w:r w:rsidR="00874F87">
              <w:t xml:space="preserve">, </w:t>
            </w:r>
            <w:r w:rsidR="004E65BA">
              <w:t>202</w:t>
            </w:r>
            <w:r w:rsidR="00A916A9">
              <w:t>6</w:t>
            </w:r>
          </w:p>
        </w:tc>
      </w:tr>
      <w:tr w:rsidR="00152993" w14:paraId="26F0CB85" w14:textId="77777777">
        <w:trPr>
          <w:trHeight w:val="467"/>
        </w:trPr>
        <w:tc>
          <w:tcPr>
            <w:tcW w:w="2880" w:type="dxa"/>
            <w:gridSpan w:val="2"/>
            <w:tcBorders>
              <w:top w:val="single" w:sz="4" w:space="0" w:color="auto"/>
              <w:left w:val="nil"/>
              <w:bottom w:val="nil"/>
              <w:right w:val="nil"/>
            </w:tcBorders>
            <w:shd w:val="clear" w:color="auto" w:fill="FFFFFF"/>
            <w:vAlign w:val="center"/>
          </w:tcPr>
          <w:p w14:paraId="6C31919F" w14:textId="77777777" w:rsidR="00152993" w:rsidRDefault="00152993">
            <w:pPr>
              <w:pStyle w:val="NormalArial"/>
            </w:pPr>
          </w:p>
        </w:tc>
        <w:tc>
          <w:tcPr>
            <w:tcW w:w="7560" w:type="dxa"/>
            <w:gridSpan w:val="2"/>
            <w:tcBorders>
              <w:top w:val="nil"/>
              <w:left w:val="nil"/>
              <w:bottom w:val="nil"/>
              <w:right w:val="nil"/>
            </w:tcBorders>
            <w:vAlign w:val="center"/>
          </w:tcPr>
          <w:p w14:paraId="44AC7427" w14:textId="77777777" w:rsidR="00152993" w:rsidRDefault="00152993">
            <w:pPr>
              <w:pStyle w:val="NormalArial"/>
            </w:pPr>
          </w:p>
        </w:tc>
      </w:tr>
      <w:tr w:rsidR="00152993" w14:paraId="1DE825C1" w14:textId="77777777">
        <w:trPr>
          <w:trHeight w:val="440"/>
        </w:trPr>
        <w:tc>
          <w:tcPr>
            <w:tcW w:w="10440" w:type="dxa"/>
            <w:gridSpan w:val="4"/>
            <w:tcBorders>
              <w:top w:val="single" w:sz="4" w:space="0" w:color="auto"/>
            </w:tcBorders>
            <w:shd w:val="clear" w:color="auto" w:fill="FFFFFF"/>
            <w:vAlign w:val="center"/>
          </w:tcPr>
          <w:p w14:paraId="7EBC6E80" w14:textId="77777777" w:rsidR="00152993" w:rsidRDefault="00152993">
            <w:pPr>
              <w:pStyle w:val="Header"/>
              <w:jc w:val="center"/>
            </w:pPr>
            <w:r>
              <w:t>Submitter’s Information</w:t>
            </w:r>
          </w:p>
        </w:tc>
      </w:tr>
      <w:tr w:rsidR="00152993" w14:paraId="15315FD9" w14:textId="77777777">
        <w:trPr>
          <w:trHeight w:val="350"/>
        </w:trPr>
        <w:tc>
          <w:tcPr>
            <w:tcW w:w="2880" w:type="dxa"/>
            <w:gridSpan w:val="2"/>
            <w:shd w:val="clear" w:color="auto" w:fill="FFFFFF"/>
            <w:vAlign w:val="center"/>
          </w:tcPr>
          <w:p w14:paraId="6DFD1D53" w14:textId="77777777" w:rsidR="00152993" w:rsidRPr="00EC55B3" w:rsidRDefault="00152993" w:rsidP="00EC55B3">
            <w:pPr>
              <w:pStyle w:val="Header"/>
            </w:pPr>
            <w:r w:rsidRPr="00EC55B3">
              <w:t>Name</w:t>
            </w:r>
          </w:p>
        </w:tc>
        <w:tc>
          <w:tcPr>
            <w:tcW w:w="7560" w:type="dxa"/>
            <w:gridSpan w:val="2"/>
            <w:vAlign w:val="center"/>
          </w:tcPr>
          <w:p w14:paraId="225AEC8B" w14:textId="43EBCED9" w:rsidR="00152993" w:rsidRDefault="000A1BA5">
            <w:pPr>
              <w:pStyle w:val="NormalArial"/>
            </w:pPr>
            <w:r>
              <w:t>James Langdon</w:t>
            </w:r>
          </w:p>
        </w:tc>
      </w:tr>
      <w:tr w:rsidR="00152993" w14:paraId="3A5DA2E5" w14:textId="77777777">
        <w:trPr>
          <w:trHeight w:val="350"/>
        </w:trPr>
        <w:tc>
          <w:tcPr>
            <w:tcW w:w="2880" w:type="dxa"/>
            <w:gridSpan w:val="2"/>
            <w:shd w:val="clear" w:color="auto" w:fill="FFFFFF"/>
            <w:vAlign w:val="center"/>
          </w:tcPr>
          <w:p w14:paraId="2236C906" w14:textId="77777777" w:rsidR="00152993" w:rsidRPr="00EC55B3" w:rsidRDefault="00152993" w:rsidP="00EC55B3">
            <w:pPr>
              <w:pStyle w:val="Header"/>
            </w:pPr>
            <w:r w:rsidRPr="00EC55B3">
              <w:t>E-mail Address</w:t>
            </w:r>
          </w:p>
        </w:tc>
        <w:tc>
          <w:tcPr>
            <w:tcW w:w="7560" w:type="dxa"/>
            <w:gridSpan w:val="2"/>
            <w:vAlign w:val="center"/>
          </w:tcPr>
          <w:p w14:paraId="2ACA9FB5" w14:textId="390F329C" w:rsidR="00152993" w:rsidRDefault="00E31887">
            <w:pPr>
              <w:pStyle w:val="NormalArial"/>
            </w:pPr>
            <w:hyperlink r:id="rId12" w:history="1">
              <w:r w:rsidRPr="00E31887">
                <w:rPr>
                  <w:rStyle w:val="Hyperlink"/>
                </w:rPr>
                <w:t>james.langdon@vistracorp.com</w:t>
              </w:r>
            </w:hyperlink>
          </w:p>
        </w:tc>
      </w:tr>
      <w:tr w:rsidR="00152993" w14:paraId="5B613505" w14:textId="77777777">
        <w:trPr>
          <w:trHeight w:val="350"/>
        </w:trPr>
        <w:tc>
          <w:tcPr>
            <w:tcW w:w="2880" w:type="dxa"/>
            <w:gridSpan w:val="2"/>
            <w:shd w:val="clear" w:color="auto" w:fill="FFFFFF"/>
            <w:vAlign w:val="center"/>
          </w:tcPr>
          <w:p w14:paraId="353EF140" w14:textId="77777777" w:rsidR="00152993" w:rsidRPr="00EC55B3" w:rsidRDefault="00152993" w:rsidP="00EC55B3">
            <w:pPr>
              <w:pStyle w:val="Header"/>
            </w:pPr>
            <w:r w:rsidRPr="00EC55B3">
              <w:t>Company</w:t>
            </w:r>
          </w:p>
        </w:tc>
        <w:tc>
          <w:tcPr>
            <w:tcW w:w="7560" w:type="dxa"/>
            <w:gridSpan w:val="2"/>
            <w:vAlign w:val="center"/>
          </w:tcPr>
          <w:p w14:paraId="4AB9F7B8" w14:textId="325A2248" w:rsidR="00152993" w:rsidRDefault="009D1AFE">
            <w:pPr>
              <w:pStyle w:val="NormalArial"/>
            </w:pPr>
            <w:r w:rsidRPr="009D1AFE">
              <w:t>Vistra Operations Company LLC</w:t>
            </w:r>
          </w:p>
        </w:tc>
      </w:tr>
      <w:tr w:rsidR="00152993" w14:paraId="3A607E1C" w14:textId="77777777">
        <w:trPr>
          <w:trHeight w:val="350"/>
        </w:trPr>
        <w:tc>
          <w:tcPr>
            <w:tcW w:w="2880" w:type="dxa"/>
            <w:gridSpan w:val="2"/>
            <w:tcBorders>
              <w:bottom w:val="single" w:sz="4" w:space="0" w:color="auto"/>
            </w:tcBorders>
            <w:shd w:val="clear" w:color="auto" w:fill="FFFFFF"/>
            <w:vAlign w:val="center"/>
          </w:tcPr>
          <w:p w14:paraId="3B3BDF3A"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2EF88D1" w14:textId="72D1D662" w:rsidR="00152993" w:rsidRDefault="00152993">
            <w:pPr>
              <w:pStyle w:val="NormalArial"/>
            </w:pPr>
          </w:p>
        </w:tc>
      </w:tr>
      <w:tr w:rsidR="00152993" w14:paraId="32592C20" w14:textId="77777777">
        <w:trPr>
          <w:trHeight w:val="350"/>
        </w:trPr>
        <w:tc>
          <w:tcPr>
            <w:tcW w:w="2880" w:type="dxa"/>
            <w:gridSpan w:val="2"/>
            <w:shd w:val="clear" w:color="auto" w:fill="FFFFFF"/>
            <w:vAlign w:val="center"/>
          </w:tcPr>
          <w:p w14:paraId="22D2DD41"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E7ED25E" w14:textId="5EF69EA8" w:rsidR="00152993" w:rsidRDefault="00190044">
            <w:pPr>
              <w:pStyle w:val="NormalArial"/>
            </w:pPr>
            <w:r w:rsidRPr="00190044">
              <w:t>202-494-6348</w:t>
            </w:r>
          </w:p>
        </w:tc>
      </w:tr>
      <w:tr w:rsidR="00075A94" w14:paraId="4C9A1008" w14:textId="77777777">
        <w:trPr>
          <w:trHeight w:val="350"/>
        </w:trPr>
        <w:tc>
          <w:tcPr>
            <w:tcW w:w="2880" w:type="dxa"/>
            <w:gridSpan w:val="2"/>
            <w:tcBorders>
              <w:bottom w:val="single" w:sz="4" w:space="0" w:color="auto"/>
            </w:tcBorders>
            <w:shd w:val="clear" w:color="auto" w:fill="FFFFFF"/>
            <w:vAlign w:val="center"/>
          </w:tcPr>
          <w:p w14:paraId="21FEA882"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19357BF" w14:textId="1DF82BA4" w:rsidR="00075A94" w:rsidRDefault="004E65BA">
            <w:pPr>
              <w:pStyle w:val="NormalArial"/>
            </w:pPr>
            <w:r>
              <w:t>I</w:t>
            </w:r>
            <w:r w:rsidR="00DA789F">
              <w:t>ndependent</w:t>
            </w:r>
            <w:r w:rsidR="00527711" w:rsidRPr="00527711">
              <w:t xml:space="preserve"> Generator</w:t>
            </w:r>
          </w:p>
        </w:tc>
      </w:tr>
    </w:tbl>
    <w:p w14:paraId="559C168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74F87" w14:paraId="71EAC635" w14:textId="77777777" w:rsidTr="00861847">
        <w:trPr>
          <w:trHeight w:val="350"/>
        </w:trPr>
        <w:tc>
          <w:tcPr>
            <w:tcW w:w="10440" w:type="dxa"/>
            <w:tcBorders>
              <w:bottom w:val="single" w:sz="4" w:space="0" w:color="auto"/>
            </w:tcBorders>
            <w:shd w:val="clear" w:color="auto" w:fill="FFFFFF" w:themeFill="background1"/>
            <w:vAlign w:val="center"/>
          </w:tcPr>
          <w:p w14:paraId="768F48DA" w14:textId="77777777" w:rsidR="00874F87" w:rsidRDefault="00874F87" w:rsidP="00861847">
            <w:pPr>
              <w:pStyle w:val="Header"/>
              <w:jc w:val="center"/>
            </w:pPr>
            <w:r>
              <w:t>Comments</w:t>
            </w:r>
          </w:p>
        </w:tc>
      </w:tr>
    </w:tbl>
    <w:p w14:paraId="11E8A3F1" w14:textId="77777777" w:rsidR="00152993" w:rsidRDefault="00152993">
      <w:pPr>
        <w:pStyle w:val="NormalArial"/>
      </w:pPr>
    </w:p>
    <w:p w14:paraId="588ADF37" w14:textId="7EF83FB7" w:rsidR="00B91050" w:rsidRDefault="00C80D36" w:rsidP="00B91050">
      <w:pPr>
        <w:pStyle w:val="NormalArial"/>
      </w:pPr>
      <w:r>
        <w:t xml:space="preserve">Vistra Operations Company LLC (Vistra) </w:t>
      </w:r>
      <w:r w:rsidR="003E25B1">
        <w:t xml:space="preserve">offers these limited </w:t>
      </w:r>
      <w:r w:rsidR="00B91050">
        <w:t>comment</w:t>
      </w:r>
      <w:r w:rsidR="003E25B1">
        <w:t>s in response to Reliant Energy Retail Services LLC’s (Reliant’s) May 27, 2026 comments</w:t>
      </w:r>
      <w:r w:rsidR="00B91050">
        <w:t xml:space="preserve"> on </w:t>
      </w:r>
      <w:r w:rsidR="00B131E5">
        <w:t>Nodal Protocol Revision Request (NPRR) 1296.</w:t>
      </w:r>
      <w:r w:rsidR="00EC78E2">
        <w:rPr>
          <w:rStyle w:val="FootnoteReference"/>
        </w:rPr>
        <w:footnoteReference w:id="1"/>
      </w:r>
      <w:r w:rsidR="00B131E5">
        <w:t xml:space="preserve">  </w:t>
      </w:r>
      <w:r w:rsidR="00B91050">
        <w:t xml:space="preserve">Vistra appreciates the substantial </w:t>
      </w:r>
      <w:r w:rsidR="003E25B1">
        <w:t xml:space="preserve">discussion regarding the appropriate strategic approach for encouraging greater </w:t>
      </w:r>
      <w:r w:rsidR="00B91050">
        <w:t xml:space="preserve">residential demand response </w:t>
      </w:r>
      <w:r w:rsidR="00606914">
        <w:t xml:space="preserve">(DR) </w:t>
      </w:r>
      <w:r w:rsidR="003E25B1">
        <w:t xml:space="preserve">participation in the ERCOT market </w:t>
      </w:r>
      <w:r w:rsidR="00B91050">
        <w:t>and to explore whether there is a constructive path forward</w:t>
      </w:r>
      <w:r w:rsidR="003E25B1">
        <w:t xml:space="preserve"> on NPRR1296 or a different approach is better suited for the ERCOT market structure</w:t>
      </w:r>
      <w:r w:rsidR="00B91050">
        <w:t xml:space="preserve">. Vistra continues to </w:t>
      </w:r>
      <w:r w:rsidR="008F2657">
        <w:t>assert</w:t>
      </w:r>
      <w:r w:rsidR="00B91050">
        <w:t xml:space="preserve"> that a new administrative program is </w:t>
      </w:r>
      <w:r w:rsidR="008F2657">
        <w:t xml:space="preserve">not </w:t>
      </w:r>
      <w:r w:rsidR="00B91050">
        <w:t>needed</w:t>
      </w:r>
      <w:r w:rsidR="008F2657">
        <w:t xml:space="preserve"> outside of the same </w:t>
      </w:r>
      <w:proofErr w:type="gramStart"/>
      <w:r w:rsidR="008F2657">
        <w:t>price</w:t>
      </w:r>
      <w:proofErr w:type="gramEnd"/>
      <w:r w:rsidR="008F2657">
        <w:t xml:space="preserve"> response to wholesale market signals that other loads and resources are economically governed by. However</w:t>
      </w:r>
      <w:r w:rsidR="00B91050">
        <w:t xml:space="preserve">, in the spirit of narrowing issues and </w:t>
      </w:r>
      <w:r w:rsidR="008F2657">
        <w:t xml:space="preserve">constructive dialogue, Vistra offers design </w:t>
      </w:r>
      <w:r w:rsidR="007D58BD">
        <w:t>considerations for an out-of-market program that would be less in</w:t>
      </w:r>
      <w:r w:rsidR="00B91050">
        <w:t xml:space="preserve">consistent with ERCOT’s </w:t>
      </w:r>
      <w:r w:rsidR="007D58BD">
        <w:t xml:space="preserve">current </w:t>
      </w:r>
      <w:r w:rsidR="00B91050">
        <w:t>market design.</w:t>
      </w:r>
    </w:p>
    <w:p w14:paraId="62A21C64" w14:textId="77777777" w:rsidR="00B91050" w:rsidRDefault="00B91050" w:rsidP="00B91050">
      <w:pPr>
        <w:pStyle w:val="NormalArial"/>
      </w:pPr>
    </w:p>
    <w:p w14:paraId="00281940" w14:textId="47DDF719" w:rsidR="00B91050" w:rsidRDefault="00B91050" w:rsidP="00B91050">
      <w:pPr>
        <w:pStyle w:val="NormalArial"/>
      </w:pPr>
      <w:r>
        <w:t>Vistra supports residential demand response, and other forms of load flexibility, when integrated properly</w:t>
      </w:r>
      <w:r w:rsidR="003D4DC6">
        <w:t xml:space="preserve"> into the market structure</w:t>
      </w:r>
      <w:r>
        <w:t xml:space="preserve">. The question is not whether demand response can contribute to reliability. It can. The question is </w:t>
      </w:r>
      <w:r w:rsidRPr="00EE2292">
        <w:rPr>
          <w:i/>
          <w:iCs/>
        </w:rPr>
        <w:t>how</w:t>
      </w:r>
      <w:r>
        <w:t xml:space="preserve"> to enable that capability in a manner that preserves efficient price formation, maintains a level playing field for all qualified resources, and avoids unnecessary new distortions, administrative complexity, and cross-subsidies.</w:t>
      </w:r>
    </w:p>
    <w:p w14:paraId="1D5D5577" w14:textId="77777777" w:rsidR="00B91050" w:rsidRDefault="00B91050" w:rsidP="00B91050">
      <w:pPr>
        <w:pStyle w:val="NormalArial"/>
      </w:pPr>
    </w:p>
    <w:p w14:paraId="20A465F7" w14:textId="65AD6394" w:rsidR="00B91050" w:rsidRDefault="00B91050" w:rsidP="00B91050">
      <w:pPr>
        <w:pStyle w:val="NormalArial"/>
      </w:pPr>
      <w:r>
        <w:t>NPRR1296</w:t>
      </w:r>
      <w:r w:rsidR="00855F48">
        <w:t xml:space="preserve"> </w:t>
      </w:r>
      <w:r>
        <w:t xml:space="preserve">is </w:t>
      </w:r>
      <w:r w:rsidR="003D4DC6">
        <w:t xml:space="preserve">neither </w:t>
      </w:r>
      <w:r>
        <w:t xml:space="preserve">necessary </w:t>
      </w:r>
      <w:r w:rsidR="003D4DC6">
        <w:t xml:space="preserve">nor sufficient </w:t>
      </w:r>
      <w:r>
        <w:t xml:space="preserve">to achieve those objectives. Natural price response better aligns with ERCOT’s </w:t>
      </w:r>
      <w:r w:rsidR="003D4DC6">
        <w:t xml:space="preserve">current </w:t>
      </w:r>
      <w:r>
        <w:t xml:space="preserve">market design because it allows both supply-side and demand-side resources to respond to the same price signal. As Vistra </w:t>
      </w:r>
      <w:r w:rsidR="00862280">
        <w:t xml:space="preserve">has </w:t>
      </w:r>
      <w:r>
        <w:t xml:space="preserve">stated previously, </w:t>
      </w:r>
      <w:r w:rsidRPr="00743563">
        <w:t xml:space="preserve">“real-time prices provide a fairer, market-based signal to all flexible resources, not just residential DR,” and “residential DR should be done through </w:t>
      </w:r>
      <w:r w:rsidRPr="00743563">
        <w:lastRenderedPageBreak/>
        <w:t>a broader market design reform that incentivizes supply and demand with the same price signal.”</w:t>
      </w:r>
      <w:r w:rsidR="003D4DC6" w:rsidRPr="003D4DC6">
        <w:rPr>
          <w:rStyle w:val="FootnoteReference"/>
        </w:rPr>
        <w:t xml:space="preserve"> </w:t>
      </w:r>
      <w:r w:rsidR="003D4DC6">
        <w:rPr>
          <w:rStyle w:val="FootnoteReference"/>
        </w:rPr>
        <w:footnoteReference w:id="2"/>
      </w:r>
      <w:r w:rsidRPr="00743563">
        <w:t xml:space="preserve"> </w:t>
      </w:r>
      <w:r w:rsidR="003D4DC6">
        <w:t xml:space="preserve">Residential DR, therefore </w:t>
      </w:r>
      <w:r w:rsidRPr="00743563">
        <w:t xml:space="preserve">could be pursued more </w:t>
      </w:r>
      <w:r w:rsidR="001E19C8">
        <w:t xml:space="preserve">effectively and efficiently </w:t>
      </w:r>
      <w:r>
        <w:t xml:space="preserve">through adjustments to scarcity pricing parameters, </w:t>
      </w:r>
      <w:r w:rsidR="001E19C8">
        <w:t>including the Ancillary Service Demand Curves (</w:t>
      </w:r>
      <w:r>
        <w:t>ASDCs</w:t>
      </w:r>
      <w:r w:rsidR="001E19C8">
        <w:t>)</w:t>
      </w:r>
      <w:r>
        <w:t xml:space="preserve"> </w:t>
      </w:r>
      <w:r w:rsidR="001E19C8">
        <w:t xml:space="preserve">and wholesale market </w:t>
      </w:r>
      <w:r>
        <w:t>price caps, without creating additional settlement infrastructure</w:t>
      </w:r>
      <w:r w:rsidR="00CB7955">
        <w:t xml:space="preserve"> </w:t>
      </w:r>
      <w:r>
        <w:t>or a separate administratively designed compensation regime</w:t>
      </w:r>
      <w:r w:rsidR="00484D7D">
        <w:t xml:space="preserve"> (and the FTEs to support them)</w:t>
      </w:r>
      <w:r>
        <w:t xml:space="preserve">. ERCOT will also continue to receive additional information regarding retail demand response activity through </w:t>
      </w:r>
      <w:r w:rsidR="001E19C8">
        <w:t xml:space="preserve">the </w:t>
      </w:r>
      <w:r>
        <w:t>reporting</w:t>
      </w:r>
      <w:r w:rsidR="001E19C8">
        <w:t xml:space="preserve"> required by 16 TAC </w:t>
      </w:r>
      <w:r w:rsidR="001E19C8">
        <w:rPr>
          <w:rFonts w:cs="Arial"/>
        </w:rPr>
        <w:t>§</w:t>
      </w:r>
      <w:r w:rsidR="001E19C8">
        <w:t xml:space="preserve"> 25.186</w:t>
      </w:r>
      <w:r w:rsidR="00EC78E2">
        <w:t xml:space="preserve"> and NPRR1291</w:t>
      </w:r>
      <w:r>
        <w:t>, further reducing the need to create a new standalone program to observe or measure this capability.</w:t>
      </w:r>
    </w:p>
    <w:p w14:paraId="5DE86B47" w14:textId="77777777" w:rsidR="00B91050" w:rsidRDefault="00B91050" w:rsidP="00B91050">
      <w:pPr>
        <w:pStyle w:val="NormalArial"/>
      </w:pPr>
    </w:p>
    <w:p w14:paraId="27FA3712" w14:textId="69AD7D9B" w:rsidR="0095520E" w:rsidRDefault="00B91050" w:rsidP="00CF2F21">
      <w:pPr>
        <w:pStyle w:val="NormalArial"/>
      </w:pPr>
      <w:r>
        <w:t xml:space="preserve">Reliant’s </w:t>
      </w:r>
      <w:r w:rsidRPr="00057C98">
        <w:t>comments</w:t>
      </w:r>
      <w:r w:rsidR="00242806">
        <w:t xml:space="preserve"> </w:t>
      </w:r>
      <w:r w:rsidR="00057C98">
        <w:t>from</w:t>
      </w:r>
      <w:r w:rsidR="00242806">
        <w:t xml:space="preserve"> May 27</w:t>
      </w:r>
      <w:r w:rsidR="00262043">
        <w:t xml:space="preserve">, </w:t>
      </w:r>
      <w:proofErr w:type="gramStart"/>
      <w:r w:rsidR="00262043">
        <w:t>2026</w:t>
      </w:r>
      <w:proofErr w:type="gramEnd"/>
      <w:r>
        <w:t xml:space="preserve"> </w:t>
      </w:r>
      <w:r w:rsidR="00783D4F">
        <w:t xml:space="preserve">lay out </w:t>
      </w:r>
      <w:r w:rsidR="006D38EF">
        <w:t xml:space="preserve">three </w:t>
      </w:r>
      <w:r w:rsidR="00FE7503">
        <w:t xml:space="preserve">design </w:t>
      </w:r>
      <w:r w:rsidR="006C5499">
        <w:t>principles</w:t>
      </w:r>
      <w:r w:rsidR="00FE7503">
        <w:t xml:space="preserve"> </w:t>
      </w:r>
      <w:r w:rsidR="00076FA8">
        <w:t xml:space="preserve">for </w:t>
      </w:r>
      <w:r w:rsidR="00840138">
        <w:t xml:space="preserve">an </w:t>
      </w:r>
      <w:r w:rsidR="006D38EF">
        <w:t>alternative</w:t>
      </w:r>
      <w:r w:rsidR="00076FA8">
        <w:t xml:space="preserve"> structure</w:t>
      </w:r>
      <w:r w:rsidR="00840138">
        <w:t xml:space="preserve"> to NPRR1296</w:t>
      </w:r>
      <w:r w:rsidR="00076FA8">
        <w:t xml:space="preserve">. </w:t>
      </w:r>
      <w:r w:rsidR="00840138">
        <w:t xml:space="preserve">In large part, </w:t>
      </w:r>
      <w:r w:rsidR="00076FA8">
        <w:t>Vistra agrees</w:t>
      </w:r>
      <w:r w:rsidR="00FC5A1A">
        <w:t xml:space="preserve"> with those principles</w:t>
      </w:r>
      <w:r w:rsidR="00EC78E2">
        <w:t xml:space="preserve"> and notes that</w:t>
      </w:r>
      <w:r w:rsidR="00FC5A1A">
        <w:t xml:space="preserve"> </w:t>
      </w:r>
      <w:r w:rsidR="00EC78E2">
        <w:t>n</w:t>
      </w:r>
      <w:r w:rsidR="002139AE">
        <w:t xml:space="preserve">atural price </w:t>
      </w:r>
      <w:r w:rsidR="00F975F0">
        <w:t xml:space="preserve">response </w:t>
      </w:r>
      <w:r w:rsidR="003E71A9">
        <w:t xml:space="preserve">is </w:t>
      </w:r>
      <w:proofErr w:type="gramStart"/>
      <w:r w:rsidR="00EC78E2" w:rsidRPr="00A129B9">
        <w:rPr>
          <w:i/>
          <w:iCs/>
        </w:rPr>
        <w:t>better</w:t>
      </w:r>
      <w:r w:rsidR="00EC78E2">
        <w:t>-</w:t>
      </w:r>
      <w:r w:rsidR="003E71A9">
        <w:t>aligned</w:t>
      </w:r>
      <w:proofErr w:type="gramEnd"/>
      <w:r w:rsidR="003E71A9">
        <w:t xml:space="preserve"> with </w:t>
      </w:r>
      <w:r w:rsidR="00EC78E2">
        <w:t xml:space="preserve">all three of </w:t>
      </w:r>
      <w:r w:rsidR="002319C2">
        <w:t xml:space="preserve">Reliant’s </w:t>
      </w:r>
      <w:r w:rsidR="00EC78E2">
        <w:t xml:space="preserve">enumerated </w:t>
      </w:r>
      <w:r w:rsidR="002319C2">
        <w:t>principles</w:t>
      </w:r>
      <w:r w:rsidR="00EC78E2">
        <w:t xml:space="preserve"> than NPRR1296</w:t>
      </w:r>
      <w:r w:rsidR="002319C2">
        <w:t xml:space="preserve">, namely: </w:t>
      </w:r>
    </w:p>
    <w:p w14:paraId="14FB74A5" w14:textId="77777777" w:rsidR="00217C1D" w:rsidRDefault="00217C1D" w:rsidP="00CF2F21">
      <w:pPr>
        <w:pStyle w:val="NormalArial"/>
      </w:pPr>
    </w:p>
    <w:tbl>
      <w:tblPr>
        <w:tblStyle w:val="TableGrid"/>
        <w:tblW w:w="0" w:type="auto"/>
        <w:tblLook w:val="04A0" w:firstRow="1" w:lastRow="0" w:firstColumn="1" w:lastColumn="0" w:noHBand="0" w:noVBand="1"/>
      </w:tblPr>
      <w:tblGrid>
        <w:gridCol w:w="3116"/>
        <w:gridCol w:w="3117"/>
        <w:gridCol w:w="3117"/>
      </w:tblGrid>
      <w:tr w:rsidR="00EC78E2" w14:paraId="5470C915" w14:textId="77777777" w:rsidTr="00EC78E2">
        <w:tc>
          <w:tcPr>
            <w:tcW w:w="3116" w:type="dxa"/>
          </w:tcPr>
          <w:p w14:paraId="384B27F9" w14:textId="4D874764" w:rsidR="00EC78E2" w:rsidRPr="00A129B9" w:rsidRDefault="00EC78E2" w:rsidP="00CF2F21">
            <w:pPr>
              <w:pStyle w:val="NormalArial"/>
              <w:rPr>
                <w:b/>
                <w:bCs/>
              </w:rPr>
            </w:pPr>
            <w:r w:rsidRPr="00A129B9">
              <w:rPr>
                <w:b/>
                <w:bCs/>
              </w:rPr>
              <w:t>Reliant-enumerated principle</w:t>
            </w:r>
          </w:p>
        </w:tc>
        <w:tc>
          <w:tcPr>
            <w:tcW w:w="3117" w:type="dxa"/>
          </w:tcPr>
          <w:p w14:paraId="36495DD7" w14:textId="18D4C91C" w:rsidR="00EC78E2" w:rsidRPr="00A129B9" w:rsidRDefault="00EC78E2" w:rsidP="00CF2F21">
            <w:pPr>
              <w:pStyle w:val="NormalArial"/>
              <w:rPr>
                <w:b/>
                <w:bCs/>
              </w:rPr>
            </w:pPr>
            <w:r w:rsidRPr="00A129B9">
              <w:rPr>
                <w:b/>
                <w:bCs/>
              </w:rPr>
              <w:t>NPRR1296 consistency</w:t>
            </w:r>
          </w:p>
        </w:tc>
        <w:tc>
          <w:tcPr>
            <w:tcW w:w="3117" w:type="dxa"/>
          </w:tcPr>
          <w:p w14:paraId="37A1C78A" w14:textId="43CA87E5" w:rsidR="00EC78E2" w:rsidRPr="00A129B9" w:rsidRDefault="00EC78E2" w:rsidP="00CF2F21">
            <w:pPr>
              <w:pStyle w:val="NormalArial"/>
              <w:rPr>
                <w:b/>
                <w:bCs/>
              </w:rPr>
            </w:pPr>
            <w:r w:rsidRPr="00A129B9">
              <w:rPr>
                <w:b/>
                <w:bCs/>
              </w:rPr>
              <w:t>Natural price response consistency</w:t>
            </w:r>
          </w:p>
        </w:tc>
      </w:tr>
      <w:tr w:rsidR="00EC78E2" w14:paraId="3E03AE47" w14:textId="77777777" w:rsidTr="00EC78E2">
        <w:tc>
          <w:tcPr>
            <w:tcW w:w="3116" w:type="dxa"/>
          </w:tcPr>
          <w:p w14:paraId="05DEFD34" w14:textId="19CC798B" w:rsidR="00EC78E2" w:rsidRPr="00A129B9" w:rsidRDefault="00CA03D1" w:rsidP="00CA03D1">
            <w:pPr>
              <w:pStyle w:val="NormalArial"/>
              <w:rPr>
                <w:sz w:val="18"/>
                <w:szCs w:val="18"/>
              </w:rPr>
            </w:pPr>
            <w:r w:rsidRPr="000B5A76">
              <w:rPr>
                <w:b/>
                <w:bCs/>
                <w:sz w:val="18"/>
                <w:szCs w:val="18"/>
              </w:rPr>
              <w:t>1)</w:t>
            </w:r>
            <w:r>
              <w:rPr>
                <w:sz w:val="18"/>
                <w:szCs w:val="18"/>
              </w:rPr>
              <w:t xml:space="preserve"> </w:t>
            </w:r>
            <w:r w:rsidR="00EC78E2" w:rsidRPr="00A129B9">
              <w:rPr>
                <w:sz w:val="18"/>
                <w:szCs w:val="18"/>
              </w:rPr>
              <w:t>“</w:t>
            </w:r>
            <w:r w:rsidR="00EC78E2" w:rsidRPr="00A129B9">
              <w:rPr>
                <w:i/>
                <w:iCs/>
                <w:sz w:val="18"/>
                <w:szCs w:val="18"/>
              </w:rPr>
              <w:t xml:space="preserve">The program should be </w:t>
            </w:r>
            <w:r w:rsidR="00EC78E2" w:rsidRPr="00A129B9">
              <w:rPr>
                <w:b/>
                <w:bCs/>
                <w:i/>
                <w:iCs/>
                <w:sz w:val="18"/>
                <w:szCs w:val="18"/>
              </w:rPr>
              <w:t>designed for Retail Electric Providers (REPs) or Load-Serving Entities (LSEs)</w:t>
            </w:r>
            <w:r w:rsidR="00EC78E2" w:rsidRPr="00A129B9">
              <w:rPr>
                <w:i/>
                <w:iCs/>
                <w:sz w:val="18"/>
                <w:szCs w:val="18"/>
              </w:rPr>
              <w:t xml:space="preserve"> in order </w:t>
            </w:r>
            <w:r w:rsidR="00EC78E2" w:rsidRPr="00A129B9">
              <w:rPr>
                <w:b/>
                <w:bCs/>
                <w:i/>
                <w:iCs/>
                <w:sz w:val="18"/>
                <w:szCs w:val="18"/>
              </w:rPr>
              <w:t>to</w:t>
            </w:r>
            <w:r w:rsidR="00EC78E2" w:rsidRPr="00A129B9">
              <w:rPr>
                <w:i/>
                <w:iCs/>
                <w:sz w:val="18"/>
                <w:szCs w:val="18"/>
              </w:rPr>
              <w:t xml:space="preserve"> </w:t>
            </w:r>
            <w:r w:rsidR="00EC78E2" w:rsidRPr="00A129B9">
              <w:rPr>
                <w:b/>
                <w:bCs/>
                <w:i/>
                <w:iCs/>
                <w:sz w:val="18"/>
                <w:szCs w:val="18"/>
              </w:rPr>
              <w:t>maintain customer protection requirements and align incentives</w:t>
            </w:r>
            <w:r w:rsidR="00EC78E2" w:rsidRPr="00A129B9">
              <w:rPr>
                <w:i/>
                <w:iCs/>
                <w:sz w:val="18"/>
                <w:szCs w:val="18"/>
              </w:rPr>
              <w:t xml:space="preserve"> properly”</w:t>
            </w:r>
          </w:p>
        </w:tc>
        <w:tc>
          <w:tcPr>
            <w:tcW w:w="3117" w:type="dxa"/>
          </w:tcPr>
          <w:p w14:paraId="56A46DCF" w14:textId="63EA3645" w:rsidR="00EC78E2" w:rsidRPr="00A129B9" w:rsidRDefault="00EC78E2" w:rsidP="00CF2F21">
            <w:pPr>
              <w:pStyle w:val="NormalArial"/>
              <w:rPr>
                <w:sz w:val="18"/>
                <w:szCs w:val="18"/>
              </w:rPr>
            </w:pPr>
            <w:r w:rsidRPr="00A129B9">
              <w:rPr>
                <w:b/>
                <w:bCs/>
                <w:sz w:val="18"/>
                <w:szCs w:val="18"/>
              </w:rPr>
              <w:t>Yes</w:t>
            </w:r>
            <w:r w:rsidR="00D26AF6" w:rsidRPr="00A129B9">
              <w:rPr>
                <w:b/>
                <w:bCs/>
                <w:sz w:val="18"/>
                <w:szCs w:val="18"/>
              </w:rPr>
              <w:t>.</w:t>
            </w:r>
            <w:r w:rsidR="00D26AF6" w:rsidRPr="00A129B9">
              <w:rPr>
                <w:sz w:val="18"/>
                <w:szCs w:val="18"/>
              </w:rPr>
              <w:t xml:space="preserve"> NPRR1296 is specifically designed for REPs and LSEs.</w:t>
            </w:r>
          </w:p>
        </w:tc>
        <w:tc>
          <w:tcPr>
            <w:tcW w:w="3117" w:type="dxa"/>
          </w:tcPr>
          <w:p w14:paraId="7D1587B2" w14:textId="6E0F84AD" w:rsidR="00EC78E2" w:rsidRPr="00A129B9" w:rsidRDefault="00D26AF6" w:rsidP="00CF2F21">
            <w:pPr>
              <w:pStyle w:val="NormalArial"/>
              <w:rPr>
                <w:sz w:val="18"/>
                <w:szCs w:val="18"/>
              </w:rPr>
            </w:pPr>
            <w:r w:rsidRPr="00A129B9">
              <w:rPr>
                <w:b/>
                <w:bCs/>
                <w:sz w:val="18"/>
                <w:szCs w:val="18"/>
              </w:rPr>
              <w:t>Yes.</w:t>
            </w:r>
            <w:r w:rsidRPr="00A129B9">
              <w:rPr>
                <w:sz w:val="18"/>
                <w:szCs w:val="18"/>
              </w:rPr>
              <w:t xml:space="preserve"> REPs and LSEs are naturally exposed to wholesale market prices and must manage that exposure through financial and physical hedging tools, which include Residential DR. </w:t>
            </w:r>
          </w:p>
        </w:tc>
      </w:tr>
      <w:tr w:rsidR="00EC78E2" w14:paraId="2DF85DEA" w14:textId="77777777" w:rsidTr="00EC78E2">
        <w:tc>
          <w:tcPr>
            <w:tcW w:w="3116" w:type="dxa"/>
          </w:tcPr>
          <w:p w14:paraId="2E41A1F3" w14:textId="27549535" w:rsidR="00EC78E2" w:rsidRPr="00A129B9" w:rsidRDefault="00CA03D1" w:rsidP="00CF2F21">
            <w:pPr>
              <w:pStyle w:val="NormalArial"/>
              <w:rPr>
                <w:sz w:val="18"/>
                <w:szCs w:val="18"/>
              </w:rPr>
            </w:pPr>
            <w:r>
              <w:rPr>
                <w:b/>
                <w:bCs/>
                <w:sz w:val="18"/>
                <w:szCs w:val="18"/>
              </w:rPr>
              <w:t xml:space="preserve">2) </w:t>
            </w:r>
            <w:r w:rsidR="00EC78E2" w:rsidRPr="00A129B9">
              <w:rPr>
                <w:sz w:val="18"/>
                <w:szCs w:val="18"/>
              </w:rPr>
              <w:t>“</w:t>
            </w:r>
            <w:r w:rsidR="00EC78E2" w:rsidRPr="00A129B9">
              <w:rPr>
                <w:i/>
                <w:iCs/>
                <w:sz w:val="18"/>
                <w:szCs w:val="18"/>
              </w:rPr>
              <w:t xml:space="preserve">the program should have </w:t>
            </w:r>
            <w:r w:rsidR="00EC78E2" w:rsidRPr="00A129B9">
              <w:rPr>
                <w:b/>
                <w:bCs/>
                <w:i/>
                <w:iCs/>
                <w:sz w:val="18"/>
                <w:szCs w:val="18"/>
              </w:rPr>
              <w:t>strong ‘pay-for-performance’ incentives</w:t>
            </w:r>
            <w:r w:rsidR="00EC78E2" w:rsidRPr="00A129B9">
              <w:rPr>
                <w:i/>
                <w:iCs/>
                <w:sz w:val="18"/>
                <w:szCs w:val="18"/>
              </w:rPr>
              <w:t>”</w:t>
            </w:r>
          </w:p>
        </w:tc>
        <w:tc>
          <w:tcPr>
            <w:tcW w:w="3117" w:type="dxa"/>
          </w:tcPr>
          <w:p w14:paraId="26EEBE0C" w14:textId="0652BE7D" w:rsidR="00EC78E2" w:rsidRPr="00A129B9" w:rsidRDefault="00EC78E2" w:rsidP="00CF2F21">
            <w:pPr>
              <w:pStyle w:val="NormalArial"/>
              <w:rPr>
                <w:sz w:val="18"/>
                <w:szCs w:val="18"/>
              </w:rPr>
            </w:pPr>
            <w:r w:rsidRPr="00A129B9">
              <w:rPr>
                <w:b/>
                <w:bCs/>
                <w:sz w:val="18"/>
                <w:szCs w:val="18"/>
              </w:rPr>
              <w:t>No.</w:t>
            </w:r>
            <w:r w:rsidRPr="00A129B9">
              <w:rPr>
                <w:sz w:val="18"/>
                <w:szCs w:val="18"/>
              </w:rPr>
              <w:t xml:space="preserve"> NPRR1296 does incentivize behavior, but not </w:t>
            </w:r>
            <w:r w:rsidR="00D26AF6" w:rsidRPr="00A129B9">
              <w:rPr>
                <w:sz w:val="18"/>
                <w:szCs w:val="18"/>
              </w:rPr>
              <w:t>necessarily that aligns performance with system needs.</w:t>
            </w:r>
          </w:p>
        </w:tc>
        <w:tc>
          <w:tcPr>
            <w:tcW w:w="3117" w:type="dxa"/>
          </w:tcPr>
          <w:p w14:paraId="2FFD92E0" w14:textId="2724DAAA" w:rsidR="00EC78E2" w:rsidRPr="00A129B9" w:rsidRDefault="00D26AF6" w:rsidP="00CF2F21">
            <w:pPr>
              <w:pStyle w:val="NormalArial"/>
              <w:rPr>
                <w:sz w:val="18"/>
                <w:szCs w:val="18"/>
              </w:rPr>
            </w:pPr>
            <w:r w:rsidRPr="00A129B9">
              <w:rPr>
                <w:b/>
                <w:bCs/>
                <w:sz w:val="18"/>
                <w:szCs w:val="18"/>
              </w:rPr>
              <w:t>Yes.</w:t>
            </w:r>
            <w:r w:rsidRPr="00A129B9">
              <w:rPr>
                <w:sz w:val="18"/>
                <w:szCs w:val="18"/>
              </w:rPr>
              <w:t xml:space="preserve"> A strong wholesale market price signal creates a positive internal rate of return on investment in Residential DR programs. Failure to perform results in a real economic loss for the REP or LSE.</w:t>
            </w:r>
            <w:r w:rsidR="00574FCA" w:rsidRPr="00A129B9">
              <w:rPr>
                <w:sz w:val="18"/>
                <w:szCs w:val="18"/>
              </w:rPr>
              <w:t xml:space="preserve"> This compensates performance based on actual response to real-time system conditions, rather than through administratively determined out-of-market payments.</w:t>
            </w:r>
          </w:p>
        </w:tc>
      </w:tr>
      <w:tr w:rsidR="00EC78E2" w14:paraId="7C4F7DEA" w14:textId="77777777" w:rsidTr="00EC78E2">
        <w:tc>
          <w:tcPr>
            <w:tcW w:w="3116" w:type="dxa"/>
          </w:tcPr>
          <w:p w14:paraId="2C3798E0" w14:textId="08592807" w:rsidR="00EC78E2" w:rsidRPr="00A129B9" w:rsidRDefault="00CA03D1" w:rsidP="00CF2F21">
            <w:pPr>
              <w:pStyle w:val="NormalArial"/>
              <w:rPr>
                <w:sz w:val="18"/>
                <w:szCs w:val="18"/>
              </w:rPr>
            </w:pPr>
            <w:r>
              <w:rPr>
                <w:b/>
                <w:bCs/>
                <w:sz w:val="18"/>
                <w:szCs w:val="18"/>
              </w:rPr>
              <w:t xml:space="preserve">3) </w:t>
            </w:r>
            <w:r w:rsidR="00EC78E2" w:rsidRPr="00A129B9">
              <w:rPr>
                <w:sz w:val="18"/>
                <w:szCs w:val="18"/>
              </w:rPr>
              <w:t>“t</w:t>
            </w:r>
            <w:r w:rsidR="00EC78E2" w:rsidRPr="00A129B9">
              <w:rPr>
                <w:i/>
                <w:iCs/>
                <w:sz w:val="18"/>
                <w:szCs w:val="18"/>
              </w:rPr>
              <w:t xml:space="preserve">he program should </w:t>
            </w:r>
            <w:r w:rsidR="00EC78E2" w:rsidRPr="00A129B9">
              <w:rPr>
                <w:b/>
                <w:bCs/>
                <w:i/>
                <w:iCs/>
                <w:sz w:val="18"/>
                <w:szCs w:val="18"/>
              </w:rPr>
              <w:t>promote innovation in retail demand response</w:t>
            </w:r>
            <w:r w:rsidR="00EC78E2" w:rsidRPr="00A129B9">
              <w:rPr>
                <w:i/>
                <w:iCs/>
                <w:sz w:val="18"/>
                <w:szCs w:val="18"/>
              </w:rPr>
              <w:t xml:space="preserve"> </w:t>
            </w:r>
            <w:r w:rsidR="00EC78E2" w:rsidRPr="00A129B9">
              <w:rPr>
                <w:b/>
                <w:bCs/>
                <w:i/>
                <w:iCs/>
                <w:sz w:val="18"/>
                <w:szCs w:val="18"/>
              </w:rPr>
              <w:t>product design</w:t>
            </w:r>
            <w:r w:rsidR="00EC78E2" w:rsidRPr="00A129B9">
              <w:rPr>
                <w:i/>
                <w:iCs/>
                <w:sz w:val="18"/>
                <w:szCs w:val="18"/>
              </w:rPr>
              <w:t xml:space="preserve"> by REPs (and LSEs) </w:t>
            </w:r>
            <w:r w:rsidR="00EC78E2" w:rsidRPr="00A129B9">
              <w:rPr>
                <w:b/>
                <w:bCs/>
                <w:i/>
                <w:iCs/>
                <w:sz w:val="18"/>
                <w:szCs w:val="18"/>
              </w:rPr>
              <w:t>and not restrict how competitive retail products are designed or used</w:t>
            </w:r>
            <w:r w:rsidR="00EC78E2" w:rsidRPr="00A129B9">
              <w:rPr>
                <w:i/>
                <w:iCs/>
                <w:sz w:val="18"/>
                <w:szCs w:val="18"/>
              </w:rPr>
              <w:t xml:space="preserve"> by those offering them”</w:t>
            </w:r>
          </w:p>
        </w:tc>
        <w:tc>
          <w:tcPr>
            <w:tcW w:w="3117" w:type="dxa"/>
          </w:tcPr>
          <w:p w14:paraId="6BF08C0F" w14:textId="26CFC882" w:rsidR="00EC78E2" w:rsidRPr="00A129B9" w:rsidRDefault="00D26AF6" w:rsidP="00CF2F21">
            <w:pPr>
              <w:pStyle w:val="NormalArial"/>
              <w:rPr>
                <w:sz w:val="18"/>
                <w:szCs w:val="18"/>
              </w:rPr>
            </w:pPr>
            <w:r w:rsidRPr="00A129B9">
              <w:rPr>
                <w:b/>
                <w:bCs/>
                <w:sz w:val="18"/>
                <w:szCs w:val="18"/>
              </w:rPr>
              <w:t>No.</w:t>
            </w:r>
            <w:r w:rsidRPr="00A129B9">
              <w:rPr>
                <w:sz w:val="18"/>
                <w:szCs w:val="18"/>
              </w:rPr>
              <w:t xml:space="preserve"> NPRR1296 specifically requires Residential DR to be used by REPs and LSEs offering it in specific ways to receive compensation – a strong incentive to design products around artificial constraints rather than market signals and customer preferen</w:t>
            </w:r>
            <w:r w:rsidR="00574FCA" w:rsidRPr="00A129B9">
              <w:rPr>
                <w:sz w:val="18"/>
                <w:szCs w:val="18"/>
              </w:rPr>
              <w:t>c</w:t>
            </w:r>
            <w:r w:rsidRPr="00A129B9">
              <w:rPr>
                <w:sz w:val="18"/>
                <w:szCs w:val="18"/>
              </w:rPr>
              <w:t>es.</w:t>
            </w:r>
          </w:p>
        </w:tc>
        <w:tc>
          <w:tcPr>
            <w:tcW w:w="3117" w:type="dxa"/>
          </w:tcPr>
          <w:p w14:paraId="063A0E9E" w14:textId="3B0368F9" w:rsidR="00EC78E2" w:rsidRPr="00A129B9" w:rsidRDefault="00D26AF6" w:rsidP="00CF2F21">
            <w:pPr>
              <w:pStyle w:val="NormalArial"/>
              <w:rPr>
                <w:sz w:val="18"/>
                <w:szCs w:val="18"/>
              </w:rPr>
            </w:pPr>
            <w:r w:rsidRPr="00A129B9">
              <w:rPr>
                <w:b/>
                <w:bCs/>
                <w:sz w:val="18"/>
                <w:szCs w:val="18"/>
              </w:rPr>
              <w:t>Yes.</w:t>
            </w:r>
            <w:r w:rsidRPr="00A129B9">
              <w:rPr>
                <w:sz w:val="18"/>
                <w:szCs w:val="18"/>
              </w:rPr>
              <w:t xml:space="preserve"> REPs and LSEs </w:t>
            </w:r>
            <w:r w:rsidR="00574FCA" w:rsidRPr="00A129B9">
              <w:rPr>
                <w:sz w:val="18"/>
                <w:szCs w:val="18"/>
              </w:rPr>
              <w:t>are not restricted in any way other than the statutory ban on wholesale indexed retail pricing. REPs and LSEs have total freedom to innovate and identify competitive market solutions that align wholesale market signals with customer preferences.</w:t>
            </w:r>
          </w:p>
        </w:tc>
      </w:tr>
    </w:tbl>
    <w:p w14:paraId="78B63869" w14:textId="77777777" w:rsidR="00EC78E2" w:rsidRDefault="00EC78E2" w:rsidP="00CF2F21">
      <w:pPr>
        <w:pStyle w:val="NormalArial"/>
      </w:pPr>
    </w:p>
    <w:p w14:paraId="73428C04" w14:textId="77777777" w:rsidR="00475A74" w:rsidRDefault="006838C2" w:rsidP="00574FCA">
      <w:pPr>
        <w:pStyle w:val="NormalArial"/>
      </w:pPr>
      <w:r w:rsidRPr="006838C2">
        <w:t xml:space="preserve">Vistra </w:t>
      </w:r>
      <w:r w:rsidR="00574FCA">
        <w:t>suggests that two other principles should be incorporated into the framework for evaluating how best to enhance incentives for residential demand response:</w:t>
      </w:r>
    </w:p>
    <w:p w14:paraId="282ECA7E" w14:textId="77777777" w:rsidR="00475A74" w:rsidRDefault="00475A74" w:rsidP="00574FCA">
      <w:pPr>
        <w:pStyle w:val="NormalArial"/>
      </w:pPr>
    </w:p>
    <w:p w14:paraId="28C2BB02" w14:textId="427A02E8" w:rsidR="00D52C28" w:rsidRDefault="007133EE" w:rsidP="0002120B">
      <w:pPr>
        <w:pStyle w:val="NormalArial"/>
        <w:numPr>
          <w:ilvl w:val="0"/>
          <w:numId w:val="5"/>
        </w:numPr>
      </w:pPr>
      <w:r>
        <w:t>The incentive structure should be consistent with, or at the very least minimize harm to, the existing market structure (currently, energy-only); and</w:t>
      </w:r>
    </w:p>
    <w:p w14:paraId="1CCAC421" w14:textId="010E3C40" w:rsidR="007133EE" w:rsidRDefault="0002120B" w:rsidP="0002120B">
      <w:pPr>
        <w:pStyle w:val="NormalArial"/>
        <w:numPr>
          <w:ilvl w:val="0"/>
          <w:numId w:val="5"/>
        </w:numPr>
      </w:pPr>
      <w:r>
        <w:t>T</w:t>
      </w:r>
      <w:r w:rsidR="00D52C28">
        <w:t xml:space="preserve">he </w:t>
      </w:r>
      <w:r w:rsidR="007133EE">
        <w:t xml:space="preserve">incentive structure should encourage a competitive ecosystem, and </w:t>
      </w:r>
      <w:r w:rsidR="006838C2" w:rsidRPr="006838C2">
        <w:t xml:space="preserve">any </w:t>
      </w:r>
      <w:r w:rsidR="007133EE">
        <w:t xml:space="preserve">out-of-market program </w:t>
      </w:r>
      <w:r w:rsidR="006838C2" w:rsidRPr="006838C2">
        <w:t xml:space="preserve">must avoid contractual or technological exclusivities that </w:t>
      </w:r>
      <w:r w:rsidR="006838C2" w:rsidRPr="006838C2">
        <w:lastRenderedPageBreak/>
        <w:t xml:space="preserve">create “walled gardens” </w:t>
      </w:r>
      <w:r w:rsidR="007133EE">
        <w:t xml:space="preserve">that </w:t>
      </w:r>
      <w:r w:rsidR="006838C2" w:rsidRPr="006838C2">
        <w:t xml:space="preserve">concentrate program value in a limited set of providers and force </w:t>
      </w:r>
      <w:r w:rsidR="007133EE">
        <w:t xml:space="preserve">the customers of </w:t>
      </w:r>
      <w:r w:rsidR="006838C2" w:rsidRPr="006838C2">
        <w:t xml:space="preserve">some REPs and </w:t>
      </w:r>
      <w:r w:rsidR="007133EE">
        <w:t xml:space="preserve">LSEs </w:t>
      </w:r>
      <w:r w:rsidR="006838C2" w:rsidRPr="006838C2">
        <w:t>to subsidize the</w:t>
      </w:r>
      <w:r w:rsidR="007133EE">
        <w:t xml:space="preserve"> business models of certain other REPs and LSEs</w:t>
      </w:r>
      <w:r w:rsidR="006838C2" w:rsidRPr="006838C2">
        <w:t xml:space="preserve">. </w:t>
      </w:r>
    </w:p>
    <w:p w14:paraId="6E45E506" w14:textId="77777777" w:rsidR="007133EE" w:rsidRDefault="007133EE" w:rsidP="0095520E">
      <w:pPr>
        <w:pStyle w:val="NormalArial"/>
      </w:pPr>
    </w:p>
    <w:p w14:paraId="3FD6DB42" w14:textId="465A3691" w:rsidR="00471014" w:rsidRDefault="007133EE" w:rsidP="0095520E">
      <w:pPr>
        <w:pStyle w:val="NormalArial"/>
      </w:pPr>
      <w:r>
        <w:t>Natural wholesale market price response is also consistent with these additional principles, but NPRR1296 is not.</w:t>
      </w:r>
      <w:r w:rsidR="005C67D0">
        <w:t xml:space="preserve"> As the Independent Market Monitor (IMM) highlighted in its February 24, </w:t>
      </w:r>
      <w:proofErr w:type="gramStart"/>
      <w:r w:rsidR="005C67D0">
        <w:t>2026</w:t>
      </w:r>
      <w:proofErr w:type="gramEnd"/>
      <w:r w:rsidR="005C67D0">
        <w:t xml:space="preserve"> comments, NPRR1296 “is not price-responsive demand response … [and] will result in over-reduction” while “remov[ing] roughly $1.5 billion of revenue from the market annually, impacting resource adequacy.”</w:t>
      </w:r>
      <w:r w:rsidR="005C67D0">
        <w:rPr>
          <w:rStyle w:val="FootnoteReference"/>
        </w:rPr>
        <w:footnoteReference w:id="3"/>
      </w:r>
      <w:r w:rsidR="006838C2" w:rsidRPr="006838C2">
        <w:t xml:space="preserve"> </w:t>
      </w:r>
      <w:r w:rsidR="005C67D0">
        <w:t>Vistra shares this perspective and concern</w:t>
      </w:r>
      <w:r w:rsidR="00DD0D40">
        <w:t xml:space="preserve">. Additionally, a lesson learned from the development of the Aggregated Distributed Energy Resource (ADER) pilot project was that specific program design should encourage the development of a competitive ecosystem that encourages customer choice. </w:t>
      </w:r>
      <w:r w:rsidR="008613F0">
        <w:t>It removed regulatory barriers to allow participation in the energy market that allowed all versions of ADER to compete on an equal footing. Participation has accelerated and ERCOT has helped increas</w:t>
      </w:r>
      <w:r w:rsidR="003445AF">
        <w:t>e</w:t>
      </w:r>
      <w:r w:rsidR="008613F0">
        <w:t xml:space="preserve"> participation limits as the pilot grows.</w:t>
      </w:r>
      <w:r w:rsidR="008613F0">
        <w:rPr>
          <w:rStyle w:val="FootnoteReference"/>
        </w:rPr>
        <w:footnoteReference w:id="4"/>
      </w:r>
      <w:r w:rsidR="00CC65A6">
        <w:t xml:space="preserve"> </w:t>
      </w:r>
      <w:r w:rsidR="007E294E">
        <w:t xml:space="preserve">That </w:t>
      </w:r>
      <w:r w:rsidR="000540BE">
        <w:t>competitive ecosystem</w:t>
      </w:r>
      <w:r w:rsidR="007E294E">
        <w:t xml:space="preserve"> ensure</w:t>
      </w:r>
      <w:r w:rsidR="000540BE">
        <w:t>d</w:t>
      </w:r>
      <w:r w:rsidR="007E294E">
        <w:t xml:space="preserve"> access to limited capacity in a pilot program, but did not entail direct transfers from customers of certain REPs and LSEs to others</w:t>
      </w:r>
      <w:r w:rsidR="00C316FB">
        <w:t>, such as in NPRR1296</w:t>
      </w:r>
      <w:r w:rsidR="007E294E">
        <w:t xml:space="preserve">. </w:t>
      </w:r>
      <w:r w:rsidR="00DD0D40">
        <w:t xml:space="preserve">Therefore, </w:t>
      </w:r>
      <w:r w:rsidR="007E294E">
        <w:t xml:space="preserve">it is critical that </w:t>
      </w:r>
      <w:r w:rsidR="006838C2" w:rsidRPr="006838C2">
        <w:t xml:space="preserve">any </w:t>
      </w:r>
      <w:r w:rsidR="00DD0D40">
        <w:t xml:space="preserve">out-of-market program </w:t>
      </w:r>
      <w:r w:rsidR="006838C2" w:rsidRPr="006838C2">
        <w:t xml:space="preserve">design preserve competitive neutrality and support innovation </w:t>
      </w:r>
      <w:r w:rsidR="007E294E">
        <w:t>by only allowing participation if customers can freely utilize their equipment to participate in the program with any REP of their choice. This is less of a concern with natural wholesale market price response, because the demand response incentive and value creation is internal to the REP or LSE and does not depend on direct transfers from other customers. Therefore</w:t>
      </w:r>
      <w:r w:rsidR="008C7C7D">
        <w:t>,</w:t>
      </w:r>
      <w:r w:rsidR="007E294E">
        <w:t xml:space="preserve"> natural price response can incentivize additional demand response </w:t>
      </w:r>
      <w:r w:rsidR="006838C2" w:rsidRPr="006838C2">
        <w:t>without departing from the core principle that supply and demand should respond to the same market price signal.</w:t>
      </w:r>
      <w:r w:rsidR="000A6297" w:rsidRPr="000A6297">
        <w:t xml:space="preserve"> </w:t>
      </w:r>
      <w:r w:rsidR="000A6297">
        <w:t>Vistra has successfully engaged in this type of economic demand response for over a decade.</w:t>
      </w:r>
    </w:p>
    <w:p w14:paraId="2F03948E" w14:textId="77777777" w:rsidR="00FC5A1A" w:rsidRDefault="00FC5A1A" w:rsidP="00B91050">
      <w:pPr>
        <w:pStyle w:val="NormalArial"/>
      </w:pPr>
    </w:p>
    <w:p w14:paraId="671C2428" w14:textId="5F221C69" w:rsidR="006334E1" w:rsidRDefault="00B91050" w:rsidP="00B91050">
      <w:pPr>
        <w:pStyle w:val="NormalArial"/>
      </w:pPr>
      <w:r>
        <w:t xml:space="preserve">Reliant </w:t>
      </w:r>
      <w:r w:rsidR="008C6481">
        <w:t xml:space="preserve">also </w:t>
      </w:r>
      <w:r>
        <w:t xml:space="preserve">argues that </w:t>
      </w:r>
      <w:r w:rsidR="008C6481">
        <w:t xml:space="preserve">the </w:t>
      </w:r>
      <w:r>
        <w:t>“market design that actually exists”</w:t>
      </w:r>
      <w:r w:rsidR="008C6481">
        <w:t xml:space="preserve"> in ERCOT</w:t>
      </w:r>
      <w:r>
        <w:t xml:space="preserve"> is an energy and Ancillary Service market “supplemented by capacity incentives,” and therefore a residential DR program such as NPRR1296 is “completely consistent” with current market design. Vistra respectfully disagrees. That framing overstates the case by </w:t>
      </w:r>
      <w:r w:rsidR="00D52C28">
        <w:t xml:space="preserve">mischaracterizing </w:t>
      </w:r>
      <w:proofErr w:type="gramStart"/>
      <w:r>
        <w:t>a number of</w:t>
      </w:r>
      <w:proofErr w:type="gramEnd"/>
      <w:r>
        <w:t xml:space="preserve"> mechanism</w:t>
      </w:r>
      <w:r w:rsidR="002B289A">
        <w:t>s</w:t>
      </w:r>
      <w:r w:rsidR="00470700">
        <w:t xml:space="preserve"> </w:t>
      </w:r>
      <w:r w:rsidR="00D52C28">
        <w:t>as “</w:t>
      </w:r>
      <w:r w:rsidR="001B3FF4">
        <w:t>capacity incentives</w:t>
      </w:r>
      <w:r w:rsidR="00D52C28">
        <w:t>”:</w:t>
      </w:r>
      <w:r w:rsidR="00316080">
        <w:t xml:space="preserve"> </w:t>
      </w:r>
    </w:p>
    <w:p w14:paraId="5955D4A4" w14:textId="77777777" w:rsidR="006334E1" w:rsidRDefault="006334E1" w:rsidP="00B91050">
      <w:pPr>
        <w:pStyle w:val="NormalArial"/>
      </w:pPr>
    </w:p>
    <w:tbl>
      <w:tblPr>
        <w:tblStyle w:val="TableGrid"/>
        <w:tblW w:w="0" w:type="auto"/>
        <w:tblLook w:val="04A0" w:firstRow="1" w:lastRow="0" w:firstColumn="1" w:lastColumn="0" w:noHBand="0" w:noVBand="1"/>
      </w:tblPr>
      <w:tblGrid>
        <w:gridCol w:w="2337"/>
        <w:gridCol w:w="2337"/>
        <w:gridCol w:w="2338"/>
        <w:gridCol w:w="2338"/>
      </w:tblGrid>
      <w:tr w:rsidR="00D52C28" w14:paraId="01701DCC" w14:textId="77777777" w:rsidTr="00F316EA">
        <w:trPr>
          <w:cantSplit/>
          <w:tblHeader/>
        </w:trPr>
        <w:tc>
          <w:tcPr>
            <w:tcW w:w="2337" w:type="dxa"/>
          </w:tcPr>
          <w:p w14:paraId="5E550863" w14:textId="03AD4236" w:rsidR="00D52C28" w:rsidRPr="00F316EA" w:rsidRDefault="00D52C28" w:rsidP="00B91050">
            <w:pPr>
              <w:pStyle w:val="NormalArial"/>
              <w:rPr>
                <w:b/>
                <w:bCs/>
              </w:rPr>
            </w:pPr>
            <w:proofErr w:type="gramStart"/>
            <w:r w:rsidRPr="00F316EA">
              <w:rPr>
                <w:b/>
                <w:bCs/>
              </w:rPr>
              <w:t>Reliant-asserted</w:t>
            </w:r>
            <w:proofErr w:type="gramEnd"/>
            <w:r w:rsidRPr="00F316EA">
              <w:rPr>
                <w:b/>
                <w:bCs/>
              </w:rPr>
              <w:t xml:space="preserve"> “capacity incentive” </w:t>
            </w:r>
          </w:p>
        </w:tc>
        <w:tc>
          <w:tcPr>
            <w:tcW w:w="2337" w:type="dxa"/>
          </w:tcPr>
          <w:p w14:paraId="7F2FA1D7" w14:textId="5B4B9100" w:rsidR="00D52C28" w:rsidRPr="00F316EA" w:rsidRDefault="00D52C28" w:rsidP="00B91050">
            <w:pPr>
              <w:pStyle w:val="NormalArial"/>
              <w:rPr>
                <w:b/>
                <w:bCs/>
              </w:rPr>
            </w:pPr>
            <w:r w:rsidRPr="00F316EA">
              <w:rPr>
                <w:b/>
                <w:bCs/>
              </w:rPr>
              <w:t>Reliant-asserted categories</w:t>
            </w:r>
          </w:p>
        </w:tc>
        <w:tc>
          <w:tcPr>
            <w:tcW w:w="2338" w:type="dxa"/>
          </w:tcPr>
          <w:p w14:paraId="6160BA2D" w14:textId="40B1765B" w:rsidR="00D52C28" w:rsidRPr="00F316EA" w:rsidRDefault="00D52C28" w:rsidP="00B91050">
            <w:pPr>
              <w:pStyle w:val="NormalArial"/>
              <w:rPr>
                <w:b/>
                <w:bCs/>
              </w:rPr>
            </w:pPr>
            <w:r w:rsidRPr="00F316EA">
              <w:rPr>
                <w:b/>
                <w:bCs/>
              </w:rPr>
              <w:t>Capacity Incentive?</w:t>
            </w:r>
          </w:p>
        </w:tc>
        <w:tc>
          <w:tcPr>
            <w:tcW w:w="2338" w:type="dxa"/>
          </w:tcPr>
          <w:p w14:paraId="56D340F7" w14:textId="572F5D6B" w:rsidR="00D52C28" w:rsidRPr="00F316EA" w:rsidRDefault="00D52C28" w:rsidP="00B91050">
            <w:pPr>
              <w:pStyle w:val="NormalArial"/>
              <w:rPr>
                <w:b/>
                <w:bCs/>
              </w:rPr>
            </w:pPr>
            <w:r w:rsidRPr="00F316EA">
              <w:rPr>
                <w:b/>
                <w:bCs/>
              </w:rPr>
              <w:t>Notes</w:t>
            </w:r>
          </w:p>
        </w:tc>
      </w:tr>
      <w:tr w:rsidR="00D52C28" w14:paraId="74629F28" w14:textId="77777777" w:rsidTr="00F316EA">
        <w:trPr>
          <w:cantSplit/>
        </w:trPr>
        <w:tc>
          <w:tcPr>
            <w:tcW w:w="2337" w:type="dxa"/>
          </w:tcPr>
          <w:p w14:paraId="4533DB53" w14:textId="39BFBD28" w:rsidR="00D52C28" w:rsidRPr="00F316EA" w:rsidRDefault="00D52C28" w:rsidP="00B91050">
            <w:pPr>
              <w:pStyle w:val="NormalArial"/>
              <w:rPr>
                <w:sz w:val="18"/>
                <w:szCs w:val="18"/>
              </w:rPr>
            </w:pPr>
            <w:r w:rsidRPr="00F316EA">
              <w:rPr>
                <w:sz w:val="18"/>
                <w:szCs w:val="18"/>
              </w:rPr>
              <w:t>Modification of the structure of the ASDCs to send scarcity pricing signals prior to firm Load shed</w:t>
            </w:r>
          </w:p>
        </w:tc>
        <w:tc>
          <w:tcPr>
            <w:tcW w:w="2337" w:type="dxa"/>
          </w:tcPr>
          <w:p w14:paraId="7171CC2D" w14:textId="0B69CDC4" w:rsidR="00D52C28" w:rsidRPr="00F316EA" w:rsidRDefault="00D52C28" w:rsidP="00B91050">
            <w:pPr>
              <w:pStyle w:val="NormalArial"/>
              <w:rPr>
                <w:sz w:val="18"/>
                <w:szCs w:val="18"/>
              </w:rPr>
            </w:pPr>
            <w:r w:rsidRPr="00F316EA">
              <w:rPr>
                <w:sz w:val="18"/>
                <w:szCs w:val="18"/>
              </w:rPr>
              <w:t>Thermal Generation, Energy Storage Resources</w:t>
            </w:r>
          </w:p>
        </w:tc>
        <w:tc>
          <w:tcPr>
            <w:tcW w:w="2338" w:type="dxa"/>
          </w:tcPr>
          <w:p w14:paraId="35B2DB86" w14:textId="7FE124AB" w:rsidR="00D52C28" w:rsidRPr="00F316EA" w:rsidRDefault="00800823" w:rsidP="00B91050">
            <w:pPr>
              <w:pStyle w:val="NormalArial"/>
              <w:rPr>
                <w:sz w:val="18"/>
                <w:szCs w:val="18"/>
              </w:rPr>
            </w:pPr>
            <w:r w:rsidRPr="00F316EA">
              <w:rPr>
                <w:sz w:val="18"/>
                <w:szCs w:val="18"/>
              </w:rPr>
              <w:t>No. ASDCs contribute to energy price formation, specifically valuing the conversion of reserves to energy.</w:t>
            </w:r>
          </w:p>
        </w:tc>
        <w:tc>
          <w:tcPr>
            <w:tcW w:w="2338" w:type="dxa"/>
          </w:tcPr>
          <w:p w14:paraId="299C8337" w14:textId="0E2A47EF" w:rsidR="00D52C28" w:rsidRPr="00F316EA" w:rsidRDefault="00800823" w:rsidP="00B91050">
            <w:pPr>
              <w:pStyle w:val="NormalArial"/>
              <w:rPr>
                <w:sz w:val="18"/>
                <w:szCs w:val="18"/>
              </w:rPr>
            </w:pPr>
            <w:r w:rsidRPr="00F316EA">
              <w:rPr>
                <w:sz w:val="18"/>
                <w:szCs w:val="18"/>
              </w:rPr>
              <w:t>ASDCs and scarcity pricing signals also provide DR incentive from natural wholesale price response</w:t>
            </w:r>
          </w:p>
        </w:tc>
      </w:tr>
      <w:tr w:rsidR="00D52C28" w14:paraId="21A5B641" w14:textId="77777777" w:rsidTr="00F316EA">
        <w:trPr>
          <w:cantSplit/>
        </w:trPr>
        <w:tc>
          <w:tcPr>
            <w:tcW w:w="2337" w:type="dxa"/>
          </w:tcPr>
          <w:p w14:paraId="0680BAFE" w14:textId="0D084301" w:rsidR="00D52C28" w:rsidRPr="00F316EA" w:rsidRDefault="00D52C28" w:rsidP="00B91050">
            <w:pPr>
              <w:pStyle w:val="NormalArial"/>
              <w:rPr>
                <w:sz w:val="18"/>
                <w:szCs w:val="18"/>
              </w:rPr>
            </w:pPr>
            <w:r w:rsidRPr="00F316EA">
              <w:rPr>
                <w:sz w:val="18"/>
                <w:szCs w:val="18"/>
              </w:rPr>
              <w:lastRenderedPageBreak/>
              <w:t>Procurement of Ancillary Service quantities to support operations beyond NERC standards and prevention of firm load shed</w:t>
            </w:r>
          </w:p>
        </w:tc>
        <w:tc>
          <w:tcPr>
            <w:tcW w:w="2337" w:type="dxa"/>
          </w:tcPr>
          <w:p w14:paraId="139266B0" w14:textId="2B7D29E8" w:rsidR="00D52C28" w:rsidRPr="00F316EA" w:rsidRDefault="00800823" w:rsidP="00B91050">
            <w:pPr>
              <w:pStyle w:val="NormalArial"/>
              <w:rPr>
                <w:sz w:val="18"/>
                <w:szCs w:val="18"/>
              </w:rPr>
            </w:pPr>
            <w:r w:rsidRPr="00F316EA">
              <w:rPr>
                <w:sz w:val="18"/>
                <w:szCs w:val="18"/>
              </w:rPr>
              <w:t>Thermal Generation, Energy Storage Resources</w:t>
            </w:r>
          </w:p>
        </w:tc>
        <w:tc>
          <w:tcPr>
            <w:tcW w:w="2338" w:type="dxa"/>
          </w:tcPr>
          <w:p w14:paraId="727A1B31" w14:textId="43186A8A" w:rsidR="00D52C28" w:rsidRPr="00F316EA" w:rsidRDefault="00800823" w:rsidP="00B91050">
            <w:pPr>
              <w:pStyle w:val="NormalArial"/>
              <w:rPr>
                <w:sz w:val="18"/>
                <w:szCs w:val="18"/>
              </w:rPr>
            </w:pPr>
            <w:r w:rsidRPr="00F316EA">
              <w:rPr>
                <w:sz w:val="18"/>
                <w:szCs w:val="18"/>
              </w:rPr>
              <w:t>Yes and no. While AS capacity is procured and valued on a capacity basis, its value is derived from the opportunity cost of providing energy.</w:t>
            </w:r>
          </w:p>
        </w:tc>
        <w:tc>
          <w:tcPr>
            <w:tcW w:w="2338" w:type="dxa"/>
          </w:tcPr>
          <w:p w14:paraId="51721BEA" w14:textId="2455B98C" w:rsidR="00D52C28" w:rsidRPr="00F316EA" w:rsidRDefault="00800823" w:rsidP="00B91050">
            <w:pPr>
              <w:pStyle w:val="NormalArial"/>
              <w:rPr>
                <w:sz w:val="18"/>
                <w:szCs w:val="18"/>
              </w:rPr>
            </w:pPr>
            <w:r w:rsidRPr="00F316EA">
              <w:rPr>
                <w:sz w:val="18"/>
                <w:szCs w:val="18"/>
              </w:rPr>
              <w:t>AS procurement also provides DR incentives: (1) avoiding high volume/</w:t>
            </w:r>
            <w:proofErr w:type="gramStart"/>
            <w:r w:rsidRPr="00F316EA">
              <w:rPr>
                <w:sz w:val="18"/>
                <w:szCs w:val="18"/>
              </w:rPr>
              <w:t>high cost</w:t>
            </w:r>
            <w:proofErr w:type="gramEnd"/>
            <w:r w:rsidRPr="00F316EA">
              <w:rPr>
                <w:sz w:val="18"/>
                <w:szCs w:val="18"/>
              </w:rPr>
              <w:t xml:space="preserve"> intervals (allocated on load ratio share); and (2) direct participation through CLR, NCLR, ALR, or ADER.</w:t>
            </w:r>
          </w:p>
        </w:tc>
      </w:tr>
      <w:tr w:rsidR="00800823" w14:paraId="7DDC3D47" w14:textId="77777777" w:rsidTr="00F316EA">
        <w:trPr>
          <w:cantSplit/>
        </w:trPr>
        <w:tc>
          <w:tcPr>
            <w:tcW w:w="2337" w:type="dxa"/>
          </w:tcPr>
          <w:p w14:paraId="6D4D91B6" w14:textId="00B673C9" w:rsidR="00800823" w:rsidRPr="00F316EA" w:rsidRDefault="00800823" w:rsidP="00800823">
            <w:pPr>
              <w:pStyle w:val="NormalArial"/>
              <w:rPr>
                <w:sz w:val="18"/>
                <w:szCs w:val="18"/>
              </w:rPr>
            </w:pPr>
            <w:r w:rsidRPr="00F316EA">
              <w:rPr>
                <w:sz w:val="18"/>
                <w:szCs w:val="18"/>
              </w:rPr>
              <w:t>Implementation of new Ancillary Service products to procure capacity to support operations beyond NERC standards and prevention of firm load shed</w:t>
            </w:r>
          </w:p>
        </w:tc>
        <w:tc>
          <w:tcPr>
            <w:tcW w:w="2337" w:type="dxa"/>
          </w:tcPr>
          <w:p w14:paraId="53DBD280" w14:textId="40ECE43D" w:rsidR="00800823" w:rsidRPr="00F316EA" w:rsidRDefault="00800823" w:rsidP="00800823">
            <w:pPr>
              <w:pStyle w:val="NormalArial"/>
              <w:rPr>
                <w:sz w:val="18"/>
                <w:szCs w:val="18"/>
              </w:rPr>
            </w:pPr>
            <w:r w:rsidRPr="00F316EA">
              <w:rPr>
                <w:sz w:val="18"/>
                <w:szCs w:val="18"/>
              </w:rPr>
              <w:t>Thermal Generation, Energy Storage Resources</w:t>
            </w:r>
          </w:p>
        </w:tc>
        <w:tc>
          <w:tcPr>
            <w:tcW w:w="2338" w:type="dxa"/>
          </w:tcPr>
          <w:p w14:paraId="33275B2F" w14:textId="0079F66F" w:rsidR="00800823" w:rsidRPr="00F316EA" w:rsidRDefault="00800823" w:rsidP="00800823">
            <w:pPr>
              <w:pStyle w:val="NormalArial"/>
              <w:rPr>
                <w:sz w:val="18"/>
                <w:szCs w:val="18"/>
              </w:rPr>
            </w:pPr>
            <w:r w:rsidRPr="00F316EA">
              <w:rPr>
                <w:sz w:val="18"/>
                <w:szCs w:val="18"/>
              </w:rPr>
              <w:t>Yes and no. While AS capacity is procured and valued on a capacity basis, its value is derived from the opportunity cost of providing energy.</w:t>
            </w:r>
          </w:p>
        </w:tc>
        <w:tc>
          <w:tcPr>
            <w:tcW w:w="2338" w:type="dxa"/>
          </w:tcPr>
          <w:p w14:paraId="07E1D605" w14:textId="61EFADCE" w:rsidR="00800823" w:rsidRPr="00F316EA" w:rsidRDefault="00800823" w:rsidP="00800823">
            <w:pPr>
              <w:pStyle w:val="NormalArial"/>
              <w:rPr>
                <w:sz w:val="18"/>
                <w:szCs w:val="18"/>
              </w:rPr>
            </w:pPr>
            <w:r w:rsidRPr="00F316EA">
              <w:rPr>
                <w:sz w:val="18"/>
                <w:szCs w:val="18"/>
              </w:rPr>
              <w:t>AS procurement also provides DR incentives: (1) avoiding high volume/</w:t>
            </w:r>
            <w:proofErr w:type="gramStart"/>
            <w:r w:rsidRPr="00F316EA">
              <w:rPr>
                <w:sz w:val="18"/>
                <w:szCs w:val="18"/>
              </w:rPr>
              <w:t>high cost</w:t>
            </w:r>
            <w:proofErr w:type="gramEnd"/>
            <w:r w:rsidRPr="00F316EA">
              <w:rPr>
                <w:sz w:val="18"/>
                <w:szCs w:val="18"/>
              </w:rPr>
              <w:t xml:space="preserve"> intervals (allocated on load ratio share); and (2) direct participation through CLR, NCLR, ALR, or ADER.</w:t>
            </w:r>
          </w:p>
        </w:tc>
      </w:tr>
      <w:tr w:rsidR="00800823" w14:paraId="68E51CDF" w14:textId="77777777" w:rsidTr="00F316EA">
        <w:trPr>
          <w:cantSplit/>
        </w:trPr>
        <w:tc>
          <w:tcPr>
            <w:tcW w:w="2337" w:type="dxa"/>
          </w:tcPr>
          <w:p w14:paraId="0527C73B" w14:textId="76EA3565" w:rsidR="00800823" w:rsidRPr="00F316EA" w:rsidRDefault="00800823" w:rsidP="00800823">
            <w:pPr>
              <w:pStyle w:val="NormalArial"/>
              <w:rPr>
                <w:sz w:val="18"/>
                <w:szCs w:val="18"/>
              </w:rPr>
            </w:pPr>
            <w:r w:rsidRPr="00F316EA">
              <w:rPr>
                <w:sz w:val="18"/>
                <w:szCs w:val="18"/>
              </w:rPr>
              <w:t>Firm Fuel Supply Service</w:t>
            </w:r>
          </w:p>
        </w:tc>
        <w:tc>
          <w:tcPr>
            <w:tcW w:w="2337" w:type="dxa"/>
          </w:tcPr>
          <w:p w14:paraId="6212CE6A" w14:textId="78CA9803" w:rsidR="00800823" w:rsidRPr="00F316EA" w:rsidRDefault="00800823" w:rsidP="00800823">
            <w:pPr>
              <w:pStyle w:val="NormalArial"/>
              <w:rPr>
                <w:sz w:val="18"/>
                <w:szCs w:val="18"/>
              </w:rPr>
            </w:pPr>
            <w:r w:rsidRPr="00F316EA">
              <w:rPr>
                <w:sz w:val="18"/>
                <w:szCs w:val="18"/>
              </w:rPr>
              <w:t>Thermal Generation</w:t>
            </w:r>
          </w:p>
        </w:tc>
        <w:tc>
          <w:tcPr>
            <w:tcW w:w="2338" w:type="dxa"/>
          </w:tcPr>
          <w:p w14:paraId="0685AA41" w14:textId="6E1185ED" w:rsidR="00800823" w:rsidRPr="00F316EA" w:rsidRDefault="00800823" w:rsidP="00800823">
            <w:pPr>
              <w:pStyle w:val="NormalArial"/>
              <w:rPr>
                <w:sz w:val="18"/>
                <w:szCs w:val="18"/>
              </w:rPr>
            </w:pPr>
            <w:r w:rsidRPr="00F316EA">
              <w:rPr>
                <w:sz w:val="18"/>
                <w:szCs w:val="18"/>
              </w:rPr>
              <w:t>No.</w:t>
            </w:r>
            <w:r w:rsidR="00A338F4" w:rsidRPr="00257050">
              <w:rPr>
                <w:sz w:val="18"/>
                <w:szCs w:val="18"/>
              </w:rPr>
              <w:t xml:space="preserve"> FFSS is a fuel inventory “call option” design, not a capacity-accredited portfolio standard.</w:t>
            </w:r>
            <w:r w:rsidR="00A338F4" w:rsidRPr="00257050">
              <w:rPr>
                <w:rStyle w:val="FootnoteReference"/>
                <w:sz w:val="18"/>
                <w:szCs w:val="18"/>
              </w:rPr>
              <w:footnoteReference w:id="5"/>
            </w:r>
          </w:p>
        </w:tc>
        <w:tc>
          <w:tcPr>
            <w:tcW w:w="2338" w:type="dxa"/>
          </w:tcPr>
          <w:p w14:paraId="50E128C0" w14:textId="0E6E7A6A" w:rsidR="00800823" w:rsidRPr="00F316EA" w:rsidRDefault="005C2D70" w:rsidP="00800823">
            <w:pPr>
              <w:pStyle w:val="NormalArial"/>
              <w:rPr>
                <w:sz w:val="18"/>
                <w:szCs w:val="18"/>
              </w:rPr>
            </w:pPr>
            <w:r w:rsidRPr="00F316EA">
              <w:rPr>
                <w:sz w:val="18"/>
                <w:szCs w:val="18"/>
              </w:rPr>
              <w:t>Notably, FFSS is a reliability service established by statute and PUCT rule and is not an ERCOT discretionary program.</w:t>
            </w:r>
            <w:r w:rsidRPr="00F316EA">
              <w:rPr>
                <w:rStyle w:val="FootnoteReference"/>
                <w:sz w:val="18"/>
                <w:szCs w:val="18"/>
              </w:rPr>
              <w:footnoteReference w:id="6"/>
            </w:r>
          </w:p>
        </w:tc>
      </w:tr>
      <w:tr w:rsidR="00800823" w14:paraId="1117202E" w14:textId="77777777" w:rsidTr="00F316EA">
        <w:trPr>
          <w:cantSplit/>
        </w:trPr>
        <w:tc>
          <w:tcPr>
            <w:tcW w:w="2337" w:type="dxa"/>
          </w:tcPr>
          <w:p w14:paraId="38919006" w14:textId="748D86DB" w:rsidR="00800823" w:rsidRPr="00F316EA" w:rsidRDefault="00800823" w:rsidP="00800823">
            <w:pPr>
              <w:pStyle w:val="NormalArial"/>
              <w:rPr>
                <w:sz w:val="18"/>
                <w:szCs w:val="18"/>
              </w:rPr>
            </w:pPr>
            <w:r w:rsidRPr="00F316EA">
              <w:rPr>
                <w:sz w:val="18"/>
                <w:szCs w:val="18"/>
              </w:rPr>
              <w:t>Texas Energy Fund</w:t>
            </w:r>
          </w:p>
        </w:tc>
        <w:tc>
          <w:tcPr>
            <w:tcW w:w="2337" w:type="dxa"/>
          </w:tcPr>
          <w:p w14:paraId="434EF711" w14:textId="7C2F8B81" w:rsidR="00800823" w:rsidRPr="00F316EA" w:rsidRDefault="00800823" w:rsidP="00800823">
            <w:pPr>
              <w:pStyle w:val="NormalArial"/>
              <w:rPr>
                <w:sz w:val="18"/>
                <w:szCs w:val="18"/>
              </w:rPr>
            </w:pPr>
            <w:r w:rsidRPr="00F316EA">
              <w:rPr>
                <w:sz w:val="18"/>
                <w:szCs w:val="18"/>
              </w:rPr>
              <w:t>Thermal Generation</w:t>
            </w:r>
          </w:p>
        </w:tc>
        <w:tc>
          <w:tcPr>
            <w:tcW w:w="2338" w:type="dxa"/>
          </w:tcPr>
          <w:p w14:paraId="47692C8E" w14:textId="42C32CD5" w:rsidR="00800823" w:rsidRPr="00F316EA" w:rsidRDefault="00B920DD" w:rsidP="00800823">
            <w:pPr>
              <w:pStyle w:val="NormalArial"/>
              <w:rPr>
                <w:sz w:val="18"/>
                <w:szCs w:val="18"/>
              </w:rPr>
            </w:pPr>
            <w:r w:rsidRPr="00F316EA">
              <w:rPr>
                <w:sz w:val="18"/>
                <w:szCs w:val="18"/>
              </w:rPr>
              <w:t>Yes.</w:t>
            </w:r>
            <w:r w:rsidR="00A338F4" w:rsidRPr="007C0C0E">
              <w:rPr>
                <w:sz w:val="18"/>
                <w:szCs w:val="18"/>
              </w:rPr>
              <w:t xml:space="preserve"> The Texas Energy Fund does provide financial </w:t>
            </w:r>
            <w:proofErr w:type="gramStart"/>
            <w:r w:rsidR="00A338F4" w:rsidRPr="007C0C0E">
              <w:rPr>
                <w:sz w:val="18"/>
                <w:szCs w:val="18"/>
              </w:rPr>
              <w:t>supports</w:t>
            </w:r>
            <w:proofErr w:type="gramEnd"/>
            <w:r w:rsidR="00A338F4" w:rsidRPr="007C0C0E">
              <w:rPr>
                <w:sz w:val="18"/>
                <w:szCs w:val="18"/>
              </w:rPr>
              <w:t xml:space="preserve"> to increase thermal generation capacity.</w:t>
            </w:r>
          </w:p>
        </w:tc>
        <w:tc>
          <w:tcPr>
            <w:tcW w:w="2338" w:type="dxa"/>
          </w:tcPr>
          <w:p w14:paraId="28DF1436" w14:textId="3284DF2B" w:rsidR="00800823" w:rsidRPr="00F316EA" w:rsidRDefault="008E3119" w:rsidP="00800823">
            <w:pPr>
              <w:pStyle w:val="NormalArial"/>
              <w:rPr>
                <w:sz w:val="18"/>
                <w:szCs w:val="18"/>
              </w:rPr>
            </w:pPr>
            <w:r w:rsidRPr="00F316EA">
              <w:rPr>
                <w:sz w:val="18"/>
                <w:szCs w:val="18"/>
              </w:rPr>
              <w:t xml:space="preserve">Notably, </w:t>
            </w:r>
            <w:r w:rsidR="00A338F4">
              <w:rPr>
                <w:sz w:val="18"/>
                <w:szCs w:val="18"/>
              </w:rPr>
              <w:t xml:space="preserve">the Texas Energy Fund </w:t>
            </w:r>
            <w:r w:rsidRPr="00F316EA">
              <w:rPr>
                <w:sz w:val="18"/>
                <w:szCs w:val="18"/>
              </w:rPr>
              <w:t>is in statute</w:t>
            </w:r>
            <w:r w:rsidR="00A338F4">
              <w:rPr>
                <w:sz w:val="18"/>
                <w:szCs w:val="18"/>
              </w:rPr>
              <w:t xml:space="preserve"> with a limited scope and timeframe,</w:t>
            </w:r>
            <w:r w:rsidR="00A338F4">
              <w:rPr>
                <w:rStyle w:val="FootnoteReference"/>
                <w:sz w:val="18"/>
                <w:szCs w:val="18"/>
              </w:rPr>
              <w:footnoteReference w:id="7"/>
            </w:r>
            <w:r w:rsidRPr="00F316EA">
              <w:rPr>
                <w:sz w:val="18"/>
                <w:szCs w:val="18"/>
              </w:rPr>
              <w:t xml:space="preserve"> and </w:t>
            </w:r>
            <w:r w:rsidR="00A338F4">
              <w:rPr>
                <w:sz w:val="18"/>
                <w:szCs w:val="18"/>
              </w:rPr>
              <w:t xml:space="preserve">is </w:t>
            </w:r>
            <w:r w:rsidRPr="00F316EA">
              <w:rPr>
                <w:sz w:val="18"/>
                <w:szCs w:val="18"/>
              </w:rPr>
              <w:t>not an ERCOT discretionary program.</w:t>
            </w:r>
          </w:p>
        </w:tc>
      </w:tr>
      <w:tr w:rsidR="00800823" w14:paraId="7109AD7D" w14:textId="77777777" w:rsidTr="00F316EA">
        <w:trPr>
          <w:cantSplit/>
        </w:trPr>
        <w:tc>
          <w:tcPr>
            <w:tcW w:w="2337" w:type="dxa"/>
          </w:tcPr>
          <w:p w14:paraId="17E8CA96" w14:textId="491CC1DF" w:rsidR="00800823" w:rsidRPr="00F316EA" w:rsidRDefault="00800823" w:rsidP="00800823">
            <w:pPr>
              <w:pStyle w:val="NormalArial"/>
              <w:rPr>
                <w:sz w:val="18"/>
                <w:szCs w:val="18"/>
              </w:rPr>
            </w:pPr>
            <w:r w:rsidRPr="00F316EA">
              <w:rPr>
                <w:sz w:val="18"/>
                <w:szCs w:val="18"/>
              </w:rPr>
              <w:lastRenderedPageBreak/>
              <w:t>Contracts for Capacity</w:t>
            </w:r>
          </w:p>
        </w:tc>
        <w:tc>
          <w:tcPr>
            <w:tcW w:w="2337" w:type="dxa"/>
          </w:tcPr>
          <w:p w14:paraId="58B096A3" w14:textId="70B9DC18" w:rsidR="00800823" w:rsidRPr="00F316EA" w:rsidRDefault="00800823" w:rsidP="00800823">
            <w:pPr>
              <w:pStyle w:val="NormalArial"/>
              <w:rPr>
                <w:sz w:val="18"/>
                <w:szCs w:val="18"/>
              </w:rPr>
            </w:pPr>
            <w:r w:rsidRPr="00F316EA">
              <w:rPr>
                <w:sz w:val="18"/>
                <w:szCs w:val="18"/>
              </w:rPr>
              <w:t>Thermal Generation, Energy Storage Resources</w:t>
            </w:r>
          </w:p>
        </w:tc>
        <w:tc>
          <w:tcPr>
            <w:tcW w:w="2338" w:type="dxa"/>
          </w:tcPr>
          <w:p w14:paraId="098FC342" w14:textId="6A723889" w:rsidR="00800823" w:rsidRPr="00F316EA" w:rsidRDefault="008E3119" w:rsidP="00800823">
            <w:pPr>
              <w:pStyle w:val="NormalArial"/>
              <w:rPr>
                <w:sz w:val="18"/>
                <w:szCs w:val="18"/>
              </w:rPr>
            </w:pPr>
            <w:r w:rsidRPr="00F316EA">
              <w:rPr>
                <w:sz w:val="18"/>
                <w:szCs w:val="18"/>
              </w:rPr>
              <w:t>Yes. By definition, a capacity payment.</w:t>
            </w:r>
          </w:p>
        </w:tc>
        <w:tc>
          <w:tcPr>
            <w:tcW w:w="2338" w:type="dxa"/>
          </w:tcPr>
          <w:p w14:paraId="6B427EDC" w14:textId="43BFF6B0" w:rsidR="00800823" w:rsidRPr="00F316EA" w:rsidRDefault="008E3119" w:rsidP="00800823">
            <w:pPr>
              <w:pStyle w:val="NormalArial"/>
              <w:rPr>
                <w:sz w:val="18"/>
                <w:szCs w:val="18"/>
              </w:rPr>
            </w:pPr>
            <w:r w:rsidRPr="00F316EA">
              <w:rPr>
                <w:sz w:val="18"/>
                <w:szCs w:val="18"/>
              </w:rPr>
              <w:t>Multiple controls to limit use cases and market impact when utilized.</w:t>
            </w:r>
          </w:p>
        </w:tc>
      </w:tr>
      <w:tr w:rsidR="00800823" w14:paraId="127704EF" w14:textId="77777777" w:rsidTr="00F316EA">
        <w:trPr>
          <w:cantSplit/>
        </w:trPr>
        <w:tc>
          <w:tcPr>
            <w:tcW w:w="2337" w:type="dxa"/>
          </w:tcPr>
          <w:p w14:paraId="3FD64ED9" w14:textId="0AE90ECE" w:rsidR="00800823" w:rsidRPr="00F316EA" w:rsidRDefault="00800823" w:rsidP="00800823">
            <w:pPr>
              <w:pStyle w:val="NormalArial"/>
              <w:rPr>
                <w:sz w:val="18"/>
                <w:szCs w:val="18"/>
              </w:rPr>
            </w:pPr>
            <w:r w:rsidRPr="00F316EA">
              <w:rPr>
                <w:sz w:val="18"/>
                <w:szCs w:val="18"/>
              </w:rPr>
              <w:t>Investment Tax Credits</w:t>
            </w:r>
          </w:p>
        </w:tc>
        <w:tc>
          <w:tcPr>
            <w:tcW w:w="2337" w:type="dxa"/>
          </w:tcPr>
          <w:p w14:paraId="1B9BA3AA" w14:textId="1598E59B" w:rsidR="00800823" w:rsidRPr="00F316EA" w:rsidRDefault="00800823" w:rsidP="00800823">
            <w:pPr>
              <w:pStyle w:val="NormalArial"/>
              <w:rPr>
                <w:sz w:val="18"/>
                <w:szCs w:val="18"/>
              </w:rPr>
            </w:pPr>
            <w:r w:rsidRPr="00F316EA">
              <w:rPr>
                <w:sz w:val="18"/>
                <w:szCs w:val="18"/>
              </w:rPr>
              <w:t>Energy Storage Resources, Wind and Solar Resources</w:t>
            </w:r>
          </w:p>
        </w:tc>
        <w:tc>
          <w:tcPr>
            <w:tcW w:w="2338" w:type="dxa"/>
          </w:tcPr>
          <w:p w14:paraId="3CE27984" w14:textId="35915CB1" w:rsidR="00800823" w:rsidRPr="00F316EA" w:rsidRDefault="008E3119" w:rsidP="00800823">
            <w:pPr>
              <w:pStyle w:val="NormalArial"/>
              <w:rPr>
                <w:sz w:val="18"/>
                <w:szCs w:val="18"/>
              </w:rPr>
            </w:pPr>
            <w:r w:rsidRPr="00F316EA">
              <w:rPr>
                <w:sz w:val="18"/>
                <w:szCs w:val="18"/>
              </w:rPr>
              <w:t>Yes.</w:t>
            </w:r>
            <w:r w:rsidR="00A338F4">
              <w:rPr>
                <w:sz w:val="18"/>
                <w:szCs w:val="18"/>
              </w:rPr>
              <w:t xml:space="preserve"> </w:t>
            </w:r>
            <w:r w:rsidR="00A338F4" w:rsidRPr="00E27E5F">
              <w:rPr>
                <w:sz w:val="18"/>
                <w:szCs w:val="18"/>
              </w:rPr>
              <w:t xml:space="preserve">Provides financial </w:t>
            </w:r>
            <w:proofErr w:type="gramStart"/>
            <w:r w:rsidR="00A338F4" w:rsidRPr="00E27E5F">
              <w:rPr>
                <w:sz w:val="18"/>
                <w:szCs w:val="18"/>
              </w:rPr>
              <w:t>supports</w:t>
            </w:r>
            <w:proofErr w:type="gramEnd"/>
            <w:r w:rsidR="00A338F4" w:rsidRPr="00E27E5F">
              <w:rPr>
                <w:sz w:val="18"/>
                <w:szCs w:val="18"/>
              </w:rPr>
              <w:t xml:space="preserve"> to </w:t>
            </w:r>
            <w:r w:rsidR="00A338F4">
              <w:rPr>
                <w:sz w:val="18"/>
                <w:szCs w:val="18"/>
              </w:rPr>
              <w:t xml:space="preserve">increase </w:t>
            </w:r>
            <w:r w:rsidR="00A338F4" w:rsidRPr="00E27E5F">
              <w:rPr>
                <w:sz w:val="18"/>
                <w:szCs w:val="18"/>
              </w:rPr>
              <w:t>renewable and storage</w:t>
            </w:r>
            <w:r w:rsidR="00A338F4">
              <w:rPr>
                <w:sz w:val="18"/>
                <w:szCs w:val="18"/>
              </w:rPr>
              <w:t xml:space="preserve"> capacity</w:t>
            </w:r>
            <w:r w:rsidR="00A338F4" w:rsidRPr="00E27E5F">
              <w:rPr>
                <w:sz w:val="18"/>
                <w:szCs w:val="18"/>
              </w:rPr>
              <w:t>.</w:t>
            </w:r>
          </w:p>
        </w:tc>
        <w:tc>
          <w:tcPr>
            <w:tcW w:w="2338" w:type="dxa"/>
          </w:tcPr>
          <w:p w14:paraId="575C7EBD" w14:textId="5A2A9169" w:rsidR="00800823" w:rsidRPr="00F316EA" w:rsidRDefault="008E3119" w:rsidP="00800823">
            <w:pPr>
              <w:pStyle w:val="NormalArial"/>
              <w:rPr>
                <w:sz w:val="18"/>
                <w:szCs w:val="18"/>
              </w:rPr>
            </w:pPr>
            <w:r w:rsidRPr="00F316EA">
              <w:rPr>
                <w:sz w:val="18"/>
                <w:szCs w:val="18"/>
              </w:rPr>
              <w:t>Notably, it is in federal law and not an ERCOT discretionary program.</w:t>
            </w:r>
          </w:p>
        </w:tc>
      </w:tr>
      <w:tr w:rsidR="00800823" w14:paraId="11464A90" w14:textId="77777777" w:rsidTr="00F316EA">
        <w:trPr>
          <w:cantSplit/>
        </w:trPr>
        <w:tc>
          <w:tcPr>
            <w:tcW w:w="2337" w:type="dxa"/>
          </w:tcPr>
          <w:p w14:paraId="231B2A62" w14:textId="146363D9" w:rsidR="00800823" w:rsidRPr="00B46643" w:rsidRDefault="00800823" w:rsidP="00800823">
            <w:pPr>
              <w:pStyle w:val="NormalArial"/>
              <w:rPr>
                <w:sz w:val="18"/>
                <w:szCs w:val="18"/>
              </w:rPr>
            </w:pPr>
            <w:r w:rsidRPr="00B46643">
              <w:rPr>
                <w:sz w:val="18"/>
                <w:szCs w:val="18"/>
              </w:rPr>
              <w:t>Production Tax Credits</w:t>
            </w:r>
          </w:p>
        </w:tc>
        <w:tc>
          <w:tcPr>
            <w:tcW w:w="2337" w:type="dxa"/>
          </w:tcPr>
          <w:p w14:paraId="6435AD05" w14:textId="28258915" w:rsidR="00800823" w:rsidRPr="00B46643" w:rsidRDefault="00800823" w:rsidP="00800823">
            <w:pPr>
              <w:pStyle w:val="NormalArial"/>
              <w:rPr>
                <w:sz w:val="18"/>
                <w:szCs w:val="18"/>
              </w:rPr>
            </w:pPr>
            <w:r w:rsidRPr="00B46643">
              <w:rPr>
                <w:sz w:val="18"/>
                <w:szCs w:val="18"/>
              </w:rPr>
              <w:t>Wind and Solar Resources</w:t>
            </w:r>
          </w:p>
        </w:tc>
        <w:tc>
          <w:tcPr>
            <w:tcW w:w="2338" w:type="dxa"/>
          </w:tcPr>
          <w:p w14:paraId="7A3B743A" w14:textId="6EAE8BEC" w:rsidR="00800823" w:rsidRPr="009B79BC" w:rsidRDefault="00A338F4" w:rsidP="00800823">
            <w:pPr>
              <w:pStyle w:val="NormalArial"/>
              <w:rPr>
                <w:sz w:val="18"/>
                <w:szCs w:val="18"/>
              </w:rPr>
            </w:pPr>
            <w:r>
              <w:rPr>
                <w:sz w:val="18"/>
                <w:szCs w:val="18"/>
              </w:rPr>
              <w:t xml:space="preserve">Yes and </w:t>
            </w:r>
            <w:r w:rsidR="008E3119" w:rsidRPr="009B79BC">
              <w:rPr>
                <w:sz w:val="18"/>
                <w:szCs w:val="18"/>
              </w:rPr>
              <w:t>No.</w:t>
            </w:r>
            <w:r>
              <w:rPr>
                <w:sz w:val="18"/>
                <w:szCs w:val="18"/>
              </w:rPr>
              <w:t xml:space="preserve"> </w:t>
            </w:r>
            <w:r w:rsidRPr="00E27E5F">
              <w:rPr>
                <w:sz w:val="18"/>
                <w:szCs w:val="18"/>
              </w:rPr>
              <w:t>Subsidizes energy production from renewables and storage</w:t>
            </w:r>
            <w:r>
              <w:rPr>
                <w:sz w:val="18"/>
                <w:szCs w:val="18"/>
              </w:rPr>
              <w:t>, not capacity</w:t>
            </w:r>
            <w:r w:rsidRPr="00E27E5F">
              <w:rPr>
                <w:sz w:val="18"/>
                <w:szCs w:val="18"/>
              </w:rPr>
              <w:t>.</w:t>
            </w:r>
            <w:r>
              <w:rPr>
                <w:sz w:val="18"/>
                <w:szCs w:val="18"/>
              </w:rPr>
              <w:t xml:space="preserve"> But energy subsidy can </w:t>
            </w:r>
            <w:r w:rsidR="000E74C3">
              <w:rPr>
                <w:sz w:val="18"/>
                <w:szCs w:val="18"/>
              </w:rPr>
              <w:t>augment capacity investment economics and economically harm other generation technology, particularly in an energy-only market structure.</w:t>
            </w:r>
          </w:p>
        </w:tc>
        <w:tc>
          <w:tcPr>
            <w:tcW w:w="2338" w:type="dxa"/>
          </w:tcPr>
          <w:p w14:paraId="55E6C5FC" w14:textId="2BAAFAFE" w:rsidR="00800823" w:rsidRPr="009B79BC" w:rsidRDefault="008E3119" w:rsidP="00800823">
            <w:pPr>
              <w:pStyle w:val="NormalArial"/>
              <w:rPr>
                <w:sz w:val="18"/>
                <w:szCs w:val="18"/>
              </w:rPr>
            </w:pPr>
            <w:r w:rsidRPr="009B79BC">
              <w:rPr>
                <w:sz w:val="18"/>
                <w:szCs w:val="18"/>
              </w:rPr>
              <w:t>Notably, it is in federal law and not an ERCOT discretionary program.</w:t>
            </w:r>
          </w:p>
        </w:tc>
      </w:tr>
      <w:tr w:rsidR="00800823" w14:paraId="4DDBB62D" w14:textId="77777777" w:rsidTr="00F316EA">
        <w:trPr>
          <w:cantSplit/>
        </w:trPr>
        <w:tc>
          <w:tcPr>
            <w:tcW w:w="2337" w:type="dxa"/>
          </w:tcPr>
          <w:p w14:paraId="65E1DF7A" w14:textId="5D0A58F7" w:rsidR="00800823" w:rsidRPr="009B79BC" w:rsidRDefault="00800823" w:rsidP="00800823">
            <w:pPr>
              <w:pStyle w:val="NormalArial"/>
              <w:rPr>
                <w:sz w:val="18"/>
                <w:szCs w:val="18"/>
              </w:rPr>
            </w:pPr>
            <w:r w:rsidRPr="009B79BC">
              <w:rPr>
                <w:sz w:val="18"/>
                <w:szCs w:val="18"/>
              </w:rPr>
              <w:t>Wholesale storage load treatment (exempt from transmission charges and ERCOT Ancillary Service costs for charging load)</w:t>
            </w:r>
          </w:p>
        </w:tc>
        <w:tc>
          <w:tcPr>
            <w:tcW w:w="2337" w:type="dxa"/>
          </w:tcPr>
          <w:p w14:paraId="25473A24" w14:textId="1EC6C02D" w:rsidR="00800823" w:rsidRPr="009B79BC" w:rsidRDefault="00800823" w:rsidP="00800823">
            <w:pPr>
              <w:pStyle w:val="NormalArial"/>
              <w:rPr>
                <w:sz w:val="18"/>
                <w:szCs w:val="18"/>
              </w:rPr>
            </w:pPr>
            <w:r w:rsidRPr="009B79BC">
              <w:rPr>
                <w:sz w:val="18"/>
                <w:szCs w:val="18"/>
              </w:rPr>
              <w:t>Energy Storage Resources</w:t>
            </w:r>
          </w:p>
        </w:tc>
        <w:tc>
          <w:tcPr>
            <w:tcW w:w="2338" w:type="dxa"/>
          </w:tcPr>
          <w:p w14:paraId="388E435B" w14:textId="15810E1D" w:rsidR="00800823" w:rsidRPr="009B79BC" w:rsidRDefault="008E3119" w:rsidP="00800823">
            <w:pPr>
              <w:pStyle w:val="NormalArial"/>
              <w:rPr>
                <w:sz w:val="18"/>
                <w:szCs w:val="18"/>
              </w:rPr>
            </w:pPr>
            <w:r w:rsidRPr="009B79BC">
              <w:rPr>
                <w:sz w:val="18"/>
                <w:szCs w:val="18"/>
              </w:rPr>
              <w:t>No.</w:t>
            </w:r>
            <w:r w:rsidR="000E74C3">
              <w:rPr>
                <w:sz w:val="18"/>
                <w:szCs w:val="18"/>
              </w:rPr>
              <w:t xml:space="preserve"> </w:t>
            </w:r>
            <w:r w:rsidR="000E74C3" w:rsidRPr="00E27E5F">
              <w:rPr>
                <w:sz w:val="18"/>
                <w:szCs w:val="18"/>
              </w:rPr>
              <w:t>Agree with Reliant’s description of the impact, but that is not a capacity payment.</w:t>
            </w:r>
          </w:p>
        </w:tc>
        <w:tc>
          <w:tcPr>
            <w:tcW w:w="2338" w:type="dxa"/>
          </w:tcPr>
          <w:p w14:paraId="44BAD073" w14:textId="082A5CF0" w:rsidR="00800823" w:rsidRPr="009B79BC" w:rsidRDefault="008E2015" w:rsidP="00800823">
            <w:pPr>
              <w:pStyle w:val="NormalArial"/>
              <w:rPr>
                <w:sz w:val="18"/>
                <w:szCs w:val="18"/>
              </w:rPr>
            </w:pPr>
            <w:r w:rsidRPr="009B79BC">
              <w:rPr>
                <w:sz w:val="18"/>
                <w:szCs w:val="18"/>
              </w:rPr>
              <w:t>Notably, wholesale storage load treatment is established in PUCT rule and is not an ERCOT discretionary program.</w:t>
            </w:r>
            <w:r w:rsidRPr="009B79BC">
              <w:rPr>
                <w:rStyle w:val="FootnoteReference"/>
                <w:sz w:val="18"/>
                <w:szCs w:val="18"/>
              </w:rPr>
              <w:footnoteReference w:id="8"/>
            </w:r>
          </w:p>
        </w:tc>
      </w:tr>
      <w:tr w:rsidR="00800823" w14:paraId="0E43ED96" w14:textId="77777777" w:rsidTr="00F316EA">
        <w:trPr>
          <w:cantSplit/>
        </w:trPr>
        <w:tc>
          <w:tcPr>
            <w:tcW w:w="2337" w:type="dxa"/>
          </w:tcPr>
          <w:p w14:paraId="2AB28CEE" w14:textId="63656A14" w:rsidR="00800823" w:rsidRPr="009B79BC" w:rsidRDefault="00800823" w:rsidP="00800823">
            <w:pPr>
              <w:pStyle w:val="NormalArial"/>
              <w:rPr>
                <w:sz w:val="18"/>
                <w:szCs w:val="18"/>
              </w:rPr>
            </w:pPr>
            <w:r w:rsidRPr="009B79BC">
              <w:rPr>
                <w:sz w:val="18"/>
                <w:szCs w:val="18"/>
              </w:rPr>
              <w:t>4 Coincident Peak Transmission Cost Allocation</w:t>
            </w:r>
          </w:p>
        </w:tc>
        <w:tc>
          <w:tcPr>
            <w:tcW w:w="2337" w:type="dxa"/>
          </w:tcPr>
          <w:p w14:paraId="1ED53FEF" w14:textId="40BCAFF1" w:rsidR="00800823" w:rsidRPr="009B79BC" w:rsidRDefault="00800823" w:rsidP="00800823">
            <w:pPr>
              <w:pStyle w:val="NormalArial"/>
              <w:rPr>
                <w:sz w:val="18"/>
                <w:szCs w:val="18"/>
              </w:rPr>
            </w:pPr>
            <w:r w:rsidRPr="009B79BC">
              <w:rPr>
                <w:sz w:val="18"/>
                <w:szCs w:val="18"/>
              </w:rPr>
              <w:t>Demand Response for Mid-to-Large Commercial and Industrial Consumers</w:t>
            </w:r>
          </w:p>
        </w:tc>
        <w:tc>
          <w:tcPr>
            <w:tcW w:w="2338" w:type="dxa"/>
          </w:tcPr>
          <w:p w14:paraId="76027383" w14:textId="7028426D" w:rsidR="00800823" w:rsidRPr="009B79BC" w:rsidRDefault="008E2015" w:rsidP="00800823">
            <w:pPr>
              <w:pStyle w:val="NormalArial"/>
              <w:rPr>
                <w:sz w:val="18"/>
                <w:szCs w:val="18"/>
              </w:rPr>
            </w:pPr>
            <w:r w:rsidRPr="009B79BC">
              <w:rPr>
                <w:sz w:val="18"/>
                <w:szCs w:val="18"/>
              </w:rPr>
              <w:t xml:space="preserve">No. 4CP is a transmission cost allocation mechanism, not </w:t>
            </w:r>
            <w:proofErr w:type="gramStart"/>
            <w:r w:rsidRPr="009B79BC">
              <w:rPr>
                <w:sz w:val="18"/>
                <w:szCs w:val="18"/>
              </w:rPr>
              <w:t>a capacity</w:t>
            </w:r>
            <w:proofErr w:type="gramEnd"/>
            <w:r w:rsidRPr="009B79BC">
              <w:rPr>
                <w:sz w:val="18"/>
                <w:szCs w:val="18"/>
              </w:rPr>
              <w:t xml:space="preserve"> payment.</w:t>
            </w:r>
          </w:p>
        </w:tc>
        <w:tc>
          <w:tcPr>
            <w:tcW w:w="2338" w:type="dxa"/>
          </w:tcPr>
          <w:p w14:paraId="57165190" w14:textId="6FE85D21" w:rsidR="00800823" w:rsidRPr="009B79BC" w:rsidRDefault="008E2015" w:rsidP="00800823">
            <w:pPr>
              <w:pStyle w:val="NormalArial"/>
              <w:rPr>
                <w:sz w:val="18"/>
                <w:szCs w:val="18"/>
              </w:rPr>
            </w:pPr>
            <w:r w:rsidRPr="009B79BC">
              <w:rPr>
                <w:sz w:val="18"/>
                <w:szCs w:val="18"/>
              </w:rPr>
              <w:t>4CP is also being evaluated for changes as required by Senate Bill 6. See PUCT Project Nos. 58484 and 58000. Notably, 4CP is established in PUCT rule and is not an ERCOT discretionary program.</w:t>
            </w:r>
            <w:r w:rsidRPr="009B79BC">
              <w:rPr>
                <w:rStyle w:val="FootnoteReference"/>
                <w:sz w:val="18"/>
                <w:szCs w:val="18"/>
              </w:rPr>
              <w:footnoteReference w:id="9"/>
            </w:r>
            <w:r w:rsidRPr="009B79BC">
              <w:rPr>
                <w:sz w:val="18"/>
                <w:szCs w:val="18"/>
              </w:rPr>
              <w:t xml:space="preserve"> </w:t>
            </w:r>
          </w:p>
        </w:tc>
      </w:tr>
      <w:tr w:rsidR="00800823" w14:paraId="7B316F5D" w14:textId="77777777" w:rsidTr="00F316EA">
        <w:trPr>
          <w:cantSplit/>
        </w:trPr>
        <w:tc>
          <w:tcPr>
            <w:tcW w:w="2337" w:type="dxa"/>
          </w:tcPr>
          <w:p w14:paraId="7F992356" w14:textId="37378464" w:rsidR="00800823" w:rsidRPr="009B79BC" w:rsidRDefault="00800823" w:rsidP="00800823">
            <w:pPr>
              <w:pStyle w:val="NormalArial"/>
              <w:rPr>
                <w:sz w:val="18"/>
                <w:szCs w:val="18"/>
              </w:rPr>
            </w:pPr>
            <w:r w:rsidRPr="009B79BC">
              <w:rPr>
                <w:sz w:val="18"/>
                <w:szCs w:val="18"/>
              </w:rPr>
              <w:t>Responsive Reserve Service, ERCOT Contingency Reserve Service, and Non-Spinning Reserve Service procurements for Non-Controllable Load Resources</w:t>
            </w:r>
          </w:p>
        </w:tc>
        <w:tc>
          <w:tcPr>
            <w:tcW w:w="2337" w:type="dxa"/>
          </w:tcPr>
          <w:p w14:paraId="30ED888A" w14:textId="1DA976BD" w:rsidR="00800823" w:rsidRPr="009B79BC" w:rsidRDefault="00800823" w:rsidP="00800823">
            <w:pPr>
              <w:pStyle w:val="NormalArial"/>
              <w:rPr>
                <w:sz w:val="18"/>
                <w:szCs w:val="18"/>
              </w:rPr>
            </w:pPr>
            <w:r w:rsidRPr="009B79BC">
              <w:rPr>
                <w:sz w:val="18"/>
                <w:szCs w:val="18"/>
              </w:rPr>
              <w:t>Demand Response for Mid-to-Large Commercial and Industrial Consumers</w:t>
            </w:r>
          </w:p>
        </w:tc>
        <w:tc>
          <w:tcPr>
            <w:tcW w:w="2338" w:type="dxa"/>
          </w:tcPr>
          <w:p w14:paraId="239BD7FF" w14:textId="58C0B567" w:rsidR="00800823" w:rsidRPr="009B79BC" w:rsidRDefault="009C743F" w:rsidP="00800823">
            <w:pPr>
              <w:pStyle w:val="NormalArial"/>
              <w:rPr>
                <w:sz w:val="18"/>
                <w:szCs w:val="18"/>
              </w:rPr>
            </w:pPr>
            <w:r w:rsidRPr="009B79BC">
              <w:rPr>
                <w:sz w:val="18"/>
                <w:szCs w:val="18"/>
              </w:rPr>
              <w:t>Yes and no. While AS capacity is procured and valued on a capacity basis, its value is derived from the opportunity cost of providing energy.</w:t>
            </w:r>
          </w:p>
        </w:tc>
        <w:tc>
          <w:tcPr>
            <w:tcW w:w="2338" w:type="dxa"/>
          </w:tcPr>
          <w:p w14:paraId="2CBA1E84" w14:textId="4FCA1171" w:rsidR="00800823" w:rsidRPr="009B79BC" w:rsidRDefault="009C743F" w:rsidP="00800823">
            <w:pPr>
              <w:pStyle w:val="NormalArial"/>
              <w:rPr>
                <w:sz w:val="18"/>
                <w:szCs w:val="18"/>
              </w:rPr>
            </w:pPr>
            <w:r w:rsidRPr="009B79BC">
              <w:rPr>
                <w:sz w:val="18"/>
                <w:szCs w:val="18"/>
              </w:rPr>
              <w:t>AS procurement also provides DR incentives: (1) avoiding high volume/</w:t>
            </w:r>
            <w:proofErr w:type="gramStart"/>
            <w:r w:rsidRPr="009B79BC">
              <w:rPr>
                <w:sz w:val="18"/>
                <w:szCs w:val="18"/>
              </w:rPr>
              <w:t>high cost</w:t>
            </w:r>
            <w:proofErr w:type="gramEnd"/>
            <w:r w:rsidRPr="009B79BC">
              <w:rPr>
                <w:sz w:val="18"/>
                <w:szCs w:val="18"/>
              </w:rPr>
              <w:t xml:space="preserve"> intervals (allocated on load ratio share); and (2) direct participation through CLR, NCLR, ALR, or ADER.</w:t>
            </w:r>
          </w:p>
        </w:tc>
      </w:tr>
      <w:tr w:rsidR="00800823" w14:paraId="7413B784" w14:textId="77777777" w:rsidTr="00F316EA">
        <w:trPr>
          <w:cantSplit/>
        </w:trPr>
        <w:tc>
          <w:tcPr>
            <w:tcW w:w="2337" w:type="dxa"/>
          </w:tcPr>
          <w:p w14:paraId="6EB64C2D" w14:textId="56719B9A" w:rsidR="00800823" w:rsidRPr="009B79BC" w:rsidRDefault="00800823" w:rsidP="00800823">
            <w:pPr>
              <w:pStyle w:val="NormalArial"/>
              <w:rPr>
                <w:sz w:val="18"/>
                <w:szCs w:val="18"/>
              </w:rPr>
            </w:pPr>
            <w:r w:rsidRPr="009B79BC">
              <w:rPr>
                <w:sz w:val="18"/>
                <w:szCs w:val="18"/>
              </w:rPr>
              <w:t>Emergency Response Service</w:t>
            </w:r>
          </w:p>
        </w:tc>
        <w:tc>
          <w:tcPr>
            <w:tcW w:w="2337" w:type="dxa"/>
          </w:tcPr>
          <w:p w14:paraId="62955C7F" w14:textId="4E32F224" w:rsidR="00800823" w:rsidRPr="009B79BC" w:rsidRDefault="00800823" w:rsidP="00800823">
            <w:pPr>
              <w:pStyle w:val="NormalArial"/>
              <w:rPr>
                <w:sz w:val="18"/>
                <w:szCs w:val="18"/>
              </w:rPr>
            </w:pPr>
            <w:r w:rsidRPr="009B79BC">
              <w:rPr>
                <w:sz w:val="18"/>
                <w:szCs w:val="18"/>
              </w:rPr>
              <w:t>Demand Response for Mid-to-Large Commercial and Industrial Consumers</w:t>
            </w:r>
          </w:p>
        </w:tc>
        <w:tc>
          <w:tcPr>
            <w:tcW w:w="2338" w:type="dxa"/>
          </w:tcPr>
          <w:p w14:paraId="170A619C" w14:textId="2DFC1145" w:rsidR="00800823" w:rsidRPr="009B79BC" w:rsidRDefault="009C743F" w:rsidP="00800823">
            <w:pPr>
              <w:pStyle w:val="NormalArial"/>
              <w:rPr>
                <w:sz w:val="18"/>
                <w:szCs w:val="18"/>
              </w:rPr>
            </w:pPr>
            <w:r w:rsidRPr="009B79BC">
              <w:rPr>
                <w:sz w:val="18"/>
                <w:szCs w:val="18"/>
              </w:rPr>
              <w:t>Yes. ERS is a capacity incentive, but is not limited to mid-to-large customers (Weather Sensitive ERS can include Residential DR).</w:t>
            </w:r>
          </w:p>
        </w:tc>
        <w:tc>
          <w:tcPr>
            <w:tcW w:w="2338" w:type="dxa"/>
          </w:tcPr>
          <w:p w14:paraId="044F5F9D" w14:textId="5CFB6E4E" w:rsidR="00800823" w:rsidRPr="009B79BC" w:rsidRDefault="009C743F" w:rsidP="00800823">
            <w:pPr>
              <w:pStyle w:val="NormalArial"/>
              <w:rPr>
                <w:sz w:val="18"/>
                <w:szCs w:val="18"/>
              </w:rPr>
            </w:pPr>
            <w:r w:rsidRPr="009B79BC">
              <w:rPr>
                <w:sz w:val="18"/>
                <w:szCs w:val="18"/>
              </w:rPr>
              <w:t>ERS deployment is limited to defined tight system conditions and is accounted for in wholesale market price formation. Notably, ERS is established in PUCT rule and is not an ERCOT discretionary program.</w:t>
            </w:r>
            <w:r w:rsidRPr="009B79BC">
              <w:rPr>
                <w:rStyle w:val="FootnoteReference"/>
                <w:sz w:val="18"/>
                <w:szCs w:val="18"/>
              </w:rPr>
              <w:footnoteReference w:id="10"/>
            </w:r>
          </w:p>
        </w:tc>
      </w:tr>
      <w:tr w:rsidR="00800823" w14:paraId="679DD931" w14:textId="77777777" w:rsidTr="00F316EA">
        <w:trPr>
          <w:cantSplit/>
        </w:trPr>
        <w:tc>
          <w:tcPr>
            <w:tcW w:w="2337" w:type="dxa"/>
          </w:tcPr>
          <w:p w14:paraId="4B7C532C" w14:textId="3B310B0C" w:rsidR="00800823" w:rsidRPr="009B79BC" w:rsidRDefault="00800823" w:rsidP="00800823">
            <w:pPr>
              <w:pStyle w:val="NormalArial"/>
              <w:rPr>
                <w:sz w:val="18"/>
                <w:szCs w:val="18"/>
              </w:rPr>
            </w:pPr>
            <w:r w:rsidRPr="009B79BC">
              <w:rPr>
                <w:sz w:val="18"/>
                <w:szCs w:val="18"/>
              </w:rPr>
              <w:lastRenderedPageBreak/>
              <w:t>TDU Load Management Programs</w:t>
            </w:r>
          </w:p>
        </w:tc>
        <w:tc>
          <w:tcPr>
            <w:tcW w:w="2337" w:type="dxa"/>
          </w:tcPr>
          <w:p w14:paraId="7B8F9C6B" w14:textId="2170BA07" w:rsidR="00800823" w:rsidRPr="009B79BC" w:rsidRDefault="00800823" w:rsidP="00800823">
            <w:pPr>
              <w:pStyle w:val="NormalArial"/>
              <w:rPr>
                <w:sz w:val="18"/>
                <w:szCs w:val="18"/>
              </w:rPr>
            </w:pPr>
            <w:r w:rsidRPr="009B79BC">
              <w:rPr>
                <w:sz w:val="18"/>
                <w:szCs w:val="18"/>
              </w:rPr>
              <w:t>Demand Response for Mid-to-Large Commercial and Industrial Consumers</w:t>
            </w:r>
          </w:p>
        </w:tc>
        <w:tc>
          <w:tcPr>
            <w:tcW w:w="2338" w:type="dxa"/>
          </w:tcPr>
          <w:p w14:paraId="4F70A21E" w14:textId="57B3E8A8" w:rsidR="00800823" w:rsidRPr="009B79BC" w:rsidRDefault="009C743F" w:rsidP="00800823">
            <w:pPr>
              <w:pStyle w:val="NormalArial"/>
              <w:rPr>
                <w:sz w:val="18"/>
                <w:szCs w:val="18"/>
              </w:rPr>
            </w:pPr>
            <w:r w:rsidRPr="009B79BC">
              <w:rPr>
                <w:sz w:val="18"/>
                <w:szCs w:val="18"/>
              </w:rPr>
              <w:t>Yes. TDU load management programs are a capacity incentive, but are not limited to mid-to-large customers (they can and do include Residential DR).</w:t>
            </w:r>
          </w:p>
        </w:tc>
        <w:tc>
          <w:tcPr>
            <w:tcW w:w="2338" w:type="dxa"/>
          </w:tcPr>
          <w:p w14:paraId="2F082C72" w14:textId="1BB32B55" w:rsidR="00800823" w:rsidRPr="009B79BC" w:rsidRDefault="009C743F" w:rsidP="00800823">
            <w:pPr>
              <w:pStyle w:val="NormalArial"/>
              <w:rPr>
                <w:sz w:val="18"/>
                <w:szCs w:val="18"/>
              </w:rPr>
            </w:pPr>
            <w:r w:rsidRPr="009B79BC">
              <w:rPr>
                <w:sz w:val="18"/>
                <w:szCs w:val="18"/>
              </w:rPr>
              <w:t>TDU load management program deployments are limited to defined tight system conditions and should be accounted for in wholesale market price formation.</w:t>
            </w:r>
            <w:r w:rsidRPr="009B79BC">
              <w:rPr>
                <w:rStyle w:val="FootnoteReference"/>
                <w:sz w:val="18"/>
                <w:szCs w:val="18"/>
              </w:rPr>
              <w:footnoteReference w:id="11"/>
            </w:r>
            <w:r w:rsidRPr="009B79BC">
              <w:rPr>
                <w:sz w:val="18"/>
                <w:szCs w:val="18"/>
              </w:rPr>
              <w:t xml:space="preserve"> Notably, TDU load management programs are established in </w:t>
            </w:r>
            <w:r w:rsidR="005C2D70" w:rsidRPr="009B79BC">
              <w:rPr>
                <w:sz w:val="18"/>
                <w:szCs w:val="18"/>
              </w:rPr>
              <w:t xml:space="preserve">statute and </w:t>
            </w:r>
            <w:r w:rsidRPr="009B79BC">
              <w:rPr>
                <w:sz w:val="18"/>
                <w:szCs w:val="18"/>
              </w:rPr>
              <w:t>PUCT rule and is not an ERCOT discretionary program.</w:t>
            </w:r>
            <w:r w:rsidRPr="009B79BC">
              <w:rPr>
                <w:rStyle w:val="FootnoteReference"/>
                <w:sz w:val="18"/>
                <w:szCs w:val="18"/>
              </w:rPr>
              <w:footnoteReference w:id="12"/>
            </w:r>
          </w:p>
        </w:tc>
      </w:tr>
      <w:tr w:rsidR="00800823" w14:paraId="26C00B9B" w14:textId="77777777" w:rsidTr="00F316EA">
        <w:trPr>
          <w:cantSplit/>
        </w:trPr>
        <w:tc>
          <w:tcPr>
            <w:tcW w:w="2337" w:type="dxa"/>
          </w:tcPr>
          <w:p w14:paraId="553CD6EF" w14:textId="23A158CC" w:rsidR="00800823" w:rsidRPr="009B79BC" w:rsidRDefault="00800823" w:rsidP="00800823">
            <w:pPr>
              <w:pStyle w:val="NormalArial"/>
              <w:rPr>
                <w:sz w:val="18"/>
                <w:szCs w:val="18"/>
              </w:rPr>
            </w:pPr>
            <w:r w:rsidRPr="009B79BC">
              <w:rPr>
                <w:sz w:val="18"/>
                <w:szCs w:val="18"/>
              </w:rPr>
              <w:t>SB6 Large Load Demand Reduction Program</w:t>
            </w:r>
          </w:p>
        </w:tc>
        <w:tc>
          <w:tcPr>
            <w:tcW w:w="2337" w:type="dxa"/>
          </w:tcPr>
          <w:p w14:paraId="1A0E704F" w14:textId="28E24205" w:rsidR="00800823" w:rsidRPr="009B79BC" w:rsidRDefault="00800823" w:rsidP="00800823">
            <w:pPr>
              <w:pStyle w:val="NormalArial"/>
              <w:rPr>
                <w:sz w:val="18"/>
                <w:szCs w:val="18"/>
              </w:rPr>
            </w:pPr>
            <w:r w:rsidRPr="009B79BC">
              <w:rPr>
                <w:sz w:val="18"/>
                <w:szCs w:val="18"/>
              </w:rPr>
              <w:t>Demand Response for Mid-to-Large Commercial and Industrial Consumers</w:t>
            </w:r>
          </w:p>
        </w:tc>
        <w:tc>
          <w:tcPr>
            <w:tcW w:w="2338" w:type="dxa"/>
          </w:tcPr>
          <w:p w14:paraId="36F7463D" w14:textId="59596F0C" w:rsidR="00800823" w:rsidRPr="009B79BC" w:rsidRDefault="005C2D70" w:rsidP="00800823">
            <w:pPr>
              <w:pStyle w:val="NormalArial"/>
              <w:rPr>
                <w:sz w:val="18"/>
                <w:szCs w:val="18"/>
              </w:rPr>
            </w:pPr>
            <w:r w:rsidRPr="009B79BC">
              <w:rPr>
                <w:sz w:val="18"/>
                <w:szCs w:val="18"/>
              </w:rPr>
              <w:t xml:space="preserve">TBD. The details of this program have not been established yet. PUCT Staff’s scoping questions in Project No. 58482 include whether it should be procured on </w:t>
            </w:r>
            <w:proofErr w:type="gramStart"/>
            <w:r w:rsidRPr="009B79BC">
              <w:rPr>
                <w:sz w:val="18"/>
                <w:szCs w:val="18"/>
              </w:rPr>
              <w:t>an</w:t>
            </w:r>
            <w:proofErr w:type="gramEnd"/>
            <w:r w:rsidRPr="009B79BC">
              <w:rPr>
                <w:sz w:val="18"/>
                <w:szCs w:val="18"/>
              </w:rPr>
              <w:t xml:space="preserve"> </w:t>
            </w:r>
            <w:proofErr w:type="gramStart"/>
            <w:r w:rsidRPr="009B79BC">
              <w:rPr>
                <w:sz w:val="18"/>
                <w:szCs w:val="18"/>
              </w:rPr>
              <w:t>as-needed</w:t>
            </w:r>
            <w:proofErr w:type="gramEnd"/>
            <w:r w:rsidRPr="009B79BC">
              <w:rPr>
                <w:sz w:val="18"/>
                <w:szCs w:val="18"/>
              </w:rPr>
              <w:t xml:space="preserve"> or a seasonal basis. </w:t>
            </w:r>
          </w:p>
        </w:tc>
        <w:tc>
          <w:tcPr>
            <w:tcW w:w="2338" w:type="dxa"/>
          </w:tcPr>
          <w:p w14:paraId="474E6D33" w14:textId="3755AF9C" w:rsidR="00800823" w:rsidRPr="009B79BC" w:rsidRDefault="008C0728" w:rsidP="00800823">
            <w:pPr>
              <w:pStyle w:val="NormalArial"/>
              <w:rPr>
                <w:sz w:val="18"/>
                <w:szCs w:val="18"/>
              </w:rPr>
            </w:pPr>
            <w:r w:rsidRPr="009B79BC">
              <w:rPr>
                <w:sz w:val="18"/>
                <w:szCs w:val="18"/>
              </w:rPr>
              <w:t>While details remain to be worked out, program deployments are limited to defined tight system conditions and should be accounted for in wholesale market price formation.</w:t>
            </w:r>
            <w:r w:rsidRPr="009B79BC">
              <w:rPr>
                <w:rStyle w:val="FootnoteReference"/>
                <w:sz w:val="18"/>
                <w:szCs w:val="18"/>
              </w:rPr>
              <w:footnoteReference w:id="13"/>
            </w:r>
            <w:r w:rsidRPr="009B79BC">
              <w:rPr>
                <w:sz w:val="18"/>
                <w:szCs w:val="18"/>
              </w:rPr>
              <w:t xml:space="preserve"> Notably, the SB6 Large Load Demand Reduction Program is established in statute and will be implemented in PUCT rule, and is not an ERCOT discretionary program.</w:t>
            </w:r>
            <w:r w:rsidRPr="009B79BC">
              <w:rPr>
                <w:rStyle w:val="FootnoteReference"/>
                <w:sz w:val="18"/>
                <w:szCs w:val="18"/>
              </w:rPr>
              <w:footnoteReference w:id="14"/>
            </w:r>
          </w:p>
        </w:tc>
      </w:tr>
    </w:tbl>
    <w:p w14:paraId="503F2AB3" w14:textId="77777777" w:rsidR="00D52C28" w:rsidRDefault="00D52C28" w:rsidP="00B91050">
      <w:pPr>
        <w:pStyle w:val="NormalArial"/>
      </w:pPr>
    </w:p>
    <w:p w14:paraId="22305C39" w14:textId="0EDD73C3" w:rsidR="00B15E1D" w:rsidRDefault="00B91050" w:rsidP="00B91050">
      <w:pPr>
        <w:pStyle w:val="NormalArial"/>
      </w:pPr>
      <w:r>
        <w:t xml:space="preserve">Reliant’s list </w:t>
      </w:r>
      <w:r w:rsidR="00E3522A" w:rsidRPr="002B7B79">
        <w:rPr>
          <w:i/>
          <w:iCs/>
        </w:rPr>
        <w:t>does</w:t>
      </w:r>
      <w:r w:rsidR="00E3522A">
        <w:t xml:space="preserve"> </w:t>
      </w:r>
      <w:r>
        <w:t xml:space="preserve">show that </w:t>
      </w:r>
      <w:r w:rsidR="008C0728">
        <w:t xml:space="preserve">Texas and federal </w:t>
      </w:r>
      <w:r>
        <w:t xml:space="preserve">policymakers have, at times, adopted targeted reliability tools </w:t>
      </w:r>
      <w:r w:rsidR="008C0728">
        <w:t xml:space="preserve">and programs </w:t>
      </w:r>
      <w:r>
        <w:t xml:space="preserve">for specific purposes. </w:t>
      </w:r>
      <w:r w:rsidR="00A551EE">
        <w:t>However, those limited tools and policies</w:t>
      </w:r>
      <w:r>
        <w:t xml:space="preserve"> </w:t>
      </w:r>
      <w:r w:rsidR="008C0728">
        <w:t>increasingly recognize the need to be consistent with, or at the very least minimize harm to, the existing market structure (currently, energy-only), and th</w:t>
      </w:r>
      <w:r w:rsidR="008C7C7D">
        <w:t>at</w:t>
      </w:r>
      <w:r w:rsidR="008C0728">
        <w:t xml:space="preserve"> out-of-market programs rely on PUCT rule if </w:t>
      </w:r>
      <w:proofErr w:type="gramStart"/>
      <w:r w:rsidR="008C0728">
        <w:t>not</w:t>
      </w:r>
      <w:proofErr w:type="gramEnd"/>
      <w:r w:rsidR="008C0728">
        <w:t xml:space="preserve"> a statutory basis</w:t>
      </w:r>
      <w:r w:rsidR="008C7C7D">
        <w:t>.</w:t>
      </w:r>
      <w:r w:rsidR="008C0728">
        <w:t xml:space="preserve"> </w:t>
      </w:r>
      <w:r w:rsidR="008C7C7D">
        <w:t>T</w:t>
      </w:r>
      <w:r w:rsidR="008C0728">
        <w:t xml:space="preserve">hey </w:t>
      </w:r>
      <w:r w:rsidR="00A551EE">
        <w:t xml:space="preserve">do </w:t>
      </w:r>
      <w:r w:rsidRPr="000B5A76">
        <w:rPr>
          <w:i/>
          <w:iCs/>
        </w:rPr>
        <w:t>not</w:t>
      </w:r>
      <w:r>
        <w:t xml:space="preserve"> establish that ERCOT </w:t>
      </w:r>
      <w:r w:rsidR="008C0728">
        <w:t>can create new</w:t>
      </w:r>
      <w:r w:rsidR="008C7C7D">
        <w:t>,</w:t>
      </w:r>
      <w:r w:rsidR="008C0728">
        <w:t xml:space="preserve"> out-of-</w:t>
      </w:r>
      <w:r>
        <w:t xml:space="preserve">market </w:t>
      </w:r>
      <w:r w:rsidR="008C0728">
        <w:t xml:space="preserve">programs </w:t>
      </w:r>
      <w:r w:rsidR="00DC4A17">
        <w:t xml:space="preserve">from </w:t>
      </w:r>
      <w:r w:rsidR="008C0728">
        <w:t xml:space="preserve">whole-cloth </w:t>
      </w:r>
      <w:r>
        <w:t xml:space="preserve">with broad capacity incentives. </w:t>
      </w:r>
      <w:r w:rsidR="00F52547">
        <w:t>By focusing on whether a payment is for capacity versus energy, Reliant’s list highlights a key design principle that is missing from the residential DR program.  The changes to the ancillary service market design typically started with identification of a reliability need and then provided compensation to reward the resources that could meet those needs.  ERCOT and Reliant have not identified a unique, uncompensated system need that the residential DR program is addressing.</w:t>
      </w:r>
    </w:p>
    <w:p w14:paraId="26149727" w14:textId="77777777" w:rsidR="00B15E1D" w:rsidRDefault="00B15E1D" w:rsidP="00B91050">
      <w:pPr>
        <w:pStyle w:val="NormalArial"/>
      </w:pPr>
    </w:p>
    <w:p w14:paraId="5B72113C" w14:textId="014325BE" w:rsidR="00B91050" w:rsidRDefault="000246C9" w:rsidP="00B91050">
      <w:pPr>
        <w:pStyle w:val="NormalArial"/>
      </w:pPr>
      <w:r>
        <w:t xml:space="preserve">In addition, </w:t>
      </w:r>
      <w:r w:rsidR="00B15E1D">
        <w:t xml:space="preserve">the </w:t>
      </w:r>
      <w:r>
        <w:t>t</w:t>
      </w:r>
      <w:r w:rsidR="00B91050">
        <w:t>wo studies</w:t>
      </w:r>
      <w:r w:rsidR="00643255">
        <w:t xml:space="preserve"> </w:t>
      </w:r>
      <w:r w:rsidR="00B15E1D">
        <w:t xml:space="preserve">cited by Reliant </w:t>
      </w:r>
      <w:r w:rsidR="00643255">
        <w:t xml:space="preserve">(Charles River </w:t>
      </w:r>
      <w:r w:rsidR="004248F9">
        <w:t xml:space="preserve">Associates </w:t>
      </w:r>
      <w:r w:rsidR="00643255">
        <w:t>&amp; Brattle</w:t>
      </w:r>
      <w:r w:rsidR="004248F9">
        <w:t xml:space="preserve"> Group</w:t>
      </w:r>
      <w:r w:rsidR="00663EBB">
        <w:rPr>
          <w:rStyle w:val="FootnoteReference"/>
        </w:rPr>
        <w:footnoteReference w:id="15"/>
      </w:r>
      <w:r w:rsidR="00643255">
        <w:t>)</w:t>
      </w:r>
      <w:r w:rsidR="00B91050">
        <w:t xml:space="preserve"> do not by themselves establish that a new </w:t>
      </w:r>
      <w:r w:rsidR="00B15E1D">
        <w:t xml:space="preserve">out-of-market </w:t>
      </w:r>
      <w:r w:rsidR="00B91050">
        <w:t xml:space="preserve">residential DR program is </w:t>
      </w:r>
      <w:r w:rsidR="00B91050">
        <w:lastRenderedPageBreak/>
        <w:t xml:space="preserve">needed or </w:t>
      </w:r>
      <w:r w:rsidR="00B15E1D">
        <w:t>appropriate, particularly when</w:t>
      </w:r>
      <w:r w:rsidR="00B91050">
        <w:t xml:space="preserve"> market-based alternatives</w:t>
      </w:r>
      <w:r w:rsidR="00B15E1D">
        <w:t xml:space="preserve"> exist</w:t>
      </w:r>
      <w:r w:rsidR="00B91050">
        <w:t xml:space="preserve">. </w:t>
      </w:r>
      <w:r w:rsidR="00B15E1D">
        <w:t>In fact,</w:t>
      </w:r>
      <w:r w:rsidR="00575B85">
        <w:t xml:space="preserve"> </w:t>
      </w:r>
      <w:r w:rsidR="00B15E1D">
        <w:t xml:space="preserve">Charles River Associates notes that “Load and DR resources in FERC-jurisdictional RTOs/ISOs earn the majority of their market revenues from capacity markets,” but also </w:t>
      </w:r>
      <w:r w:rsidR="000B5A76">
        <w:t xml:space="preserve">that </w:t>
      </w:r>
      <w:r w:rsidR="00B15E1D">
        <w:t>ERCOT</w:t>
      </w:r>
      <w:r w:rsidR="00D5326F">
        <w:t>’s</w:t>
      </w:r>
      <w:r w:rsidR="00B15E1D">
        <w:t xml:space="preserve"> </w:t>
      </w:r>
      <w:r w:rsidR="00D5326F">
        <w:t xml:space="preserve">total </w:t>
      </w:r>
      <w:r w:rsidR="00B15E1D">
        <w:t xml:space="preserve">DR </w:t>
      </w:r>
      <w:r w:rsidR="00D5326F">
        <w:t xml:space="preserve">performance </w:t>
      </w:r>
      <w:r w:rsidR="000B5A76">
        <w:t>i</w:t>
      </w:r>
      <w:r w:rsidR="00B15E1D">
        <w:t xml:space="preserve">s </w:t>
      </w:r>
      <w:r w:rsidR="002C02EA">
        <w:t xml:space="preserve">about average </w:t>
      </w:r>
      <w:r w:rsidR="00B15E1D">
        <w:t xml:space="preserve">when compared across </w:t>
      </w:r>
      <w:r w:rsidR="00D865DE">
        <w:t xml:space="preserve">other </w:t>
      </w:r>
      <w:r w:rsidR="00B15E1D">
        <w:t>RTOs/ISOs</w:t>
      </w:r>
      <w:r w:rsidR="00240880">
        <w:t>,</w:t>
      </w:r>
      <w:r w:rsidR="00D54DE9" w:rsidRPr="00D54DE9">
        <w:t xml:space="preserve"> </w:t>
      </w:r>
      <w:r w:rsidR="00D54DE9">
        <w:t xml:space="preserve">even </w:t>
      </w:r>
      <w:r w:rsidR="00A40FB3">
        <w:t>outperforming some.</w:t>
      </w:r>
      <w:r w:rsidR="00A40FB3">
        <w:rPr>
          <w:rStyle w:val="FootnoteReference"/>
        </w:rPr>
        <w:footnoteReference w:id="16"/>
      </w:r>
      <w:r w:rsidR="00A40FB3">
        <w:t xml:space="preserve"> </w:t>
      </w:r>
      <w:r w:rsidR="009F6AF1">
        <w:t xml:space="preserve">It should be noted that the study </w:t>
      </w:r>
      <w:r w:rsidR="00D54DE9">
        <w:t>exclud</w:t>
      </w:r>
      <w:r w:rsidR="009F6AF1">
        <w:t>es</w:t>
      </w:r>
      <w:r w:rsidR="00D54DE9">
        <w:t xml:space="preserve"> the large amount of price-responsive load in ERCOT</w:t>
      </w:r>
      <w:r w:rsidR="00B8451B">
        <w:t xml:space="preserve">. </w:t>
      </w:r>
      <w:r w:rsidR="00E052B5">
        <w:t>Moreover</w:t>
      </w:r>
      <w:r w:rsidR="002C02EA">
        <w:t xml:space="preserve">, Charles River </w:t>
      </w:r>
      <w:r w:rsidR="00E052B5">
        <w:t>Associates</w:t>
      </w:r>
      <w:r w:rsidR="001F00A5">
        <w:t xml:space="preserve"> does not endorse the RDR program as appropriate for the ERCOT market structure</w:t>
      </w:r>
      <w:r w:rsidR="001E1A44">
        <w:t>. I</w:t>
      </w:r>
      <w:r w:rsidR="001F00A5">
        <w:t>nstead</w:t>
      </w:r>
      <w:r w:rsidR="001E1A44">
        <w:t>,</w:t>
      </w:r>
      <w:r w:rsidR="001F00A5">
        <w:t xml:space="preserve"> </w:t>
      </w:r>
      <w:r w:rsidR="001E1A44">
        <w:t>the study</w:t>
      </w:r>
      <w:r w:rsidR="001F00A5">
        <w:t xml:space="preserve"> answers very different questions, such as whether the RDR framework overlaps with load participation in ancillary services or other DR programs</w:t>
      </w:r>
      <w:r w:rsidR="00F2301B">
        <w:t xml:space="preserve"> and</w:t>
      </w:r>
      <w:r w:rsidR="001F00A5">
        <w:t xml:space="preserve"> whether proposed RDR compensation seems in-line with capacity market compensation in other markets</w:t>
      </w:r>
      <w:r w:rsidR="007C6D87">
        <w:t xml:space="preserve">. </w:t>
      </w:r>
      <w:r w:rsidR="001F24A7">
        <w:t>While t</w:t>
      </w:r>
      <w:r w:rsidR="007C6D87">
        <w:t>he study recognizes</w:t>
      </w:r>
      <w:r w:rsidR="001F00A5">
        <w:t xml:space="preserve"> stakeholder concerns about price formation impacts and ERCOT’s proposed heuristic approach to RDPA adjustments</w:t>
      </w:r>
      <w:r w:rsidR="00A6742D">
        <w:t xml:space="preserve">, it does not </w:t>
      </w:r>
      <w:r w:rsidR="0031210C">
        <w:t xml:space="preserve">evaluate </w:t>
      </w:r>
      <w:r w:rsidR="00B50E27">
        <w:t>its effectiveness or offer alternatives</w:t>
      </w:r>
      <w:r w:rsidR="001F00A5">
        <w:t xml:space="preserve">. </w:t>
      </w:r>
      <w:r w:rsidR="00AE513D">
        <w:t xml:space="preserve">Importantly, </w:t>
      </w:r>
      <w:r w:rsidR="001F00A5">
        <w:t>Charles River Associates cautions that “it is essential to establish accurate baselines for DR resources to avoid undue payments to DR program administrators and prevent gaming” but also notes ERCOT’s feedback that establishing accurate baselines would be “challenging” for residential consumers.</w:t>
      </w:r>
      <w:r w:rsidR="001F00A5">
        <w:rPr>
          <w:rStyle w:val="FootnoteReference"/>
        </w:rPr>
        <w:footnoteReference w:id="17"/>
      </w:r>
      <w:r w:rsidR="001F00A5">
        <w:t xml:space="preserve"> </w:t>
      </w:r>
      <w:r w:rsidR="00DB1B9A">
        <w:t>Vistra notes that n</w:t>
      </w:r>
      <w:r w:rsidR="00A338F4">
        <w:t>atural price response to wholesale market price signals does not face this challenge.</w:t>
      </w:r>
      <w:r w:rsidR="001F00A5">
        <w:t xml:space="preserve"> </w:t>
      </w:r>
      <w:r w:rsidR="00E052B5">
        <w:t xml:space="preserve"> </w:t>
      </w:r>
    </w:p>
    <w:p w14:paraId="420C0BD4" w14:textId="77777777" w:rsidR="00B91050" w:rsidRDefault="00B91050" w:rsidP="00B91050">
      <w:pPr>
        <w:pStyle w:val="NormalArial"/>
      </w:pPr>
    </w:p>
    <w:p w14:paraId="2917DA6A" w14:textId="4A739DA5" w:rsidR="002B7B79" w:rsidRDefault="00B91050" w:rsidP="00B91050">
      <w:pPr>
        <w:pStyle w:val="NormalArial"/>
      </w:pPr>
      <w:r>
        <w:t xml:space="preserve">Accordingly, </w:t>
      </w:r>
      <w:r w:rsidR="00B25DDB">
        <w:t>Vistra agrees with Reliant that it is “</w:t>
      </w:r>
      <w:r w:rsidR="00B25DDB" w:rsidRPr="00724288">
        <w:t>still important to emphasize and preserve the price signal from the energy and Ancillary Service markets to the greatest extent possible to retain the efficiency benefits and contribution to enhanced reliability</w:t>
      </w:r>
      <w:r w:rsidR="00B25DDB">
        <w:t>.”</w:t>
      </w:r>
      <w:r w:rsidR="000E74C3" w:rsidRPr="000E74C3">
        <w:t xml:space="preserve"> </w:t>
      </w:r>
      <w:r w:rsidR="000E74C3">
        <w:t xml:space="preserve">Before creating a new out-of-market construct for one class of resource, however, ERCOT should first exhaust reforms that preserve the same price signal for all qualified resources and avoid creating walled gardens, selective subsidies, or new settlement complexity. If that is insufficient, then any out-of-market program should be authorized by statute and Commission </w:t>
      </w:r>
      <w:r w:rsidR="00C61CCC">
        <w:t>rule and</w:t>
      </w:r>
      <w:r w:rsidR="000E74C3">
        <w:t xml:space="preserve"> adhere to the </w:t>
      </w:r>
      <w:r w:rsidR="000B5A76">
        <w:t xml:space="preserve">five </w:t>
      </w:r>
      <w:r w:rsidR="000E74C3">
        <w:t xml:space="preserve">principles laid out in combination </w:t>
      </w:r>
      <w:proofErr w:type="gramStart"/>
      <w:r w:rsidR="000E74C3">
        <w:t>between</w:t>
      </w:r>
      <w:proofErr w:type="gramEnd"/>
      <w:r w:rsidR="000E74C3">
        <w:t xml:space="preserve"> Reliant’s and Vistra’s comments.</w:t>
      </w:r>
    </w:p>
    <w:p w14:paraId="258E45D7" w14:textId="77777777" w:rsidR="00874F87" w:rsidRDefault="00874F87" w:rsidP="00337CB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74F87" w14:paraId="3A6A63CB" w14:textId="77777777" w:rsidTr="00861847">
        <w:trPr>
          <w:trHeight w:val="350"/>
        </w:trPr>
        <w:tc>
          <w:tcPr>
            <w:tcW w:w="10440" w:type="dxa"/>
            <w:tcBorders>
              <w:bottom w:val="single" w:sz="4" w:space="0" w:color="auto"/>
            </w:tcBorders>
            <w:shd w:val="clear" w:color="auto" w:fill="FFFFFF" w:themeFill="background1"/>
            <w:vAlign w:val="center"/>
          </w:tcPr>
          <w:p w14:paraId="3D09C229" w14:textId="77777777" w:rsidR="00874F87" w:rsidRDefault="00874F87" w:rsidP="00861847">
            <w:pPr>
              <w:pStyle w:val="Header"/>
              <w:jc w:val="center"/>
            </w:pPr>
            <w:r>
              <w:t>Revised Cover Page Language</w:t>
            </w:r>
          </w:p>
        </w:tc>
      </w:tr>
    </w:tbl>
    <w:p w14:paraId="1E832A15" w14:textId="77777777" w:rsidR="00874F87" w:rsidRDefault="00874F87" w:rsidP="00874F8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74F87" w14:paraId="6A93B1A7" w14:textId="77777777" w:rsidTr="00861847">
        <w:trPr>
          <w:trHeight w:val="350"/>
        </w:trPr>
        <w:tc>
          <w:tcPr>
            <w:tcW w:w="10440" w:type="dxa"/>
            <w:tcBorders>
              <w:bottom w:val="single" w:sz="4" w:space="0" w:color="auto"/>
            </w:tcBorders>
            <w:shd w:val="clear" w:color="auto" w:fill="FFFFFF" w:themeFill="background1"/>
            <w:vAlign w:val="center"/>
          </w:tcPr>
          <w:p w14:paraId="28F2181C" w14:textId="77777777" w:rsidR="00874F87" w:rsidRDefault="00874F87" w:rsidP="00861847">
            <w:pPr>
              <w:pStyle w:val="Header"/>
              <w:jc w:val="center"/>
            </w:pPr>
            <w:r>
              <w:t>Revised Proposed Protocol Language</w:t>
            </w:r>
          </w:p>
        </w:tc>
      </w:tr>
    </w:tbl>
    <w:p w14:paraId="3F133872" w14:textId="77777777" w:rsidR="00874F87" w:rsidRDefault="00874F87" w:rsidP="00874F87">
      <w:pPr>
        <w:pStyle w:val="NormalArial"/>
        <w:spacing w:before="120" w:after="120"/>
      </w:pPr>
      <w:r>
        <w:t>None</w:t>
      </w:r>
    </w:p>
    <w:p w14:paraId="501038EB" w14:textId="77777777" w:rsidR="00337CB4" w:rsidRDefault="00337CB4" w:rsidP="00337CB4">
      <w:pPr>
        <w:pStyle w:val="NormalArial"/>
      </w:pPr>
    </w:p>
    <w:sectPr w:rsidR="00337CB4"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B054" w14:textId="77777777" w:rsidR="00DA711F" w:rsidRDefault="00DA711F">
      <w:r>
        <w:separator/>
      </w:r>
    </w:p>
  </w:endnote>
  <w:endnote w:type="continuationSeparator" w:id="0">
    <w:p w14:paraId="2899E3BC" w14:textId="77777777" w:rsidR="00DA711F" w:rsidRDefault="00DA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CCE9" w14:textId="5A6E5E71" w:rsidR="00EE6681" w:rsidRDefault="00874F87" w:rsidP="0074209E">
    <w:pPr>
      <w:pStyle w:val="Footer"/>
      <w:tabs>
        <w:tab w:val="clear" w:pos="4320"/>
        <w:tab w:val="clear" w:pos="8640"/>
        <w:tab w:val="right" w:pos="9360"/>
      </w:tabs>
      <w:rPr>
        <w:rFonts w:ascii="Arial" w:hAnsi="Arial"/>
        <w:sz w:val="18"/>
      </w:rPr>
    </w:pPr>
    <w:r>
      <w:rPr>
        <w:rFonts w:ascii="Arial" w:hAnsi="Arial"/>
        <w:sz w:val="18"/>
      </w:rPr>
      <w:t>1296NPRR-1</w:t>
    </w:r>
    <w:r w:rsidR="00527711">
      <w:rPr>
        <w:rFonts w:ascii="Arial" w:hAnsi="Arial"/>
        <w:sz w:val="18"/>
      </w:rPr>
      <w:t>8</w:t>
    </w:r>
    <w:r>
      <w:rPr>
        <w:rFonts w:ascii="Arial" w:hAnsi="Arial"/>
        <w:sz w:val="18"/>
      </w:rPr>
      <w:t xml:space="preserve"> </w:t>
    </w:r>
    <w:r w:rsidR="00527711">
      <w:rPr>
        <w:rFonts w:ascii="Arial" w:hAnsi="Arial"/>
        <w:sz w:val="18"/>
      </w:rPr>
      <w:t>Vistra</w:t>
    </w:r>
    <w:r w:rsidR="00491E6B">
      <w:rPr>
        <w:rFonts w:ascii="Arial" w:hAnsi="Arial"/>
        <w:sz w:val="18"/>
      </w:rPr>
      <w:t xml:space="preserve"> Comments 0</w:t>
    </w:r>
    <w:r w:rsidR="001B4115">
      <w:rPr>
        <w:rFonts w:ascii="Arial" w:hAnsi="Arial"/>
        <w:sz w:val="18"/>
      </w:rPr>
      <w:t>60</w:t>
    </w:r>
    <w:r w:rsidR="00627E78">
      <w:rPr>
        <w:rFonts w:ascii="Arial" w:hAnsi="Arial"/>
        <w:sz w:val="18"/>
      </w:rPr>
      <w:t>2</w:t>
    </w:r>
    <w:r w:rsidR="00491E6B">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6FECFF9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9343" w14:textId="77777777" w:rsidR="00DA711F" w:rsidRDefault="00DA711F">
      <w:r>
        <w:separator/>
      </w:r>
    </w:p>
  </w:footnote>
  <w:footnote w:type="continuationSeparator" w:id="0">
    <w:p w14:paraId="44E33ED7" w14:textId="77777777" w:rsidR="00DA711F" w:rsidRDefault="00DA711F">
      <w:r>
        <w:continuationSeparator/>
      </w:r>
    </w:p>
  </w:footnote>
  <w:footnote w:id="1">
    <w:p w14:paraId="0C8AB19A" w14:textId="77777777" w:rsidR="00EC78E2" w:rsidRDefault="00EC78E2" w:rsidP="00EC78E2">
      <w:pPr>
        <w:pStyle w:val="FootnoteText"/>
      </w:pPr>
      <w:r>
        <w:rPr>
          <w:rStyle w:val="FootnoteReference"/>
        </w:rPr>
        <w:footnoteRef/>
      </w:r>
      <w:r>
        <w:t xml:space="preserve"> </w:t>
      </w:r>
      <w:hyperlink r:id="rId1" w:history="1">
        <w:r w:rsidRPr="00D70A65">
          <w:rPr>
            <w:rStyle w:val="Hyperlink"/>
          </w:rPr>
          <w:t>https://www.ercot.com/files/docs/2026/05/27/1296NPRR-17-Reliant-Comments-052726.docx</w:t>
        </w:r>
      </w:hyperlink>
      <w:r>
        <w:t xml:space="preserve"> </w:t>
      </w:r>
    </w:p>
  </w:footnote>
  <w:footnote w:id="2">
    <w:p w14:paraId="4DD26A47" w14:textId="77777777" w:rsidR="003D4DC6" w:rsidRDefault="003D4DC6" w:rsidP="003D4DC6">
      <w:pPr>
        <w:pStyle w:val="FootnoteText"/>
      </w:pPr>
      <w:r>
        <w:rPr>
          <w:rStyle w:val="FootnoteReference"/>
        </w:rPr>
        <w:footnoteRef/>
      </w:r>
      <w:r>
        <w:t xml:space="preserve"> </w:t>
      </w:r>
      <w:hyperlink r:id="rId2" w:history="1">
        <w:r w:rsidRPr="00D70A65">
          <w:rPr>
            <w:rStyle w:val="Hyperlink"/>
          </w:rPr>
          <w:t>https://www.ercot.com/files/docs/2025/09/10/1296NPRR-03-Vistra-Comments-091025.docx</w:t>
        </w:r>
      </w:hyperlink>
      <w:r>
        <w:t xml:space="preserve"> </w:t>
      </w:r>
    </w:p>
  </w:footnote>
  <w:footnote w:id="3">
    <w:p w14:paraId="7954E0F7" w14:textId="76B471CE" w:rsidR="005C67D0" w:rsidRDefault="005C67D0">
      <w:pPr>
        <w:pStyle w:val="FootnoteText"/>
      </w:pPr>
      <w:r>
        <w:rPr>
          <w:rStyle w:val="FootnoteReference"/>
        </w:rPr>
        <w:footnoteRef/>
      </w:r>
      <w:r>
        <w:t xml:space="preserve"> </w:t>
      </w:r>
      <w:hyperlink r:id="rId3" w:history="1">
        <w:r w:rsidRPr="00886FB1">
          <w:rPr>
            <w:rStyle w:val="Hyperlink"/>
          </w:rPr>
          <w:t>https://www.ercot.com/files/docs/2026/02/24/1296NPRR-16-IMM-Comments-022426.docx</w:t>
        </w:r>
      </w:hyperlink>
      <w:r>
        <w:t xml:space="preserve"> </w:t>
      </w:r>
    </w:p>
  </w:footnote>
  <w:footnote w:id="4">
    <w:p w14:paraId="5C2AD535" w14:textId="77777777" w:rsidR="008613F0" w:rsidRDefault="008613F0" w:rsidP="008613F0">
      <w:pPr>
        <w:pStyle w:val="FootnoteText"/>
      </w:pPr>
      <w:r>
        <w:rPr>
          <w:rStyle w:val="FootnoteReference"/>
        </w:rPr>
        <w:footnoteRef/>
      </w:r>
      <w:r>
        <w:t xml:space="preserve"> </w:t>
      </w:r>
      <w:r w:rsidRPr="00733D63">
        <w:t>https://www.ercot.com/files/docs/2026/03/26/14.-ADER-Pilot-Program-Update_04012026.pdf</w:t>
      </w:r>
    </w:p>
  </w:footnote>
  <w:footnote w:id="5">
    <w:p w14:paraId="1F798997" w14:textId="77777777" w:rsidR="00A338F4" w:rsidRDefault="00A338F4" w:rsidP="00A338F4">
      <w:pPr>
        <w:pStyle w:val="FootnoteText"/>
      </w:pPr>
      <w:r>
        <w:rPr>
          <w:rStyle w:val="FootnoteReference"/>
        </w:rPr>
        <w:footnoteRef/>
      </w:r>
      <w:r>
        <w:t xml:space="preserve"> Vistra has raised this concern from the inception of FFSS, originally advocating for a capacity-accredited portfolio standard but that is not how FFSS was ultimately designed. Vistra provided a short history on pp. 2-3 and 9-10 of its August 14, 2025 comments in PUCT Project No. 58434 (</w:t>
      </w:r>
      <w:hyperlink r:id="rId4" w:history="1">
        <w:r w:rsidRPr="00886FB1">
          <w:rPr>
            <w:rStyle w:val="Hyperlink"/>
          </w:rPr>
          <w:t>https://interchange.puc.texas.gov/search/documents/?controlNumber=58434&amp;itemNumber=11</w:t>
        </w:r>
      </w:hyperlink>
      <w:r>
        <w:t xml:space="preserve">), specifically highlighting this design choice graphically: </w:t>
      </w:r>
    </w:p>
    <w:p w14:paraId="14A0209A" w14:textId="77777777" w:rsidR="00A338F4" w:rsidRDefault="00A338F4" w:rsidP="00A338F4">
      <w:pPr>
        <w:pStyle w:val="FootnoteText"/>
      </w:pPr>
      <w:r w:rsidRPr="00B920DD">
        <w:rPr>
          <w:noProof/>
        </w:rPr>
        <w:drawing>
          <wp:inline distT="0" distB="0" distL="0" distR="0" wp14:anchorId="5E0F7701" wp14:editId="12555102">
            <wp:extent cx="2988528" cy="2296633"/>
            <wp:effectExtent l="0" t="0" r="2540" b="8890"/>
            <wp:docPr id="814983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5736" cy="2302172"/>
                    </a:xfrm>
                    <a:prstGeom prst="rect">
                      <a:avLst/>
                    </a:prstGeom>
                    <a:noFill/>
                    <a:ln>
                      <a:noFill/>
                    </a:ln>
                  </pic:spPr>
                </pic:pic>
              </a:graphicData>
            </a:graphic>
          </wp:inline>
        </w:drawing>
      </w:r>
    </w:p>
  </w:footnote>
  <w:footnote w:id="6">
    <w:p w14:paraId="7F739548" w14:textId="422CC5BE" w:rsidR="005C2D70" w:rsidRPr="005C2D70" w:rsidRDefault="005C2D70">
      <w:pPr>
        <w:pStyle w:val="FootnoteText"/>
      </w:pPr>
      <w:r>
        <w:rPr>
          <w:rStyle w:val="FootnoteReference"/>
        </w:rPr>
        <w:footnoteRef/>
      </w:r>
      <w:r>
        <w:t xml:space="preserve"> </w:t>
      </w:r>
      <w:r>
        <w:rPr>
          <w:i/>
          <w:iCs/>
        </w:rPr>
        <w:t>See</w:t>
      </w:r>
      <w:r>
        <w:t xml:space="preserve"> 16 TAC § 25.520 implementing PURA § 39.159 and the Commission’s order approving the blueprint for wholesale electric market design and directives to ERCOT in PUCT Project No. 52373 (January 13, 2022): </w:t>
      </w:r>
      <w:hyperlink r:id="rId6" w:history="1">
        <w:r w:rsidRPr="00886FB1">
          <w:rPr>
            <w:rStyle w:val="Hyperlink"/>
          </w:rPr>
          <w:t>https://interchange.puc.texas.gov/search/documents/?controlNumber=52373&amp;itemNumber=336</w:t>
        </w:r>
      </w:hyperlink>
      <w:r>
        <w:t xml:space="preserve">. </w:t>
      </w:r>
    </w:p>
  </w:footnote>
  <w:footnote w:id="7">
    <w:p w14:paraId="2E724DB6" w14:textId="23A79AE7" w:rsidR="00A338F4" w:rsidRPr="00A338F4" w:rsidRDefault="00A338F4">
      <w:pPr>
        <w:pStyle w:val="FootnoteText"/>
      </w:pPr>
      <w:r>
        <w:rPr>
          <w:rStyle w:val="FootnoteReference"/>
        </w:rPr>
        <w:footnoteRef/>
      </w:r>
      <w:r>
        <w:t xml:space="preserve"> </w:t>
      </w:r>
      <w:r>
        <w:rPr>
          <w:i/>
          <w:iCs/>
        </w:rPr>
        <w:t>See</w:t>
      </w:r>
      <w:r>
        <w:t xml:space="preserve"> 16 TAC §§ 25.510 &amp; 25.511, implementing PURA Chapter 34, Subchapter A.</w:t>
      </w:r>
    </w:p>
  </w:footnote>
  <w:footnote w:id="8">
    <w:p w14:paraId="3F5A1800" w14:textId="45322B74" w:rsidR="008E2015" w:rsidRDefault="008E2015">
      <w:pPr>
        <w:pStyle w:val="FootnoteText"/>
      </w:pPr>
      <w:r>
        <w:rPr>
          <w:rStyle w:val="FootnoteReference"/>
        </w:rPr>
        <w:footnoteRef/>
      </w:r>
      <w:r>
        <w:t xml:space="preserve"> </w:t>
      </w:r>
      <w:r w:rsidRPr="0002120B">
        <w:rPr>
          <w:i/>
          <w:iCs/>
        </w:rPr>
        <w:t>See</w:t>
      </w:r>
      <w:r>
        <w:t xml:space="preserve"> final order in Project No. 39917 establishing 16 TAC § 25.501 for further discussion (March 29, 2012): </w:t>
      </w:r>
      <w:hyperlink r:id="rId7" w:history="1">
        <w:r w:rsidRPr="00886FB1">
          <w:rPr>
            <w:rStyle w:val="Hyperlink"/>
          </w:rPr>
          <w:t>https://ftp.puc.texas.gov/public/puct-info/agency/rulesnlaws/subrules/electric/25.501/39917adt.pdf</w:t>
        </w:r>
      </w:hyperlink>
      <w:r>
        <w:t xml:space="preserve"> </w:t>
      </w:r>
    </w:p>
  </w:footnote>
  <w:footnote w:id="9">
    <w:p w14:paraId="4049A397" w14:textId="60411DF7" w:rsidR="008E2015" w:rsidRDefault="008E2015">
      <w:pPr>
        <w:pStyle w:val="FootnoteText"/>
      </w:pPr>
      <w:r>
        <w:rPr>
          <w:rStyle w:val="FootnoteReference"/>
        </w:rPr>
        <w:footnoteRef/>
      </w:r>
      <w:r>
        <w:t xml:space="preserve"> </w:t>
      </w:r>
      <w:r w:rsidRPr="0002120B">
        <w:rPr>
          <w:i/>
          <w:iCs/>
        </w:rPr>
        <w:t>See</w:t>
      </w:r>
      <w:r>
        <w:t xml:space="preserve"> 16 TAC § 25.192(b)(1).</w:t>
      </w:r>
    </w:p>
  </w:footnote>
  <w:footnote w:id="10">
    <w:p w14:paraId="3A147799" w14:textId="7707D171" w:rsidR="009C743F" w:rsidRPr="009C743F" w:rsidRDefault="009C743F">
      <w:pPr>
        <w:pStyle w:val="FootnoteText"/>
      </w:pPr>
      <w:r>
        <w:rPr>
          <w:rStyle w:val="FootnoteReference"/>
        </w:rPr>
        <w:footnoteRef/>
      </w:r>
      <w:r>
        <w:t xml:space="preserve"> </w:t>
      </w:r>
      <w:r>
        <w:rPr>
          <w:i/>
          <w:iCs/>
        </w:rPr>
        <w:t>See</w:t>
      </w:r>
      <w:r>
        <w:t xml:space="preserve"> 16 TAC § 25.507.</w:t>
      </w:r>
    </w:p>
  </w:footnote>
  <w:footnote w:id="11">
    <w:p w14:paraId="23580DEE" w14:textId="7C431DBA" w:rsidR="009C743F" w:rsidRDefault="009C743F">
      <w:pPr>
        <w:pStyle w:val="FootnoteText"/>
      </w:pPr>
      <w:r>
        <w:rPr>
          <w:rStyle w:val="FootnoteReference"/>
        </w:rPr>
        <w:footnoteRef/>
      </w:r>
      <w:r>
        <w:t xml:space="preserve"> Pending implementation of NPRR1006.</w:t>
      </w:r>
    </w:p>
  </w:footnote>
  <w:footnote w:id="12">
    <w:p w14:paraId="469C4497" w14:textId="78954889" w:rsidR="009C743F" w:rsidRPr="009C743F" w:rsidRDefault="009C743F">
      <w:pPr>
        <w:pStyle w:val="FootnoteText"/>
      </w:pPr>
      <w:r>
        <w:rPr>
          <w:rStyle w:val="FootnoteReference"/>
        </w:rPr>
        <w:footnoteRef/>
      </w:r>
      <w:r>
        <w:t xml:space="preserve"> </w:t>
      </w:r>
      <w:r>
        <w:rPr>
          <w:i/>
          <w:iCs/>
        </w:rPr>
        <w:t xml:space="preserve">See </w:t>
      </w:r>
      <w:r>
        <w:t>16 TAC § 25.181</w:t>
      </w:r>
      <w:r w:rsidR="005C2D70">
        <w:t>, implementing PURA § 39.905.</w:t>
      </w:r>
    </w:p>
  </w:footnote>
  <w:footnote w:id="13">
    <w:p w14:paraId="2E4531ED" w14:textId="2CF8E4A3" w:rsidR="008C0728" w:rsidRPr="008C0728" w:rsidRDefault="008C0728">
      <w:pPr>
        <w:pStyle w:val="FootnoteText"/>
      </w:pPr>
      <w:r>
        <w:rPr>
          <w:rStyle w:val="FootnoteReference"/>
        </w:rPr>
        <w:footnoteRef/>
      </w:r>
      <w:r>
        <w:t xml:space="preserve"> </w:t>
      </w:r>
      <w:r>
        <w:rPr>
          <w:i/>
          <w:iCs/>
        </w:rPr>
        <w:t>See</w:t>
      </w:r>
      <w:r>
        <w:t xml:space="preserve"> PURA § 39.170(c).</w:t>
      </w:r>
    </w:p>
  </w:footnote>
  <w:footnote w:id="14">
    <w:p w14:paraId="6D3ECE8F" w14:textId="19BE705C" w:rsidR="008C0728" w:rsidRPr="008C0728" w:rsidRDefault="008C0728">
      <w:pPr>
        <w:pStyle w:val="FootnoteText"/>
      </w:pPr>
      <w:r>
        <w:rPr>
          <w:rStyle w:val="FootnoteReference"/>
        </w:rPr>
        <w:footnoteRef/>
      </w:r>
      <w:r>
        <w:t xml:space="preserve"> </w:t>
      </w:r>
      <w:r>
        <w:rPr>
          <w:i/>
          <w:iCs/>
        </w:rPr>
        <w:t>See</w:t>
      </w:r>
      <w:r>
        <w:t xml:space="preserve"> PUCT Project No. 58484, implementing PURA § 39.170: </w:t>
      </w:r>
    </w:p>
  </w:footnote>
  <w:footnote w:id="15">
    <w:p w14:paraId="0E20B018" w14:textId="4DFCEF91" w:rsidR="00663EBB" w:rsidRDefault="00663EBB">
      <w:pPr>
        <w:pStyle w:val="FootnoteText"/>
      </w:pPr>
      <w:r>
        <w:rPr>
          <w:rStyle w:val="FootnoteReference"/>
        </w:rPr>
        <w:footnoteRef/>
      </w:r>
      <w:r>
        <w:t xml:space="preserve"> </w:t>
      </w:r>
      <w:hyperlink r:id="rId8" w:history="1">
        <w:r w:rsidR="001914A2" w:rsidRPr="00470867">
          <w:rPr>
            <w:rStyle w:val="Hyperlink"/>
          </w:rPr>
          <w:t>https://www.ercot.com/files/docs/2026/04/13/11.1-Strategic-Discussion-on-Resource-Adequacy-and-the-Role-of-Demand-Response.pdf</w:t>
        </w:r>
      </w:hyperlink>
      <w:r w:rsidR="00790E0A">
        <w:t xml:space="preserve">, </w:t>
      </w:r>
      <w:hyperlink r:id="rId9" w:history="1">
        <w:r w:rsidRPr="00470867">
          <w:rPr>
            <w:rStyle w:val="Hyperlink"/>
          </w:rPr>
          <w:t>https://www.ercot.com/files/docs/2026/01/16/1296NPRR-14b-Joint-Sponsors-Comments-011626.pdf</w:t>
        </w:r>
      </w:hyperlink>
    </w:p>
  </w:footnote>
  <w:footnote w:id="16">
    <w:p w14:paraId="4B95C732" w14:textId="77777777" w:rsidR="00A40FB3" w:rsidRPr="00B15E1D" w:rsidRDefault="00A40FB3" w:rsidP="00A40FB3">
      <w:pPr>
        <w:pStyle w:val="FootnoteText"/>
      </w:pPr>
      <w:r>
        <w:rPr>
          <w:rStyle w:val="FootnoteReference"/>
        </w:rPr>
        <w:footnoteRef/>
      </w:r>
      <w:r>
        <w:t xml:space="preserve"> </w:t>
      </w:r>
      <w:r>
        <w:rPr>
          <w:i/>
          <w:iCs/>
        </w:rPr>
        <w:t>Id.</w:t>
      </w:r>
      <w:r>
        <w:t xml:space="preserve"> at 28-30. </w:t>
      </w:r>
    </w:p>
  </w:footnote>
  <w:footnote w:id="17">
    <w:p w14:paraId="36D720E6" w14:textId="1A73762C" w:rsidR="001F00A5" w:rsidRPr="001F00A5" w:rsidRDefault="001F00A5">
      <w:pPr>
        <w:pStyle w:val="FootnoteText"/>
      </w:pPr>
      <w:r>
        <w:rPr>
          <w:rStyle w:val="FootnoteReference"/>
        </w:rPr>
        <w:footnoteRef/>
      </w:r>
      <w:r>
        <w:t xml:space="preserve"> </w:t>
      </w:r>
      <w:r>
        <w:rPr>
          <w:i/>
          <w:iCs/>
        </w:rPr>
        <w:t xml:space="preserve">Id. </w:t>
      </w:r>
      <w:r>
        <w:t>at 30-32 and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4D8A" w14:textId="77777777" w:rsidR="00EE6681" w:rsidRDefault="00EE6681">
    <w:pPr>
      <w:pStyle w:val="Header"/>
      <w:jc w:val="center"/>
      <w:rPr>
        <w:sz w:val="32"/>
      </w:rPr>
    </w:pPr>
    <w:r>
      <w:rPr>
        <w:sz w:val="32"/>
      </w:rPr>
      <w:t>NPRR Comments</w:t>
    </w:r>
  </w:p>
  <w:p w14:paraId="53F48983"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9574A9"/>
    <w:multiLevelType w:val="hybridMultilevel"/>
    <w:tmpl w:val="E6DE70BC"/>
    <w:lvl w:ilvl="0" w:tplc="94446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1322B"/>
    <w:multiLevelType w:val="hybridMultilevel"/>
    <w:tmpl w:val="F9A02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97A24"/>
    <w:multiLevelType w:val="hybridMultilevel"/>
    <w:tmpl w:val="1A406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C2999"/>
    <w:multiLevelType w:val="hybridMultilevel"/>
    <w:tmpl w:val="21CA9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387EE7"/>
    <w:multiLevelType w:val="hybridMultilevel"/>
    <w:tmpl w:val="1A1E7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27035650">
    <w:abstractNumId w:val="0"/>
  </w:num>
  <w:num w:numId="2" w16cid:durableId="1438912830">
    <w:abstractNumId w:val="6"/>
  </w:num>
  <w:num w:numId="3" w16cid:durableId="794714664">
    <w:abstractNumId w:val="5"/>
  </w:num>
  <w:num w:numId="4" w16cid:durableId="720253993">
    <w:abstractNumId w:val="3"/>
  </w:num>
  <w:num w:numId="5" w16cid:durableId="2097748700">
    <w:abstractNumId w:val="2"/>
  </w:num>
  <w:num w:numId="6" w16cid:durableId="1928923928">
    <w:abstractNumId w:val="4"/>
  </w:num>
  <w:num w:numId="7" w16cid:durableId="140105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438"/>
    <w:rsid w:val="00001837"/>
    <w:rsid w:val="0000594D"/>
    <w:rsid w:val="000117D9"/>
    <w:rsid w:val="00012479"/>
    <w:rsid w:val="00012520"/>
    <w:rsid w:val="00012790"/>
    <w:rsid w:val="00014D54"/>
    <w:rsid w:val="000178BE"/>
    <w:rsid w:val="0002120B"/>
    <w:rsid w:val="000246C9"/>
    <w:rsid w:val="00024777"/>
    <w:rsid w:val="000303A0"/>
    <w:rsid w:val="00030A5C"/>
    <w:rsid w:val="00031E04"/>
    <w:rsid w:val="0003403C"/>
    <w:rsid w:val="00037668"/>
    <w:rsid w:val="00040413"/>
    <w:rsid w:val="000405DE"/>
    <w:rsid w:val="00044CA4"/>
    <w:rsid w:val="0004638E"/>
    <w:rsid w:val="00047F68"/>
    <w:rsid w:val="00050D62"/>
    <w:rsid w:val="000540BE"/>
    <w:rsid w:val="00056A5F"/>
    <w:rsid w:val="00056B92"/>
    <w:rsid w:val="00056D86"/>
    <w:rsid w:val="0005712F"/>
    <w:rsid w:val="00057C98"/>
    <w:rsid w:val="0006726B"/>
    <w:rsid w:val="00073458"/>
    <w:rsid w:val="00075A94"/>
    <w:rsid w:val="00076A34"/>
    <w:rsid w:val="00076FA8"/>
    <w:rsid w:val="00077655"/>
    <w:rsid w:val="00083D37"/>
    <w:rsid w:val="000850DD"/>
    <w:rsid w:val="00087E65"/>
    <w:rsid w:val="00090A61"/>
    <w:rsid w:val="00090C5B"/>
    <w:rsid w:val="00092875"/>
    <w:rsid w:val="00093169"/>
    <w:rsid w:val="00094DCC"/>
    <w:rsid w:val="000A1BA5"/>
    <w:rsid w:val="000A1E77"/>
    <w:rsid w:val="000A5401"/>
    <w:rsid w:val="000A6297"/>
    <w:rsid w:val="000B09C0"/>
    <w:rsid w:val="000B39F3"/>
    <w:rsid w:val="000B4353"/>
    <w:rsid w:val="000B5A76"/>
    <w:rsid w:val="000B6A41"/>
    <w:rsid w:val="000B6FF3"/>
    <w:rsid w:val="000C3B29"/>
    <w:rsid w:val="000C706C"/>
    <w:rsid w:val="000C738A"/>
    <w:rsid w:val="000E5955"/>
    <w:rsid w:val="000E6C73"/>
    <w:rsid w:val="000E74C3"/>
    <w:rsid w:val="000E7D08"/>
    <w:rsid w:val="000F089B"/>
    <w:rsid w:val="000F0F74"/>
    <w:rsid w:val="000F33C2"/>
    <w:rsid w:val="000F5B3C"/>
    <w:rsid w:val="000F7974"/>
    <w:rsid w:val="00102508"/>
    <w:rsid w:val="00105B64"/>
    <w:rsid w:val="00111C8D"/>
    <w:rsid w:val="00113108"/>
    <w:rsid w:val="00113710"/>
    <w:rsid w:val="0011479C"/>
    <w:rsid w:val="00114A9D"/>
    <w:rsid w:val="00122CD6"/>
    <w:rsid w:val="00125933"/>
    <w:rsid w:val="00132855"/>
    <w:rsid w:val="001355A7"/>
    <w:rsid w:val="0014055B"/>
    <w:rsid w:val="00152993"/>
    <w:rsid w:val="00153B62"/>
    <w:rsid w:val="00153C45"/>
    <w:rsid w:val="00154511"/>
    <w:rsid w:val="001678C9"/>
    <w:rsid w:val="00170297"/>
    <w:rsid w:val="00176A07"/>
    <w:rsid w:val="00177CDB"/>
    <w:rsid w:val="00177EBF"/>
    <w:rsid w:val="00182E22"/>
    <w:rsid w:val="00190044"/>
    <w:rsid w:val="001914A2"/>
    <w:rsid w:val="00191A26"/>
    <w:rsid w:val="00191B5E"/>
    <w:rsid w:val="001931DC"/>
    <w:rsid w:val="001939C8"/>
    <w:rsid w:val="00193C19"/>
    <w:rsid w:val="00197FC8"/>
    <w:rsid w:val="001A227D"/>
    <w:rsid w:val="001B0561"/>
    <w:rsid w:val="001B1B8D"/>
    <w:rsid w:val="001B3F68"/>
    <w:rsid w:val="001B3FF4"/>
    <w:rsid w:val="001B4115"/>
    <w:rsid w:val="001B4E0F"/>
    <w:rsid w:val="001C24B4"/>
    <w:rsid w:val="001C498E"/>
    <w:rsid w:val="001D3221"/>
    <w:rsid w:val="001D4A13"/>
    <w:rsid w:val="001D4BBE"/>
    <w:rsid w:val="001E19C8"/>
    <w:rsid w:val="001E1A44"/>
    <w:rsid w:val="001E2032"/>
    <w:rsid w:val="001E363D"/>
    <w:rsid w:val="001E50CB"/>
    <w:rsid w:val="001E7869"/>
    <w:rsid w:val="001F00A5"/>
    <w:rsid w:val="001F0162"/>
    <w:rsid w:val="001F1168"/>
    <w:rsid w:val="001F24A7"/>
    <w:rsid w:val="001F2ACB"/>
    <w:rsid w:val="001F6EA6"/>
    <w:rsid w:val="002017D0"/>
    <w:rsid w:val="00205B24"/>
    <w:rsid w:val="00206E24"/>
    <w:rsid w:val="0021029F"/>
    <w:rsid w:val="00211EDA"/>
    <w:rsid w:val="0021231F"/>
    <w:rsid w:val="002139AE"/>
    <w:rsid w:val="00215901"/>
    <w:rsid w:val="002161DD"/>
    <w:rsid w:val="00216BFA"/>
    <w:rsid w:val="00216CB1"/>
    <w:rsid w:val="00217C1D"/>
    <w:rsid w:val="002255AC"/>
    <w:rsid w:val="00226416"/>
    <w:rsid w:val="0022752E"/>
    <w:rsid w:val="002319C2"/>
    <w:rsid w:val="002334C6"/>
    <w:rsid w:val="00234392"/>
    <w:rsid w:val="00237A1F"/>
    <w:rsid w:val="00240880"/>
    <w:rsid w:val="0024137A"/>
    <w:rsid w:val="00242806"/>
    <w:rsid w:val="00242C2A"/>
    <w:rsid w:val="00247330"/>
    <w:rsid w:val="0025085A"/>
    <w:rsid w:val="00254891"/>
    <w:rsid w:val="00256DAE"/>
    <w:rsid w:val="00256EC5"/>
    <w:rsid w:val="00257D46"/>
    <w:rsid w:val="00262043"/>
    <w:rsid w:val="00262AD2"/>
    <w:rsid w:val="00263D2B"/>
    <w:rsid w:val="00264D70"/>
    <w:rsid w:val="00264E65"/>
    <w:rsid w:val="0026504D"/>
    <w:rsid w:val="00271922"/>
    <w:rsid w:val="0027376D"/>
    <w:rsid w:val="00283D9E"/>
    <w:rsid w:val="0029000E"/>
    <w:rsid w:val="00290218"/>
    <w:rsid w:val="00291516"/>
    <w:rsid w:val="002922CA"/>
    <w:rsid w:val="002923CA"/>
    <w:rsid w:val="00293991"/>
    <w:rsid w:val="00295CDA"/>
    <w:rsid w:val="002A27EE"/>
    <w:rsid w:val="002A7AC1"/>
    <w:rsid w:val="002B0EA6"/>
    <w:rsid w:val="002B1971"/>
    <w:rsid w:val="002B289A"/>
    <w:rsid w:val="002B7B79"/>
    <w:rsid w:val="002C02EA"/>
    <w:rsid w:val="002C34ED"/>
    <w:rsid w:val="002C7E65"/>
    <w:rsid w:val="002D075C"/>
    <w:rsid w:val="002D1130"/>
    <w:rsid w:val="002D2A46"/>
    <w:rsid w:val="002D327D"/>
    <w:rsid w:val="002D37BA"/>
    <w:rsid w:val="002E0156"/>
    <w:rsid w:val="002E1CB3"/>
    <w:rsid w:val="002E1F92"/>
    <w:rsid w:val="002E3EF9"/>
    <w:rsid w:val="002F0FF5"/>
    <w:rsid w:val="002F4850"/>
    <w:rsid w:val="0030015D"/>
    <w:rsid w:val="00300D19"/>
    <w:rsid w:val="003010C0"/>
    <w:rsid w:val="003025B6"/>
    <w:rsid w:val="003032AC"/>
    <w:rsid w:val="00307F5D"/>
    <w:rsid w:val="00311AE0"/>
    <w:rsid w:val="0031210C"/>
    <w:rsid w:val="0031254E"/>
    <w:rsid w:val="00316080"/>
    <w:rsid w:val="003237E7"/>
    <w:rsid w:val="0032473B"/>
    <w:rsid w:val="00325523"/>
    <w:rsid w:val="003260B3"/>
    <w:rsid w:val="00326FBB"/>
    <w:rsid w:val="0033089B"/>
    <w:rsid w:val="00331F18"/>
    <w:rsid w:val="00332A97"/>
    <w:rsid w:val="003357AE"/>
    <w:rsid w:val="00337CB4"/>
    <w:rsid w:val="00340B97"/>
    <w:rsid w:val="003433CA"/>
    <w:rsid w:val="003445AF"/>
    <w:rsid w:val="003500E7"/>
    <w:rsid w:val="00350C00"/>
    <w:rsid w:val="00352161"/>
    <w:rsid w:val="00355BB7"/>
    <w:rsid w:val="003575E8"/>
    <w:rsid w:val="00365B99"/>
    <w:rsid w:val="00366113"/>
    <w:rsid w:val="003731D0"/>
    <w:rsid w:val="00374CE3"/>
    <w:rsid w:val="00381EA3"/>
    <w:rsid w:val="00385577"/>
    <w:rsid w:val="0038660B"/>
    <w:rsid w:val="0039061F"/>
    <w:rsid w:val="00393111"/>
    <w:rsid w:val="0039385A"/>
    <w:rsid w:val="0039478A"/>
    <w:rsid w:val="00397DDA"/>
    <w:rsid w:val="003A0E49"/>
    <w:rsid w:val="003A5C5F"/>
    <w:rsid w:val="003B0A90"/>
    <w:rsid w:val="003B37B2"/>
    <w:rsid w:val="003B4DC7"/>
    <w:rsid w:val="003B59F7"/>
    <w:rsid w:val="003B6C50"/>
    <w:rsid w:val="003C18FF"/>
    <w:rsid w:val="003C270C"/>
    <w:rsid w:val="003C4812"/>
    <w:rsid w:val="003C699B"/>
    <w:rsid w:val="003D0994"/>
    <w:rsid w:val="003D4DC6"/>
    <w:rsid w:val="003D5450"/>
    <w:rsid w:val="003D5E73"/>
    <w:rsid w:val="003D667C"/>
    <w:rsid w:val="003E1E64"/>
    <w:rsid w:val="003E25B1"/>
    <w:rsid w:val="003E41B8"/>
    <w:rsid w:val="003E71A9"/>
    <w:rsid w:val="003F059D"/>
    <w:rsid w:val="003F07FB"/>
    <w:rsid w:val="003F251A"/>
    <w:rsid w:val="003F3E8B"/>
    <w:rsid w:val="00401817"/>
    <w:rsid w:val="00403E1B"/>
    <w:rsid w:val="00405DA1"/>
    <w:rsid w:val="00407017"/>
    <w:rsid w:val="004143E5"/>
    <w:rsid w:val="00414F62"/>
    <w:rsid w:val="004168FA"/>
    <w:rsid w:val="00416E6E"/>
    <w:rsid w:val="00420A10"/>
    <w:rsid w:val="004217B7"/>
    <w:rsid w:val="00423712"/>
    <w:rsid w:val="00423824"/>
    <w:rsid w:val="004248F9"/>
    <w:rsid w:val="00430DF4"/>
    <w:rsid w:val="0043567D"/>
    <w:rsid w:val="0043734D"/>
    <w:rsid w:val="004379D6"/>
    <w:rsid w:val="004437B8"/>
    <w:rsid w:val="004441B4"/>
    <w:rsid w:val="00447A21"/>
    <w:rsid w:val="00454012"/>
    <w:rsid w:val="00454401"/>
    <w:rsid w:val="00455AEB"/>
    <w:rsid w:val="004577DA"/>
    <w:rsid w:val="00460D06"/>
    <w:rsid w:val="00460E42"/>
    <w:rsid w:val="00461856"/>
    <w:rsid w:val="00470700"/>
    <w:rsid w:val="00471014"/>
    <w:rsid w:val="004716C8"/>
    <w:rsid w:val="004721CB"/>
    <w:rsid w:val="00472270"/>
    <w:rsid w:val="004748C5"/>
    <w:rsid w:val="00475A74"/>
    <w:rsid w:val="004765E1"/>
    <w:rsid w:val="00481677"/>
    <w:rsid w:val="00483704"/>
    <w:rsid w:val="004843B3"/>
    <w:rsid w:val="00484D7D"/>
    <w:rsid w:val="00487465"/>
    <w:rsid w:val="00491063"/>
    <w:rsid w:val="004912C1"/>
    <w:rsid w:val="004917C6"/>
    <w:rsid w:val="00491E6B"/>
    <w:rsid w:val="00492CA3"/>
    <w:rsid w:val="0049523D"/>
    <w:rsid w:val="004A035B"/>
    <w:rsid w:val="004A1433"/>
    <w:rsid w:val="004A3CBB"/>
    <w:rsid w:val="004A4EA8"/>
    <w:rsid w:val="004A5726"/>
    <w:rsid w:val="004B0125"/>
    <w:rsid w:val="004B68FC"/>
    <w:rsid w:val="004B6FDD"/>
    <w:rsid w:val="004B7B90"/>
    <w:rsid w:val="004C757E"/>
    <w:rsid w:val="004D0E77"/>
    <w:rsid w:val="004D0FEB"/>
    <w:rsid w:val="004D4D10"/>
    <w:rsid w:val="004D518C"/>
    <w:rsid w:val="004D63E8"/>
    <w:rsid w:val="004E0D5B"/>
    <w:rsid w:val="004E2C19"/>
    <w:rsid w:val="004E65BA"/>
    <w:rsid w:val="004E71C5"/>
    <w:rsid w:val="004E74EE"/>
    <w:rsid w:val="004F117F"/>
    <w:rsid w:val="00505E32"/>
    <w:rsid w:val="005110F3"/>
    <w:rsid w:val="005142CF"/>
    <w:rsid w:val="00521A04"/>
    <w:rsid w:val="00521D38"/>
    <w:rsid w:val="00524239"/>
    <w:rsid w:val="00524F30"/>
    <w:rsid w:val="005254A9"/>
    <w:rsid w:val="00527711"/>
    <w:rsid w:val="00527760"/>
    <w:rsid w:val="005339EC"/>
    <w:rsid w:val="00534DB6"/>
    <w:rsid w:val="00535F9D"/>
    <w:rsid w:val="00540CDA"/>
    <w:rsid w:val="00544125"/>
    <w:rsid w:val="005463BF"/>
    <w:rsid w:val="00550D52"/>
    <w:rsid w:val="00552BDC"/>
    <w:rsid w:val="0055685E"/>
    <w:rsid w:val="00556FAD"/>
    <w:rsid w:val="005623D5"/>
    <w:rsid w:val="005673BA"/>
    <w:rsid w:val="00572442"/>
    <w:rsid w:val="00573AA9"/>
    <w:rsid w:val="00574036"/>
    <w:rsid w:val="00574FCA"/>
    <w:rsid w:val="00575B85"/>
    <w:rsid w:val="005803F0"/>
    <w:rsid w:val="0058247B"/>
    <w:rsid w:val="00582C80"/>
    <w:rsid w:val="0058426D"/>
    <w:rsid w:val="00586C52"/>
    <w:rsid w:val="005905A1"/>
    <w:rsid w:val="005A1101"/>
    <w:rsid w:val="005A4C5A"/>
    <w:rsid w:val="005A5C37"/>
    <w:rsid w:val="005A6E7E"/>
    <w:rsid w:val="005B058B"/>
    <w:rsid w:val="005B2DD7"/>
    <w:rsid w:val="005C2D70"/>
    <w:rsid w:val="005C3E9D"/>
    <w:rsid w:val="005C67D0"/>
    <w:rsid w:val="005C6F7A"/>
    <w:rsid w:val="005C77FE"/>
    <w:rsid w:val="005D284C"/>
    <w:rsid w:val="005D3682"/>
    <w:rsid w:val="005D46DA"/>
    <w:rsid w:val="005D6DB0"/>
    <w:rsid w:val="005E0A3C"/>
    <w:rsid w:val="005E1BD9"/>
    <w:rsid w:val="005E3A48"/>
    <w:rsid w:val="00604512"/>
    <w:rsid w:val="00604E7C"/>
    <w:rsid w:val="00606914"/>
    <w:rsid w:val="00607438"/>
    <w:rsid w:val="0060784C"/>
    <w:rsid w:val="006103FE"/>
    <w:rsid w:val="00616C39"/>
    <w:rsid w:val="0062030A"/>
    <w:rsid w:val="00621324"/>
    <w:rsid w:val="006214C6"/>
    <w:rsid w:val="006232D3"/>
    <w:rsid w:val="00627171"/>
    <w:rsid w:val="00627E78"/>
    <w:rsid w:val="00630CA8"/>
    <w:rsid w:val="006334E1"/>
    <w:rsid w:val="00633E23"/>
    <w:rsid w:val="00634F93"/>
    <w:rsid w:val="006362DC"/>
    <w:rsid w:val="00643255"/>
    <w:rsid w:val="006438BF"/>
    <w:rsid w:val="0064556C"/>
    <w:rsid w:val="00650DF6"/>
    <w:rsid w:val="006510FD"/>
    <w:rsid w:val="00654C79"/>
    <w:rsid w:val="00656DFD"/>
    <w:rsid w:val="006608EA"/>
    <w:rsid w:val="00663EBB"/>
    <w:rsid w:val="00665FAE"/>
    <w:rsid w:val="006662D5"/>
    <w:rsid w:val="00666B32"/>
    <w:rsid w:val="00670918"/>
    <w:rsid w:val="00673255"/>
    <w:rsid w:val="00673309"/>
    <w:rsid w:val="00673B94"/>
    <w:rsid w:val="00680AC6"/>
    <w:rsid w:val="00681AA7"/>
    <w:rsid w:val="00681AB6"/>
    <w:rsid w:val="006835D8"/>
    <w:rsid w:val="006838C2"/>
    <w:rsid w:val="00692B26"/>
    <w:rsid w:val="006A34CF"/>
    <w:rsid w:val="006B7EB3"/>
    <w:rsid w:val="006C2392"/>
    <w:rsid w:val="006C2A47"/>
    <w:rsid w:val="006C316E"/>
    <w:rsid w:val="006C3268"/>
    <w:rsid w:val="006C526F"/>
    <w:rsid w:val="006C5499"/>
    <w:rsid w:val="006C6717"/>
    <w:rsid w:val="006C7AD3"/>
    <w:rsid w:val="006D0F7C"/>
    <w:rsid w:val="006D28E6"/>
    <w:rsid w:val="006D2DD5"/>
    <w:rsid w:val="006D38EF"/>
    <w:rsid w:val="006D5C47"/>
    <w:rsid w:val="006D7042"/>
    <w:rsid w:val="006E6037"/>
    <w:rsid w:val="006E6699"/>
    <w:rsid w:val="006F040A"/>
    <w:rsid w:val="006F0774"/>
    <w:rsid w:val="006F0E9F"/>
    <w:rsid w:val="006F25A1"/>
    <w:rsid w:val="006F2AB2"/>
    <w:rsid w:val="006F7B68"/>
    <w:rsid w:val="007018D4"/>
    <w:rsid w:val="007022B6"/>
    <w:rsid w:val="007077D1"/>
    <w:rsid w:val="007133EE"/>
    <w:rsid w:val="007135F1"/>
    <w:rsid w:val="007165F1"/>
    <w:rsid w:val="00724288"/>
    <w:rsid w:val="00725B2F"/>
    <w:rsid w:val="007269C4"/>
    <w:rsid w:val="007321EA"/>
    <w:rsid w:val="00733D63"/>
    <w:rsid w:val="00734BBB"/>
    <w:rsid w:val="0074209E"/>
    <w:rsid w:val="00743563"/>
    <w:rsid w:val="00745349"/>
    <w:rsid w:val="00752F4C"/>
    <w:rsid w:val="00755BF0"/>
    <w:rsid w:val="00756CC9"/>
    <w:rsid w:val="00764646"/>
    <w:rsid w:val="007646FB"/>
    <w:rsid w:val="00765A84"/>
    <w:rsid w:val="00770425"/>
    <w:rsid w:val="007708CB"/>
    <w:rsid w:val="00770AB9"/>
    <w:rsid w:val="007722B5"/>
    <w:rsid w:val="00772AB1"/>
    <w:rsid w:val="00775405"/>
    <w:rsid w:val="00776451"/>
    <w:rsid w:val="00777041"/>
    <w:rsid w:val="0078040C"/>
    <w:rsid w:val="007806AD"/>
    <w:rsid w:val="00780D1A"/>
    <w:rsid w:val="0078173A"/>
    <w:rsid w:val="007836A3"/>
    <w:rsid w:val="00783D4F"/>
    <w:rsid w:val="00784550"/>
    <w:rsid w:val="0078714C"/>
    <w:rsid w:val="007874E0"/>
    <w:rsid w:val="00790E0A"/>
    <w:rsid w:val="00792611"/>
    <w:rsid w:val="0079766E"/>
    <w:rsid w:val="007A0F3D"/>
    <w:rsid w:val="007A2993"/>
    <w:rsid w:val="007A60D6"/>
    <w:rsid w:val="007A6216"/>
    <w:rsid w:val="007A734D"/>
    <w:rsid w:val="007B1A81"/>
    <w:rsid w:val="007C1FE1"/>
    <w:rsid w:val="007C3BAA"/>
    <w:rsid w:val="007C6D87"/>
    <w:rsid w:val="007C7257"/>
    <w:rsid w:val="007D58BD"/>
    <w:rsid w:val="007D5B4E"/>
    <w:rsid w:val="007E21CE"/>
    <w:rsid w:val="007E294E"/>
    <w:rsid w:val="007E6B55"/>
    <w:rsid w:val="007E78EB"/>
    <w:rsid w:val="007F086D"/>
    <w:rsid w:val="007F2CA8"/>
    <w:rsid w:val="007F7161"/>
    <w:rsid w:val="007F7A9A"/>
    <w:rsid w:val="00800200"/>
    <w:rsid w:val="00800823"/>
    <w:rsid w:val="00801E4E"/>
    <w:rsid w:val="00811A33"/>
    <w:rsid w:val="0081448B"/>
    <w:rsid w:val="008168EE"/>
    <w:rsid w:val="0082506C"/>
    <w:rsid w:val="00826B43"/>
    <w:rsid w:val="00827F9B"/>
    <w:rsid w:val="008322B3"/>
    <w:rsid w:val="008327EA"/>
    <w:rsid w:val="008328AC"/>
    <w:rsid w:val="00833A83"/>
    <w:rsid w:val="008343FB"/>
    <w:rsid w:val="008345F6"/>
    <w:rsid w:val="00836E79"/>
    <w:rsid w:val="00840138"/>
    <w:rsid w:val="00841E0D"/>
    <w:rsid w:val="00843950"/>
    <w:rsid w:val="008506E7"/>
    <w:rsid w:val="008509D8"/>
    <w:rsid w:val="0085133E"/>
    <w:rsid w:val="00852C92"/>
    <w:rsid w:val="00853A13"/>
    <w:rsid w:val="00853CA5"/>
    <w:rsid w:val="00855513"/>
    <w:rsid w:val="0085559E"/>
    <w:rsid w:val="00855F48"/>
    <w:rsid w:val="00856638"/>
    <w:rsid w:val="008567CE"/>
    <w:rsid w:val="00856A1C"/>
    <w:rsid w:val="00857C4A"/>
    <w:rsid w:val="0086035C"/>
    <w:rsid w:val="00860590"/>
    <w:rsid w:val="008605C8"/>
    <w:rsid w:val="008613F0"/>
    <w:rsid w:val="00862280"/>
    <w:rsid w:val="008672A3"/>
    <w:rsid w:val="00871063"/>
    <w:rsid w:val="008711FC"/>
    <w:rsid w:val="00873DD4"/>
    <w:rsid w:val="00874F87"/>
    <w:rsid w:val="00875D0B"/>
    <w:rsid w:val="0087653B"/>
    <w:rsid w:val="008767C5"/>
    <w:rsid w:val="008809FA"/>
    <w:rsid w:val="00890F9A"/>
    <w:rsid w:val="0089158A"/>
    <w:rsid w:val="00891BA2"/>
    <w:rsid w:val="008920DE"/>
    <w:rsid w:val="00892E35"/>
    <w:rsid w:val="0089301B"/>
    <w:rsid w:val="008939BB"/>
    <w:rsid w:val="00893AEB"/>
    <w:rsid w:val="00895724"/>
    <w:rsid w:val="00895827"/>
    <w:rsid w:val="00896B1B"/>
    <w:rsid w:val="008A1D5B"/>
    <w:rsid w:val="008A4D12"/>
    <w:rsid w:val="008B4F15"/>
    <w:rsid w:val="008B545F"/>
    <w:rsid w:val="008B681E"/>
    <w:rsid w:val="008C0728"/>
    <w:rsid w:val="008C3D8B"/>
    <w:rsid w:val="008C4120"/>
    <w:rsid w:val="008C5552"/>
    <w:rsid w:val="008C5E49"/>
    <w:rsid w:val="008C6481"/>
    <w:rsid w:val="008C7B3E"/>
    <w:rsid w:val="008C7C7D"/>
    <w:rsid w:val="008D25E0"/>
    <w:rsid w:val="008D46B8"/>
    <w:rsid w:val="008D504A"/>
    <w:rsid w:val="008E0EC4"/>
    <w:rsid w:val="008E1336"/>
    <w:rsid w:val="008E2015"/>
    <w:rsid w:val="008E2231"/>
    <w:rsid w:val="008E25D0"/>
    <w:rsid w:val="008E3119"/>
    <w:rsid w:val="008E559E"/>
    <w:rsid w:val="008E645D"/>
    <w:rsid w:val="008E6581"/>
    <w:rsid w:val="008F05E9"/>
    <w:rsid w:val="008F0E63"/>
    <w:rsid w:val="008F14EE"/>
    <w:rsid w:val="008F2657"/>
    <w:rsid w:val="008F340E"/>
    <w:rsid w:val="008F596D"/>
    <w:rsid w:val="008F62D6"/>
    <w:rsid w:val="008F6A4C"/>
    <w:rsid w:val="008F7348"/>
    <w:rsid w:val="00901213"/>
    <w:rsid w:val="0090134D"/>
    <w:rsid w:val="00902D41"/>
    <w:rsid w:val="009038ED"/>
    <w:rsid w:val="00905135"/>
    <w:rsid w:val="009102EF"/>
    <w:rsid w:val="009115C9"/>
    <w:rsid w:val="00912A82"/>
    <w:rsid w:val="00913994"/>
    <w:rsid w:val="00916080"/>
    <w:rsid w:val="00916C05"/>
    <w:rsid w:val="00921A68"/>
    <w:rsid w:val="009228AB"/>
    <w:rsid w:val="00925C85"/>
    <w:rsid w:val="00926DF2"/>
    <w:rsid w:val="0093214B"/>
    <w:rsid w:val="0093304B"/>
    <w:rsid w:val="00935301"/>
    <w:rsid w:val="00941C76"/>
    <w:rsid w:val="00944303"/>
    <w:rsid w:val="0094511F"/>
    <w:rsid w:val="009454BA"/>
    <w:rsid w:val="00945C3D"/>
    <w:rsid w:val="00946F27"/>
    <w:rsid w:val="0095202E"/>
    <w:rsid w:val="00954F18"/>
    <w:rsid w:val="00954F55"/>
    <w:rsid w:val="0095520E"/>
    <w:rsid w:val="009565CC"/>
    <w:rsid w:val="00962D00"/>
    <w:rsid w:val="009633E0"/>
    <w:rsid w:val="009637AE"/>
    <w:rsid w:val="00970CAE"/>
    <w:rsid w:val="00980B61"/>
    <w:rsid w:val="0098149F"/>
    <w:rsid w:val="00982F9E"/>
    <w:rsid w:val="00984E1D"/>
    <w:rsid w:val="00985DBD"/>
    <w:rsid w:val="00985E01"/>
    <w:rsid w:val="00986C6E"/>
    <w:rsid w:val="00987D2E"/>
    <w:rsid w:val="00990058"/>
    <w:rsid w:val="00994A89"/>
    <w:rsid w:val="009952F8"/>
    <w:rsid w:val="009959D4"/>
    <w:rsid w:val="009967A9"/>
    <w:rsid w:val="009A1317"/>
    <w:rsid w:val="009B0702"/>
    <w:rsid w:val="009B161E"/>
    <w:rsid w:val="009B18EE"/>
    <w:rsid w:val="009B4B39"/>
    <w:rsid w:val="009B79BC"/>
    <w:rsid w:val="009B7E73"/>
    <w:rsid w:val="009C1038"/>
    <w:rsid w:val="009C10CF"/>
    <w:rsid w:val="009C743F"/>
    <w:rsid w:val="009D077E"/>
    <w:rsid w:val="009D1AFE"/>
    <w:rsid w:val="009D2710"/>
    <w:rsid w:val="009D54B6"/>
    <w:rsid w:val="009D70E0"/>
    <w:rsid w:val="009E1DA7"/>
    <w:rsid w:val="009E6737"/>
    <w:rsid w:val="009F1C52"/>
    <w:rsid w:val="009F2019"/>
    <w:rsid w:val="009F527A"/>
    <w:rsid w:val="009F5313"/>
    <w:rsid w:val="009F547E"/>
    <w:rsid w:val="009F61CF"/>
    <w:rsid w:val="009F6AF1"/>
    <w:rsid w:val="009F74A3"/>
    <w:rsid w:val="009F7BF2"/>
    <w:rsid w:val="00A015C4"/>
    <w:rsid w:val="00A0213F"/>
    <w:rsid w:val="00A02BD7"/>
    <w:rsid w:val="00A06519"/>
    <w:rsid w:val="00A10E23"/>
    <w:rsid w:val="00A129B9"/>
    <w:rsid w:val="00A14A14"/>
    <w:rsid w:val="00A15172"/>
    <w:rsid w:val="00A157C7"/>
    <w:rsid w:val="00A1689E"/>
    <w:rsid w:val="00A22659"/>
    <w:rsid w:val="00A25F56"/>
    <w:rsid w:val="00A276A0"/>
    <w:rsid w:val="00A31176"/>
    <w:rsid w:val="00A33537"/>
    <w:rsid w:val="00A335C0"/>
    <w:rsid w:val="00A338F4"/>
    <w:rsid w:val="00A353B0"/>
    <w:rsid w:val="00A40FB3"/>
    <w:rsid w:val="00A438DE"/>
    <w:rsid w:val="00A4711B"/>
    <w:rsid w:val="00A53BDD"/>
    <w:rsid w:val="00A54EEE"/>
    <w:rsid w:val="00A551EE"/>
    <w:rsid w:val="00A57BFF"/>
    <w:rsid w:val="00A63811"/>
    <w:rsid w:val="00A66EC6"/>
    <w:rsid w:val="00A6742D"/>
    <w:rsid w:val="00A71316"/>
    <w:rsid w:val="00A7236F"/>
    <w:rsid w:val="00A75A1D"/>
    <w:rsid w:val="00A75C5C"/>
    <w:rsid w:val="00A75EB9"/>
    <w:rsid w:val="00A8691F"/>
    <w:rsid w:val="00A90DF0"/>
    <w:rsid w:val="00A916A9"/>
    <w:rsid w:val="00A918FB"/>
    <w:rsid w:val="00A944D6"/>
    <w:rsid w:val="00AA505D"/>
    <w:rsid w:val="00AA55EF"/>
    <w:rsid w:val="00AB3541"/>
    <w:rsid w:val="00AB3AA7"/>
    <w:rsid w:val="00AB48EC"/>
    <w:rsid w:val="00AB708D"/>
    <w:rsid w:val="00AB7548"/>
    <w:rsid w:val="00AC025B"/>
    <w:rsid w:val="00AC0EE2"/>
    <w:rsid w:val="00AD4D60"/>
    <w:rsid w:val="00AD4EF0"/>
    <w:rsid w:val="00AD5DE5"/>
    <w:rsid w:val="00AD7213"/>
    <w:rsid w:val="00AE513D"/>
    <w:rsid w:val="00AE5ED4"/>
    <w:rsid w:val="00AF4A68"/>
    <w:rsid w:val="00AF61F6"/>
    <w:rsid w:val="00AF7E1A"/>
    <w:rsid w:val="00B06FEC"/>
    <w:rsid w:val="00B131E5"/>
    <w:rsid w:val="00B147EA"/>
    <w:rsid w:val="00B15E1D"/>
    <w:rsid w:val="00B1618B"/>
    <w:rsid w:val="00B21001"/>
    <w:rsid w:val="00B2196E"/>
    <w:rsid w:val="00B22DC7"/>
    <w:rsid w:val="00B25902"/>
    <w:rsid w:val="00B25DDB"/>
    <w:rsid w:val="00B268A9"/>
    <w:rsid w:val="00B31A9E"/>
    <w:rsid w:val="00B324EF"/>
    <w:rsid w:val="00B34DE9"/>
    <w:rsid w:val="00B43474"/>
    <w:rsid w:val="00B45CD7"/>
    <w:rsid w:val="00B46643"/>
    <w:rsid w:val="00B466C9"/>
    <w:rsid w:val="00B468B2"/>
    <w:rsid w:val="00B5080A"/>
    <w:rsid w:val="00B50E27"/>
    <w:rsid w:val="00B52E16"/>
    <w:rsid w:val="00B52EFC"/>
    <w:rsid w:val="00B534E8"/>
    <w:rsid w:val="00B5587B"/>
    <w:rsid w:val="00B559CF"/>
    <w:rsid w:val="00B56E99"/>
    <w:rsid w:val="00B60242"/>
    <w:rsid w:val="00B66645"/>
    <w:rsid w:val="00B66DED"/>
    <w:rsid w:val="00B719C9"/>
    <w:rsid w:val="00B72A38"/>
    <w:rsid w:val="00B76C20"/>
    <w:rsid w:val="00B76E5C"/>
    <w:rsid w:val="00B8451B"/>
    <w:rsid w:val="00B87B63"/>
    <w:rsid w:val="00B91050"/>
    <w:rsid w:val="00B920DD"/>
    <w:rsid w:val="00B935AD"/>
    <w:rsid w:val="00B943AE"/>
    <w:rsid w:val="00B950ED"/>
    <w:rsid w:val="00B96597"/>
    <w:rsid w:val="00BA0332"/>
    <w:rsid w:val="00BA18F3"/>
    <w:rsid w:val="00BA5452"/>
    <w:rsid w:val="00BA5CB4"/>
    <w:rsid w:val="00BA7379"/>
    <w:rsid w:val="00BB078A"/>
    <w:rsid w:val="00BB4E47"/>
    <w:rsid w:val="00BB5EAA"/>
    <w:rsid w:val="00BB65A6"/>
    <w:rsid w:val="00BC0D9B"/>
    <w:rsid w:val="00BC48F1"/>
    <w:rsid w:val="00BC52FA"/>
    <w:rsid w:val="00BC62B6"/>
    <w:rsid w:val="00BD2272"/>
    <w:rsid w:val="00BD5655"/>
    <w:rsid w:val="00BD5DC9"/>
    <w:rsid w:val="00BD706C"/>
    <w:rsid w:val="00BD7258"/>
    <w:rsid w:val="00BE5C6B"/>
    <w:rsid w:val="00BE5D86"/>
    <w:rsid w:val="00BE6784"/>
    <w:rsid w:val="00BF3290"/>
    <w:rsid w:val="00BF3F2E"/>
    <w:rsid w:val="00C05358"/>
    <w:rsid w:val="00C0598D"/>
    <w:rsid w:val="00C05D2C"/>
    <w:rsid w:val="00C065B3"/>
    <w:rsid w:val="00C06BB7"/>
    <w:rsid w:val="00C11956"/>
    <w:rsid w:val="00C16D0E"/>
    <w:rsid w:val="00C2170D"/>
    <w:rsid w:val="00C302E8"/>
    <w:rsid w:val="00C316FB"/>
    <w:rsid w:val="00C44D58"/>
    <w:rsid w:val="00C50EE3"/>
    <w:rsid w:val="00C516A8"/>
    <w:rsid w:val="00C5179D"/>
    <w:rsid w:val="00C5401B"/>
    <w:rsid w:val="00C55285"/>
    <w:rsid w:val="00C602E5"/>
    <w:rsid w:val="00C60568"/>
    <w:rsid w:val="00C60A57"/>
    <w:rsid w:val="00C60E01"/>
    <w:rsid w:val="00C61CCC"/>
    <w:rsid w:val="00C665FF"/>
    <w:rsid w:val="00C748FD"/>
    <w:rsid w:val="00C77935"/>
    <w:rsid w:val="00C80A6A"/>
    <w:rsid w:val="00C80D36"/>
    <w:rsid w:val="00C817A7"/>
    <w:rsid w:val="00C847A1"/>
    <w:rsid w:val="00C9243A"/>
    <w:rsid w:val="00C948DA"/>
    <w:rsid w:val="00C9515C"/>
    <w:rsid w:val="00C95B64"/>
    <w:rsid w:val="00C9785C"/>
    <w:rsid w:val="00CA03D1"/>
    <w:rsid w:val="00CA1494"/>
    <w:rsid w:val="00CA2209"/>
    <w:rsid w:val="00CA5D5B"/>
    <w:rsid w:val="00CB10EB"/>
    <w:rsid w:val="00CB7955"/>
    <w:rsid w:val="00CC0F8E"/>
    <w:rsid w:val="00CC1E57"/>
    <w:rsid w:val="00CC52E5"/>
    <w:rsid w:val="00CC65A6"/>
    <w:rsid w:val="00CC729A"/>
    <w:rsid w:val="00CD13B7"/>
    <w:rsid w:val="00CD55D0"/>
    <w:rsid w:val="00CD7661"/>
    <w:rsid w:val="00CE231A"/>
    <w:rsid w:val="00CE2431"/>
    <w:rsid w:val="00CE42D7"/>
    <w:rsid w:val="00CE7018"/>
    <w:rsid w:val="00CF2F21"/>
    <w:rsid w:val="00D00F91"/>
    <w:rsid w:val="00D01AB3"/>
    <w:rsid w:val="00D101D9"/>
    <w:rsid w:val="00D11B72"/>
    <w:rsid w:val="00D12D4F"/>
    <w:rsid w:val="00D14869"/>
    <w:rsid w:val="00D14A9F"/>
    <w:rsid w:val="00D17B85"/>
    <w:rsid w:val="00D20684"/>
    <w:rsid w:val="00D2493D"/>
    <w:rsid w:val="00D26AF6"/>
    <w:rsid w:val="00D26E23"/>
    <w:rsid w:val="00D271BE"/>
    <w:rsid w:val="00D31F4F"/>
    <w:rsid w:val="00D324FF"/>
    <w:rsid w:val="00D352EB"/>
    <w:rsid w:val="00D36588"/>
    <w:rsid w:val="00D37C8F"/>
    <w:rsid w:val="00D4046E"/>
    <w:rsid w:val="00D41208"/>
    <w:rsid w:val="00D4362F"/>
    <w:rsid w:val="00D45757"/>
    <w:rsid w:val="00D46CAD"/>
    <w:rsid w:val="00D51C33"/>
    <w:rsid w:val="00D52C28"/>
    <w:rsid w:val="00D5326F"/>
    <w:rsid w:val="00D54DE9"/>
    <w:rsid w:val="00D56EF8"/>
    <w:rsid w:val="00D61AB8"/>
    <w:rsid w:val="00D62ECD"/>
    <w:rsid w:val="00D62F8F"/>
    <w:rsid w:val="00D66848"/>
    <w:rsid w:val="00D71498"/>
    <w:rsid w:val="00D72F5B"/>
    <w:rsid w:val="00D75A57"/>
    <w:rsid w:val="00D8263A"/>
    <w:rsid w:val="00D82656"/>
    <w:rsid w:val="00D83764"/>
    <w:rsid w:val="00D865DE"/>
    <w:rsid w:val="00D8744A"/>
    <w:rsid w:val="00D91539"/>
    <w:rsid w:val="00D93B4A"/>
    <w:rsid w:val="00D940CE"/>
    <w:rsid w:val="00D94413"/>
    <w:rsid w:val="00D94897"/>
    <w:rsid w:val="00DA03BD"/>
    <w:rsid w:val="00DA0E8B"/>
    <w:rsid w:val="00DA4688"/>
    <w:rsid w:val="00DA4AFA"/>
    <w:rsid w:val="00DA711F"/>
    <w:rsid w:val="00DA74C5"/>
    <w:rsid w:val="00DA789F"/>
    <w:rsid w:val="00DB1B9A"/>
    <w:rsid w:val="00DB23E2"/>
    <w:rsid w:val="00DB4A3F"/>
    <w:rsid w:val="00DB79DE"/>
    <w:rsid w:val="00DC31CD"/>
    <w:rsid w:val="00DC3C11"/>
    <w:rsid w:val="00DC4A17"/>
    <w:rsid w:val="00DC5BB2"/>
    <w:rsid w:val="00DD0D40"/>
    <w:rsid w:val="00DD1059"/>
    <w:rsid w:val="00DD171D"/>
    <w:rsid w:val="00DD1B6A"/>
    <w:rsid w:val="00DD4739"/>
    <w:rsid w:val="00DD4E72"/>
    <w:rsid w:val="00DD7186"/>
    <w:rsid w:val="00DE1556"/>
    <w:rsid w:val="00DE2F0D"/>
    <w:rsid w:val="00DE305E"/>
    <w:rsid w:val="00DE5D80"/>
    <w:rsid w:val="00DE5F33"/>
    <w:rsid w:val="00DE7315"/>
    <w:rsid w:val="00DE7B55"/>
    <w:rsid w:val="00DF21EB"/>
    <w:rsid w:val="00DF3308"/>
    <w:rsid w:val="00E01B93"/>
    <w:rsid w:val="00E052B5"/>
    <w:rsid w:val="00E07B54"/>
    <w:rsid w:val="00E11F78"/>
    <w:rsid w:val="00E12A1E"/>
    <w:rsid w:val="00E13D2F"/>
    <w:rsid w:val="00E2361D"/>
    <w:rsid w:val="00E31887"/>
    <w:rsid w:val="00E336ED"/>
    <w:rsid w:val="00E34A71"/>
    <w:rsid w:val="00E3522A"/>
    <w:rsid w:val="00E37D15"/>
    <w:rsid w:val="00E505E3"/>
    <w:rsid w:val="00E52A57"/>
    <w:rsid w:val="00E55A4E"/>
    <w:rsid w:val="00E621E1"/>
    <w:rsid w:val="00E626EB"/>
    <w:rsid w:val="00E62CDC"/>
    <w:rsid w:val="00E6590A"/>
    <w:rsid w:val="00E65CA7"/>
    <w:rsid w:val="00E709A0"/>
    <w:rsid w:val="00E711D8"/>
    <w:rsid w:val="00E720E3"/>
    <w:rsid w:val="00E721AD"/>
    <w:rsid w:val="00E72217"/>
    <w:rsid w:val="00E7249F"/>
    <w:rsid w:val="00E72A84"/>
    <w:rsid w:val="00E732A7"/>
    <w:rsid w:val="00E76757"/>
    <w:rsid w:val="00E76BAE"/>
    <w:rsid w:val="00E82BBC"/>
    <w:rsid w:val="00E830B7"/>
    <w:rsid w:val="00E85967"/>
    <w:rsid w:val="00E92C91"/>
    <w:rsid w:val="00E948BB"/>
    <w:rsid w:val="00E9538E"/>
    <w:rsid w:val="00E9596F"/>
    <w:rsid w:val="00EA44BD"/>
    <w:rsid w:val="00EA481D"/>
    <w:rsid w:val="00EA4B85"/>
    <w:rsid w:val="00EB0B5C"/>
    <w:rsid w:val="00EB2E23"/>
    <w:rsid w:val="00EB3209"/>
    <w:rsid w:val="00EB5A0B"/>
    <w:rsid w:val="00EB5F07"/>
    <w:rsid w:val="00EC55B3"/>
    <w:rsid w:val="00EC729B"/>
    <w:rsid w:val="00EC75BA"/>
    <w:rsid w:val="00EC78E2"/>
    <w:rsid w:val="00ED2809"/>
    <w:rsid w:val="00ED33E4"/>
    <w:rsid w:val="00ED58BD"/>
    <w:rsid w:val="00ED7A5F"/>
    <w:rsid w:val="00EE2292"/>
    <w:rsid w:val="00EE5D45"/>
    <w:rsid w:val="00EE636D"/>
    <w:rsid w:val="00EE6681"/>
    <w:rsid w:val="00EF2F37"/>
    <w:rsid w:val="00EF7F48"/>
    <w:rsid w:val="00F010B3"/>
    <w:rsid w:val="00F01115"/>
    <w:rsid w:val="00F02BEA"/>
    <w:rsid w:val="00F0616F"/>
    <w:rsid w:val="00F1270E"/>
    <w:rsid w:val="00F144A1"/>
    <w:rsid w:val="00F146D3"/>
    <w:rsid w:val="00F17EC1"/>
    <w:rsid w:val="00F221A7"/>
    <w:rsid w:val="00F2301B"/>
    <w:rsid w:val="00F316EA"/>
    <w:rsid w:val="00F3650E"/>
    <w:rsid w:val="00F366A9"/>
    <w:rsid w:val="00F4241B"/>
    <w:rsid w:val="00F43A43"/>
    <w:rsid w:val="00F43CD2"/>
    <w:rsid w:val="00F44FE3"/>
    <w:rsid w:val="00F47FD8"/>
    <w:rsid w:val="00F502F7"/>
    <w:rsid w:val="00F50EEE"/>
    <w:rsid w:val="00F52253"/>
    <w:rsid w:val="00F5228C"/>
    <w:rsid w:val="00F52547"/>
    <w:rsid w:val="00F55959"/>
    <w:rsid w:val="00F57BAA"/>
    <w:rsid w:val="00F61462"/>
    <w:rsid w:val="00F62B74"/>
    <w:rsid w:val="00F63BA5"/>
    <w:rsid w:val="00F65379"/>
    <w:rsid w:val="00F67712"/>
    <w:rsid w:val="00F76404"/>
    <w:rsid w:val="00F76C43"/>
    <w:rsid w:val="00F81911"/>
    <w:rsid w:val="00F85464"/>
    <w:rsid w:val="00F902F5"/>
    <w:rsid w:val="00F96FB2"/>
    <w:rsid w:val="00F975F0"/>
    <w:rsid w:val="00FA1C55"/>
    <w:rsid w:val="00FA2F9E"/>
    <w:rsid w:val="00FB246C"/>
    <w:rsid w:val="00FB286E"/>
    <w:rsid w:val="00FB3C1F"/>
    <w:rsid w:val="00FB51D8"/>
    <w:rsid w:val="00FB5CDE"/>
    <w:rsid w:val="00FB6768"/>
    <w:rsid w:val="00FB7512"/>
    <w:rsid w:val="00FC2B18"/>
    <w:rsid w:val="00FC46B5"/>
    <w:rsid w:val="00FC51AB"/>
    <w:rsid w:val="00FC5A1A"/>
    <w:rsid w:val="00FC6A16"/>
    <w:rsid w:val="00FD08E8"/>
    <w:rsid w:val="00FD4453"/>
    <w:rsid w:val="00FD5182"/>
    <w:rsid w:val="00FE1F6C"/>
    <w:rsid w:val="00FE36F9"/>
    <w:rsid w:val="00FE44D7"/>
    <w:rsid w:val="00FE73D8"/>
    <w:rsid w:val="00FE7503"/>
    <w:rsid w:val="00FF12A0"/>
    <w:rsid w:val="00FF1BD7"/>
    <w:rsid w:val="00FF2D32"/>
    <w:rsid w:val="00FF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8843B"/>
  <w15:chartTrackingRefBased/>
  <w15:docId w15:val="{BE4E86A9-343E-490E-8358-5FDA100E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BodyTextNumberedChar1">
    <w:name w:val="Body Text Numbered Char1"/>
    <w:link w:val="BodyTextNumbered"/>
    <w:rsid w:val="0060784C"/>
    <w:rPr>
      <w:iCs/>
      <w:sz w:val="24"/>
    </w:rPr>
  </w:style>
  <w:style w:type="paragraph" w:customStyle="1" w:styleId="BodyTextNumbered">
    <w:name w:val="Body Text Numbered"/>
    <w:basedOn w:val="BodyText"/>
    <w:link w:val="BodyTextNumberedChar1"/>
    <w:rsid w:val="0060784C"/>
    <w:pPr>
      <w:spacing w:before="0" w:after="240"/>
      <w:ind w:left="720" w:hanging="720"/>
    </w:pPr>
    <w:rPr>
      <w:iCs/>
      <w:szCs w:val="20"/>
    </w:rPr>
  </w:style>
  <w:style w:type="paragraph" w:customStyle="1" w:styleId="H3">
    <w:name w:val="H3"/>
    <w:basedOn w:val="Heading3"/>
    <w:next w:val="BodyText"/>
    <w:link w:val="H3Char"/>
    <w:rsid w:val="0060784C"/>
    <w:pPr>
      <w:numPr>
        <w:ilvl w:val="0"/>
        <w:numId w:val="0"/>
      </w:numPr>
      <w:tabs>
        <w:tab w:val="left" w:pos="1080"/>
      </w:tabs>
      <w:spacing w:before="240" w:after="240"/>
      <w:ind w:left="1080" w:hanging="1080"/>
    </w:pPr>
    <w:rPr>
      <w:iCs w:val="0"/>
    </w:rPr>
  </w:style>
  <w:style w:type="character" w:customStyle="1" w:styleId="CommentTextChar">
    <w:name w:val="Comment Text Char"/>
    <w:basedOn w:val="DefaultParagraphFont"/>
    <w:link w:val="CommentText"/>
    <w:rsid w:val="0060784C"/>
  </w:style>
  <w:style w:type="character" w:customStyle="1" w:styleId="H3Char">
    <w:name w:val="H3 Char"/>
    <w:link w:val="H3"/>
    <w:rsid w:val="0060784C"/>
    <w:rPr>
      <w:b/>
      <w:bCs/>
      <w:i/>
      <w:sz w:val="24"/>
    </w:rPr>
  </w:style>
  <w:style w:type="paragraph" w:styleId="Revision">
    <w:name w:val="Revision"/>
    <w:hidden/>
    <w:uiPriority w:val="99"/>
    <w:semiHidden/>
    <w:rsid w:val="0060784C"/>
    <w:rPr>
      <w:sz w:val="24"/>
      <w:szCs w:val="24"/>
    </w:rPr>
  </w:style>
  <w:style w:type="character" w:styleId="UnresolvedMention">
    <w:name w:val="Unresolved Mention"/>
    <w:uiPriority w:val="99"/>
    <w:semiHidden/>
    <w:unhideWhenUsed/>
    <w:rsid w:val="003F059D"/>
    <w:rPr>
      <w:color w:val="605E5C"/>
      <w:shd w:val="clear" w:color="auto" w:fill="E1DFDD"/>
    </w:rPr>
  </w:style>
  <w:style w:type="paragraph" w:styleId="FootnoteText">
    <w:name w:val="footnote text"/>
    <w:basedOn w:val="Normal"/>
    <w:link w:val="FootnoteTextChar"/>
    <w:rsid w:val="00833A83"/>
    <w:rPr>
      <w:sz w:val="20"/>
      <w:szCs w:val="20"/>
    </w:rPr>
  </w:style>
  <w:style w:type="character" w:customStyle="1" w:styleId="FootnoteTextChar">
    <w:name w:val="Footnote Text Char"/>
    <w:basedOn w:val="DefaultParagraphFont"/>
    <w:link w:val="FootnoteText"/>
    <w:rsid w:val="00833A83"/>
  </w:style>
  <w:style w:type="character" w:styleId="FootnoteReference">
    <w:name w:val="footnote reference"/>
    <w:rsid w:val="00833A83"/>
    <w:rPr>
      <w:vertAlign w:val="superscript"/>
    </w:rPr>
  </w:style>
  <w:style w:type="character" w:styleId="FollowedHyperlink">
    <w:name w:val="FollowedHyperlink"/>
    <w:basedOn w:val="DefaultParagraphFont"/>
    <w:rsid w:val="000B6A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68720">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455517781">
      <w:bodyDiv w:val="1"/>
      <w:marLeft w:val="0"/>
      <w:marRight w:val="0"/>
      <w:marTop w:val="0"/>
      <w:marBottom w:val="0"/>
      <w:divBdr>
        <w:top w:val="none" w:sz="0" w:space="0" w:color="auto"/>
        <w:left w:val="none" w:sz="0" w:space="0" w:color="auto"/>
        <w:bottom w:val="none" w:sz="0" w:space="0" w:color="auto"/>
        <w:right w:val="none" w:sz="0" w:space="0" w:color="auto"/>
      </w:divBdr>
    </w:div>
    <w:div w:id="1519851105">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65977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mes.Langdon@vistracor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rcot.com/files/docs/2026/04/13/11.1-Strategic-Discussion-on-Resource-Adequacy-and-the-Role-of-Demand-Response.pdf" TargetMode="External"/><Relationship Id="rId3" Type="http://schemas.openxmlformats.org/officeDocument/2006/relationships/hyperlink" Target="https://www.ercot.com/files/docs/2026/02/24/1296NPRR-16-IMM-Comments-022426.docx" TargetMode="External"/><Relationship Id="rId7" Type="http://schemas.openxmlformats.org/officeDocument/2006/relationships/hyperlink" Target="https://ftp.puc.texas.gov/public/puct-info/agency/rulesnlaws/subrules/electric/25.501/39917adt.pdf" TargetMode="External"/><Relationship Id="rId2" Type="http://schemas.openxmlformats.org/officeDocument/2006/relationships/hyperlink" Target="https://www.ercot.com/files/docs/2025/09/10/1296NPRR-03-Vistra-Comments-091025.docx" TargetMode="External"/><Relationship Id="rId1" Type="http://schemas.openxmlformats.org/officeDocument/2006/relationships/hyperlink" Target="https://www.ercot.com/files/docs/2026/05/27/1296NPRR-17-Reliant-Comments-052726.docx" TargetMode="External"/><Relationship Id="rId6" Type="http://schemas.openxmlformats.org/officeDocument/2006/relationships/hyperlink" Target="https://interchange.puc.texas.gov/search/documents/?controlNumber=52373&amp;itemNumber=336" TargetMode="External"/><Relationship Id="rId5" Type="http://schemas.openxmlformats.org/officeDocument/2006/relationships/image" Target="media/image1.emf"/><Relationship Id="rId4" Type="http://schemas.openxmlformats.org/officeDocument/2006/relationships/hyperlink" Target="https://interchange.puc.texas.gov/search/documents/?controlNumber=58434&amp;itemNumber=11" TargetMode="External"/><Relationship Id="rId9" Type="http://schemas.openxmlformats.org/officeDocument/2006/relationships/hyperlink" Target="https://www.ercot.com/files/docs/2026/01/16/1296NPRR-14b-Joint-Sponsors-Comments-011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004133448A840AFB79378E065DE92" ma:contentTypeVersion="4" ma:contentTypeDescription="Create a new document." ma:contentTypeScope="" ma:versionID="b149150f314f1e0bf75a537b960b5b2e">
  <xsd:schema xmlns:xsd="http://www.w3.org/2001/XMLSchema" xmlns:xs="http://www.w3.org/2001/XMLSchema" xmlns:p="http://schemas.microsoft.com/office/2006/metadata/properties" xmlns:ns2="9dc05307-ded6-4235-b4b0-e6a13f50554c" targetNamespace="http://schemas.microsoft.com/office/2006/metadata/properties" ma:root="true" ma:fieldsID="658dd80b9640962cb9806e54f3f14c55" ns2:_="">
    <xsd:import namespace="9dc05307-ded6-4235-b4b0-e6a13f5055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05307-ded6-4235-b4b0-e6a13f505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9AE60-E083-4BB4-BB20-07F9B29557C5}">
  <ds:schemaRefs>
    <ds:schemaRef ds:uri="http://schemas.microsoft.com/sharepoint/v3/contenttype/forms"/>
  </ds:schemaRefs>
</ds:datastoreItem>
</file>

<file path=customXml/itemProps2.xml><?xml version="1.0" encoding="utf-8"?>
<ds:datastoreItem xmlns:ds="http://schemas.openxmlformats.org/officeDocument/2006/customXml" ds:itemID="{69C21EE0-9174-4829-83BB-0B44CCB9AE92}">
  <ds:schemaRefs>
    <ds:schemaRef ds:uri="http://schemas.openxmlformats.org/officeDocument/2006/bibliography"/>
  </ds:schemaRefs>
</ds:datastoreItem>
</file>

<file path=customXml/itemProps3.xml><?xml version="1.0" encoding="utf-8"?>
<ds:datastoreItem xmlns:ds="http://schemas.openxmlformats.org/officeDocument/2006/customXml" ds:itemID="{8BC2DB55-FB09-44B5-9824-8C147775B0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27B8E-21A8-4468-96CC-738DAE06E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05307-ded6-4235-b4b0-e6a13f505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2452</Words>
  <Characters>14441</Characters>
  <Application>Microsoft Office Word</Application>
  <DocSecurity>4</DocSecurity>
  <Lines>488</Lines>
  <Paragraphs>107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2</cp:revision>
  <cp:lastPrinted>2001-06-20T16:28:00Z</cp:lastPrinted>
  <dcterms:created xsi:type="dcterms:W3CDTF">2026-06-02T21:04:00Z</dcterms:created>
  <dcterms:modified xsi:type="dcterms:W3CDTF">2026-06-02T21:04:00Z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2026-05-27T17:23:20Z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f23f1361-1630-4b05-9ca7-a420a7c7104c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0x010100AD5004133448A840AFB79378E065DE92</vt:lpwstr>
  </property>
</Properties>
</file>