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F14848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F14848" w:rsidRDefault="00F14848" w:rsidP="00F14848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056D789F" w:rsidR="00F14848" w:rsidRPr="00595DDC" w:rsidRDefault="00F14848" w:rsidP="00F14848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5A3E8F">
                <w:rPr>
                  <w:rStyle w:val="Hyperlink"/>
                </w:rPr>
                <w:t>1340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E2A0D43" w:rsidR="00F14848" w:rsidRDefault="00F14848" w:rsidP="00F14848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2B5FFFD5" w:rsidR="00F14848" w:rsidRPr="009F3D0E" w:rsidRDefault="00F14848" w:rsidP="00F14848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FF70C2">
              <w:t>Dispatchable Reliability Reserve Service Ancillary Service</w:t>
            </w:r>
            <w:r>
              <w:t xml:space="preserve"> with Energy Storage Resource Participation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13A5582" w:rsidR="00FC0BDC" w:rsidRPr="009F3D0E" w:rsidRDefault="00F14848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29,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893B11F" w14:textId="7C4093C7" w:rsidR="0046642B" w:rsidRDefault="00B4362E" w:rsidP="0046642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Between $3.0M and $5.0M</w:t>
            </w:r>
          </w:p>
          <w:p w14:paraId="649B203D" w14:textId="304AB611" w:rsidR="00B4362E" w:rsidRPr="00F14848" w:rsidRDefault="00B4362E" w:rsidP="0046642B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See Comments.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B4362E">
            <w:pPr>
              <w:spacing w:before="120"/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ED8125" w14:textId="57EAC367" w:rsidR="0026620F" w:rsidRDefault="0026620F" w:rsidP="00DA3B1F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011595">
              <w:rPr>
                <w:rFonts w:cs="Arial"/>
              </w:rPr>
              <w:t>20</w:t>
            </w:r>
            <w:r w:rsidRPr="0026620F">
              <w:rPr>
                <w:rFonts w:cs="Arial"/>
              </w:rPr>
              <w:t xml:space="preserve"> to </w:t>
            </w:r>
            <w:r w:rsidR="00011595">
              <w:rPr>
                <w:rFonts w:cs="Arial"/>
              </w:rPr>
              <w:t>30</w:t>
            </w:r>
            <w:r w:rsidRPr="0026620F">
              <w:rPr>
                <w:rFonts w:cs="Arial"/>
              </w:rPr>
              <w:t xml:space="preserve"> months</w:t>
            </w:r>
          </w:p>
          <w:p w14:paraId="36CEC47A" w14:textId="77777777" w:rsidR="00B4362E" w:rsidRDefault="00B4362E" w:rsidP="00DA3B1F">
            <w:pPr>
              <w:pStyle w:val="NormalArial"/>
              <w:rPr>
                <w:rFonts w:cs="Arial"/>
              </w:rPr>
            </w:pPr>
          </w:p>
          <w:p w14:paraId="7E6700E7" w14:textId="50C81220" w:rsidR="00B4362E" w:rsidRPr="00511748" w:rsidRDefault="00B4362E" w:rsidP="00B4362E">
            <w:pPr>
              <w:pStyle w:val="NormalArial"/>
              <w:spacing w:after="120"/>
              <w:rPr>
                <w:sz w:val="22"/>
                <w:szCs w:val="22"/>
              </w:rPr>
            </w:pPr>
            <w:r>
              <w:rPr>
                <w:rFonts w:cs="Arial"/>
              </w:rPr>
              <w:t>See Comments.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0DE103EE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404868">
              <w:t>94</w:t>
            </w:r>
            <w:r w:rsidR="00CB2C65" w:rsidRPr="00CB2C65">
              <w:t xml:space="preserve">% ERCOT; </w:t>
            </w:r>
            <w:r w:rsidR="00404868">
              <w:t>6</w:t>
            </w:r>
            <w:r w:rsidR="00CB2C65" w:rsidRPr="00CB2C65">
              <w:t>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1023C7C" w14:textId="4DB261AE" w:rsidR="004B1BFC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Market Management System</w:t>
            </w:r>
            <w:r>
              <w:t xml:space="preserve">               49%</w:t>
            </w:r>
          </w:p>
          <w:p w14:paraId="3CBBCFC6" w14:textId="584C0A5D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Market Settlements</w:t>
            </w:r>
            <w:r>
              <w:t xml:space="preserve">                              16%</w:t>
            </w:r>
          </w:p>
          <w:p w14:paraId="31F90814" w14:textId="03CEBB83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Data and Information Products</w:t>
            </w:r>
            <w:r>
              <w:t xml:space="preserve">            12%</w:t>
            </w:r>
          </w:p>
          <w:p w14:paraId="058E3833" w14:textId="5E8C1448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Energy Management System</w:t>
            </w:r>
            <w:r>
              <w:t xml:space="preserve">               12%</w:t>
            </w:r>
          </w:p>
          <w:p w14:paraId="5277BB36" w14:textId="2432C932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Business Intelligence &amp; Analytics</w:t>
            </w:r>
            <w:r>
              <w:t xml:space="preserve">           3%</w:t>
            </w:r>
          </w:p>
          <w:p w14:paraId="07023749" w14:textId="0FA7B09A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Data Management &amp; Governance</w:t>
            </w:r>
            <w:r>
              <w:t xml:space="preserve">          3%</w:t>
            </w:r>
          </w:p>
          <w:p w14:paraId="236C1740" w14:textId="12206791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Credit Monitoring &amp; Management</w:t>
            </w:r>
            <w:r>
              <w:t xml:space="preserve">           1%</w:t>
            </w:r>
          </w:p>
          <w:p w14:paraId="10D06F4A" w14:textId="7B3EF348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Registration</w:t>
            </w:r>
            <w:r>
              <w:t xml:space="preserve">                                             1%</w:t>
            </w:r>
          </w:p>
          <w:p w14:paraId="07FB1B43" w14:textId="1A31ADD9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Enterprise Integration MDT Services</w:t>
            </w:r>
            <w:r>
              <w:t xml:space="preserve">      1%</w:t>
            </w:r>
          </w:p>
          <w:p w14:paraId="2DF0FBDA" w14:textId="7EE7204A" w:rsidR="00404868" w:rsidRPr="00404868" w:rsidRDefault="00404868" w:rsidP="00404868">
            <w:pPr>
              <w:pStyle w:val="NormalArial"/>
              <w:numPr>
                <w:ilvl w:val="0"/>
                <w:numId w:val="7"/>
              </w:numPr>
            </w:pPr>
            <w:r w:rsidRPr="00404868">
              <w:t>Enterprise Integration Nodal Services</w:t>
            </w:r>
            <w:r>
              <w:t xml:space="preserve">     1%   </w:t>
            </w:r>
          </w:p>
          <w:p w14:paraId="3F868CC6" w14:textId="3231DAC8" w:rsidR="00404868" w:rsidRPr="00FE71C0" w:rsidRDefault="00404868" w:rsidP="00404868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5DC6963A" w:rsidR="000A2646" w:rsidRPr="00A36BDB" w:rsidRDefault="00B4362E" w:rsidP="00B4362E">
            <w:pPr>
              <w:pStyle w:val="NormalArial"/>
              <w:spacing w:before="120" w:after="120"/>
            </w:pPr>
            <w:r>
              <w:rPr>
                <w:rFonts w:cs="Arial"/>
              </w:rPr>
              <w:lastRenderedPageBreak/>
              <w:t xml:space="preserve">As reflected in the 11/20/25 Impact Analysis for NPRR1309, </w:t>
            </w:r>
            <w:r w:rsidRPr="002442D0">
              <w:rPr>
                <w:rFonts w:cs="Arial"/>
              </w:rPr>
              <w:t>Board Priority - Dispatchable Reliability Reserve Service Ancillary Service</w:t>
            </w:r>
            <w:r>
              <w:rPr>
                <w:rFonts w:cs="Arial"/>
              </w:rPr>
              <w:t>, the</w:t>
            </w:r>
            <w:r w:rsidRPr="002442D0">
              <w:rPr>
                <w:rFonts w:cs="Arial"/>
              </w:rPr>
              <w:t xml:space="preserve"> cost of </w:t>
            </w:r>
            <w:r w:rsidR="00F14848">
              <w:rPr>
                <w:rFonts w:cs="Arial"/>
              </w:rPr>
              <w:t>Dispatchable Reliability Reserve Service (</w:t>
            </w:r>
            <w:r w:rsidRPr="002442D0">
              <w:rPr>
                <w:rFonts w:cs="Arial"/>
              </w:rPr>
              <w:t>DRRS</w:t>
            </w:r>
            <w:r w:rsidR="00F14848">
              <w:rPr>
                <w:rFonts w:cs="Arial"/>
              </w:rPr>
              <w:t>)</w:t>
            </w:r>
            <w:r w:rsidRPr="002442D0">
              <w:rPr>
                <w:rFonts w:cs="Arial"/>
              </w:rPr>
              <w:t xml:space="preserve"> is expected to be</w:t>
            </w:r>
            <w:r w:rsidR="0013510D">
              <w:rPr>
                <w:rFonts w:cs="Arial"/>
              </w:rPr>
              <w:t xml:space="preserve"> between </w:t>
            </w:r>
            <w:r w:rsidRPr="002442D0">
              <w:rPr>
                <w:rFonts w:cs="Arial"/>
              </w:rPr>
              <w:t>$3M</w:t>
            </w:r>
            <w:r w:rsidR="0013510D">
              <w:rPr>
                <w:rFonts w:cs="Arial"/>
              </w:rPr>
              <w:t xml:space="preserve"> and </w:t>
            </w:r>
            <w:r w:rsidRPr="002442D0">
              <w:rPr>
                <w:rFonts w:cs="Arial"/>
              </w:rPr>
              <w:t xml:space="preserve">$5M.  If NPRR1309 is approved, </w:t>
            </w:r>
            <w:r>
              <w:rPr>
                <w:rFonts w:cs="Arial"/>
              </w:rPr>
              <w:t>the estimated costs and project duration within this Impact Analysis for NPRR</w:t>
            </w:r>
            <w:r w:rsidR="00F14848">
              <w:rPr>
                <w:rFonts w:cs="Arial"/>
              </w:rPr>
              <w:t>1340</w:t>
            </w:r>
            <w:r>
              <w:rPr>
                <w:rFonts w:cs="Arial"/>
              </w:rPr>
              <w:t xml:space="preserve"> will be revised accordingly.  T</w:t>
            </w:r>
            <w:r w:rsidRPr="002442D0">
              <w:rPr>
                <w:rFonts w:cs="Arial"/>
              </w:rPr>
              <w:t xml:space="preserve">he incremental cost of the </w:t>
            </w:r>
            <w:r w:rsidR="00F14848">
              <w:rPr>
                <w:rFonts w:cs="Arial"/>
              </w:rPr>
              <w:t>Energy Storage Resource (</w:t>
            </w:r>
            <w:r w:rsidRPr="002442D0">
              <w:rPr>
                <w:rFonts w:cs="Arial"/>
              </w:rPr>
              <w:t>ESR</w:t>
            </w:r>
            <w:r w:rsidR="00F14848">
              <w:rPr>
                <w:rFonts w:cs="Arial"/>
              </w:rPr>
              <w:t>)</w:t>
            </w:r>
            <w:r w:rsidRPr="002442D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Pr="002442D0">
              <w:rPr>
                <w:rFonts w:cs="Arial"/>
              </w:rPr>
              <w:t xml:space="preserve">articipation </w:t>
            </w:r>
            <w:r>
              <w:rPr>
                <w:rFonts w:cs="Arial"/>
              </w:rPr>
              <w:t>in DRRS beyond what was captured in the Impact Analysis for NPRR1309</w:t>
            </w:r>
            <w:r w:rsidRPr="002442D0">
              <w:rPr>
                <w:rFonts w:cs="Arial"/>
              </w:rPr>
              <w:t xml:space="preserve"> is estimated to be between $50</w:t>
            </w:r>
            <w:r w:rsidR="0013510D">
              <w:rPr>
                <w:rFonts w:cs="Arial"/>
              </w:rPr>
              <w:t>K</w:t>
            </w:r>
            <w:r w:rsidRPr="002442D0">
              <w:rPr>
                <w:rFonts w:cs="Arial"/>
              </w:rPr>
              <w:t xml:space="preserve"> and $70</w:t>
            </w:r>
            <w:r w:rsidR="0013510D">
              <w:rPr>
                <w:rFonts w:cs="Arial"/>
              </w:rPr>
              <w:t>K</w:t>
            </w:r>
            <w:r>
              <w:rPr>
                <w:rFonts w:cs="Arial"/>
              </w:rPr>
              <w:t>, and ERCOT expects to complete the project work associated with ESR participation in DRRS within the same project as NPRR1309.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0012" w14:textId="77777777" w:rsidR="002E47F8" w:rsidRDefault="002E47F8">
      <w:r>
        <w:separator/>
      </w:r>
    </w:p>
  </w:endnote>
  <w:endnote w:type="continuationSeparator" w:id="0">
    <w:p w14:paraId="5FA251DD" w14:textId="77777777" w:rsidR="002E47F8" w:rsidRDefault="002E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0DFDDEBB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13510D">
      <w:rPr>
        <w:rFonts w:ascii="Arial" w:hAnsi="Arial"/>
        <w:noProof/>
        <w:sz w:val="18"/>
      </w:rPr>
      <w:t>1340NPRR-02 Impact Analysis 052926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75B5" w14:textId="77777777" w:rsidR="002E47F8" w:rsidRDefault="002E47F8">
      <w:r>
        <w:separator/>
      </w:r>
    </w:p>
  </w:footnote>
  <w:footnote w:type="continuationSeparator" w:id="0">
    <w:p w14:paraId="4299BE3C" w14:textId="77777777" w:rsidR="002E47F8" w:rsidRDefault="002E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B4BE2"/>
    <w:multiLevelType w:val="hybridMultilevel"/>
    <w:tmpl w:val="C1CA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5"/>
  </w:num>
  <w:num w:numId="7" w16cid:durableId="165996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1595"/>
    <w:rsid w:val="00014323"/>
    <w:rsid w:val="0001445B"/>
    <w:rsid w:val="000148CE"/>
    <w:rsid w:val="00015864"/>
    <w:rsid w:val="00017EA4"/>
    <w:rsid w:val="00025DCB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3510D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498E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47F8"/>
    <w:rsid w:val="002E77D5"/>
    <w:rsid w:val="00305163"/>
    <w:rsid w:val="00306F40"/>
    <w:rsid w:val="0031543B"/>
    <w:rsid w:val="00324744"/>
    <w:rsid w:val="00343A04"/>
    <w:rsid w:val="003442FA"/>
    <w:rsid w:val="003532C4"/>
    <w:rsid w:val="003615A5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4868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6642B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84446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362E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4848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1F4F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4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4F3D0-4632-4DE2-BFED-D8500FEE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1915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2146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3</cp:revision>
  <cp:lastPrinted>2007-01-12T13:31:00Z</cp:lastPrinted>
  <dcterms:created xsi:type="dcterms:W3CDTF">2026-05-29T22:10:00Z</dcterms:created>
  <dcterms:modified xsi:type="dcterms:W3CDTF">2026-05-29T22:11:00Z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