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BF7624" w14:paraId="62EA05D6" w14:textId="77777777">
        <w:tblPrEx>
          <w:tblCellMar>
            <w:top w:w="0" w:type="dxa"/>
            <w:bottom w:w="0" w:type="dxa"/>
          </w:tblCellMar>
        </w:tblPrEx>
        <w:tc>
          <w:tcPr>
            <w:tcW w:w="1620" w:type="dxa"/>
            <w:tcBorders>
              <w:bottom w:val="single" w:sz="4" w:space="0" w:color="auto"/>
            </w:tcBorders>
            <w:shd w:val="clear" w:color="auto" w:fill="FFFFFF"/>
            <w:vAlign w:val="center"/>
          </w:tcPr>
          <w:p w14:paraId="43DDC995" w14:textId="77777777" w:rsidR="00BF7624" w:rsidRDefault="00BF7624" w:rsidP="00BF7624">
            <w:pPr>
              <w:pStyle w:val="Header"/>
              <w:rPr>
                <w:rFonts w:ascii="Verdana" w:hAnsi="Verdana"/>
                <w:sz w:val="22"/>
              </w:rPr>
            </w:pPr>
            <w:r>
              <w:t>PGRR Number</w:t>
            </w:r>
          </w:p>
        </w:tc>
        <w:tc>
          <w:tcPr>
            <w:tcW w:w="1260" w:type="dxa"/>
            <w:tcBorders>
              <w:bottom w:val="single" w:sz="4" w:space="0" w:color="auto"/>
            </w:tcBorders>
            <w:vAlign w:val="center"/>
          </w:tcPr>
          <w:p w14:paraId="2E8B4301" w14:textId="25215C16" w:rsidR="00BF7624" w:rsidRDefault="00BF7624" w:rsidP="00BF7624">
            <w:pPr>
              <w:pStyle w:val="Header"/>
            </w:pPr>
            <w:hyperlink r:id="rId7" w:history="1">
              <w:r w:rsidRPr="003D6716">
                <w:rPr>
                  <w:rStyle w:val="Hyperlink"/>
                </w:rPr>
                <w:t>134</w:t>
              </w:r>
            </w:hyperlink>
          </w:p>
        </w:tc>
        <w:tc>
          <w:tcPr>
            <w:tcW w:w="1440" w:type="dxa"/>
            <w:tcBorders>
              <w:bottom w:val="single" w:sz="4" w:space="0" w:color="auto"/>
            </w:tcBorders>
            <w:shd w:val="clear" w:color="auto" w:fill="FFFFFF"/>
            <w:vAlign w:val="center"/>
          </w:tcPr>
          <w:p w14:paraId="2F964A17" w14:textId="4112D0A6" w:rsidR="00BF7624" w:rsidRDefault="00BF7624" w:rsidP="00BF7624">
            <w:pPr>
              <w:pStyle w:val="Header"/>
            </w:pPr>
            <w:r>
              <w:t>PGRR Title</w:t>
            </w:r>
          </w:p>
        </w:tc>
        <w:tc>
          <w:tcPr>
            <w:tcW w:w="6120" w:type="dxa"/>
            <w:tcBorders>
              <w:bottom w:val="single" w:sz="4" w:space="0" w:color="auto"/>
            </w:tcBorders>
            <w:vAlign w:val="center"/>
          </w:tcPr>
          <w:p w14:paraId="33A52E32" w14:textId="39A7826B" w:rsidR="00BF7624" w:rsidRPr="00BF7624" w:rsidRDefault="00BF7624" w:rsidP="00BF7624">
            <w:pPr>
              <w:rPr>
                <w:rFonts w:ascii="Arial" w:hAnsi="Arial" w:cs="Arial"/>
                <w:b/>
                <w:bCs/>
              </w:rPr>
            </w:pPr>
            <w:r w:rsidRPr="00BF7624">
              <w:rPr>
                <w:rFonts w:ascii="Arial" w:hAnsi="Arial" w:cs="Arial"/>
                <w:b/>
                <w:bCs/>
              </w:rPr>
              <w:t>Interconnection Studies Reform for Dispatchable Loads</w:t>
            </w:r>
          </w:p>
        </w:tc>
      </w:tr>
    </w:tbl>
    <w:p w14:paraId="46EEBC22" w14:textId="77777777" w:rsidR="00417D10" w:rsidRDefault="00417D10"/>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4772B21" w14:textId="77777777">
        <w:tblPrEx>
          <w:tblCellMar>
            <w:top w:w="0" w:type="dxa"/>
            <w:bottom w:w="0" w:type="dxa"/>
          </w:tblCellMar>
        </w:tblPrEx>
        <w:trPr>
          <w:trHeight w:val="413"/>
        </w:trPr>
        <w:tc>
          <w:tcPr>
            <w:tcW w:w="2880" w:type="dxa"/>
            <w:tcBorders>
              <w:top w:val="single" w:sz="4" w:space="0" w:color="auto"/>
              <w:left w:val="single" w:sz="4" w:space="0" w:color="auto"/>
              <w:bottom w:val="single" w:sz="4" w:space="0" w:color="auto"/>
              <w:right w:val="single" w:sz="4" w:space="0" w:color="auto"/>
            </w:tcBorders>
            <w:vAlign w:val="center"/>
          </w:tcPr>
          <w:p w14:paraId="4F052384"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30714C" w14:textId="2CC18766" w:rsidR="00152993" w:rsidRDefault="001A274F">
            <w:pPr>
              <w:pStyle w:val="NormalArial"/>
            </w:pPr>
            <w:r>
              <w:t>May 27, 2026</w:t>
            </w:r>
          </w:p>
        </w:tc>
      </w:tr>
    </w:tbl>
    <w:p w14:paraId="70A91693" w14:textId="77777777" w:rsidR="00417D10" w:rsidRDefault="00417D10"/>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E9FDF8E" w14:textId="77777777">
        <w:tblPrEx>
          <w:tblCellMar>
            <w:top w:w="0" w:type="dxa"/>
            <w:bottom w:w="0" w:type="dxa"/>
          </w:tblCellMar>
        </w:tblPrEx>
        <w:trPr>
          <w:trHeight w:val="440"/>
        </w:trPr>
        <w:tc>
          <w:tcPr>
            <w:tcW w:w="10440" w:type="dxa"/>
            <w:gridSpan w:val="2"/>
            <w:tcBorders>
              <w:top w:val="single" w:sz="4" w:space="0" w:color="auto"/>
            </w:tcBorders>
            <w:shd w:val="clear" w:color="auto" w:fill="FFFFFF"/>
            <w:vAlign w:val="center"/>
          </w:tcPr>
          <w:p w14:paraId="5C9A82FC" w14:textId="258CFB0B" w:rsidR="003E0B65" w:rsidRPr="00C21651" w:rsidRDefault="00152993" w:rsidP="00C922CE">
            <w:pPr>
              <w:pStyle w:val="Header"/>
              <w:jc w:val="center"/>
              <w:rPr>
                <w:b w:val="0"/>
                <w:i/>
                <w:color w:val="FF0000"/>
                <w:sz w:val="18"/>
                <w:szCs w:val="18"/>
              </w:rPr>
            </w:pPr>
            <w:r w:rsidRPr="00C21651">
              <w:t>Submitter’s Information</w:t>
            </w:r>
          </w:p>
        </w:tc>
      </w:tr>
      <w:tr w:rsidR="008C693F" w14:paraId="31A8EEA3" w14:textId="77777777">
        <w:tblPrEx>
          <w:tblCellMar>
            <w:top w:w="0" w:type="dxa"/>
            <w:bottom w:w="0" w:type="dxa"/>
          </w:tblCellMar>
        </w:tblPrEx>
        <w:tc>
          <w:tcPr>
            <w:tcW w:w="2880" w:type="dxa"/>
            <w:shd w:val="clear" w:color="auto" w:fill="FFFFFF"/>
            <w:vAlign w:val="center"/>
          </w:tcPr>
          <w:p w14:paraId="4650148A" w14:textId="77777777" w:rsidR="008C693F" w:rsidRPr="00EC55B3" w:rsidRDefault="008C693F" w:rsidP="00C922CE">
            <w:pPr>
              <w:pStyle w:val="Header"/>
              <w:spacing w:before="60" w:after="60"/>
            </w:pPr>
            <w:r w:rsidRPr="00EC55B3">
              <w:t>Name</w:t>
            </w:r>
          </w:p>
        </w:tc>
        <w:tc>
          <w:tcPr>
            <w:tcW w:w="7560" w:type="dxa"/>
            <w:vAlign w:val="center"/>
          </w:tcPr>
          <w:p w14:paraId="0930D6B1" w14:textId="77777777" w:rsidR="008C693F" w:rsidRDefault="001A274F" w:rsidP="009447E7">
            <w:pPr>
              <w:pStyle w:val="NormalArial"/>
            </w:pPr>
            <w:r>
              <w:t>Arushi Sharma Frank</w:t>
            </w:r>
          </w:p>
        </w:tc>
      </w:tr>
      <w:tr w:rsidR="008C693F" w14:paraId="4AB451C0" w14:textId="77777777">
        <w:tblPrEx>
          <w:tblCellMar>
            <w:top w:w="0" w:type="dxa"/>
            <w:bottom w:w="0" w:type="dxa"/>
          </w:tblCellMar>
        </w:tblPrEx>
        <w:trPr>
          <w:trHeight w:val="377"/>
        </w:trPr>
        <w:tc>
          <w:tcPr>
            <w:tcW w:w="2880" w:type="dxa"/>
            <w:shd w:val="clear" w:color="auto" w:fill="FFFFFF"/>
            <w:vAlign w:val="center"/>
          </w:tcPr>
          <w:p w14:paraId="38D7AEBE" w14:textId="77777777" w:rsidR="008C693F" w:rsidRPr="00EC55B3" w:rsidRDefault="008C693F" w:rsidP="00C922CE">
            <w:pPr>
              <w:pStyle w:val="Header"/>
              <w:spacing w:before="60" w:after="60"/>
            </w:pPr>
            <w:r w:rsidRPr="00EC55B3">
              <w:t>E-mail Address</w:t>
            </w:r>
          </w:p>
        </w:tc>
        <w:tc>
          <w:tcPr>
            <w:tcW w:w="7560" w:type="dxa"/>
            <w:vAlign w:val="center"/>
          </w:tcPr>
          <w:p w14:paraId="45578C76" w14:textId="77777777" w:rsidR="008C693F" w:rsidRDefault="001A274F" w:rsidP="009447E7">
            <w:pPr>
              <w:pStyle w:val="NormalArial"/>
            </w:pPr>
            <w:hyperlink r:id="rId8" w:history="1">
              <w:r w:rsidRPr="009E54E9">
                <w:rPr>
                  <w:rStyle w:val="Hyperlink"/>
                </w:rPr>
                <w:t>contact@luminarystrategiesllc.onmicrosoft.com</w:t>
              </w:r>
            </w:hyperlink>
            <w:r>
              <w:t xml:space="preserve"> </w:t>
            </w:r>
          </w:p>
        </w:tc>
      </w:tr>
      <w:tr w:rsidR="008C693F" w14:paraId="752457D6" w14:textId="77777777">
        <w:tblPrEx>
          <w:tblCellMar>
            <w:top w:w="0" w:type="dxa"/>
            <w:bottom w:w="0" w:type="dxa"/>
          </w:tblCellMar>
        </w:tblPrEx>
        <w:trPr>
          <w:trHeight w:val="368"/>
        </w:trPr>
        <w:tc>
          <w:tcPr>
            <w:tcW w:w="2880" w:type="dxa"/>
            <w:shd w:val="clear" w:color="auto" w:fill="FFFFFF"/>
            <w:vAlign w:val="center"/>
          </w:tcPr>
          <w:p w14:paraId="02B10626" w14:textId="77777777" w:rsidR="008C693F" w:rsidRPr="00EC55B3" w:rsidRDefault="008C693F" w:rsidP="00C922CE">
            <w:pPr>
              <w:pStyle w:val="Header"/>
              <w:spacing w:before="60" w:after="60"/>
            </w:pPr>
            <w:r w:rsidRPr="00EC55B3">
              <w:t>Company</w:t>
            </w:r>
          </w:p>
        </w:tc>
        <w:tc>
          <w:tcPr>
            <w:tcW w:w="7560" w:type="dxa"/>
            <w:vAlign w:val="center"/>
          </w:tcPr>
          <w:p w14:paraId="5C4599A6" w14:textId="77777777" w:rsidR="008C693F" w:rsidRDefault="001A274F" w:rsidP="009447E7">
            <w:pPr>
              <w:pStyle w:val="NormalArial"/>
            </w:pPr>
            <w:r>
              <w:t>Luminary Strategies</w:t>
            </w:r>
          </w:p>
        </w:tc>
      </w:tr>
      <w:tr w:rsidR="00923C4A" w14:paraId="323EE326"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0E4A981E" w14:textId="77777777" w:rsidR="00923C4A" w:rsidRPr="00B93CA0" w:rsidRDefault="00923C4A" w:rsidP="00C922CE">
            <w:pPr>
              <w:pStyle w:val="Header"/>
              <w:spacing w:before="60" w:after="60"/>
              <w:rPr>
                <w:bCs w:val="0"/>
              </w:rPr>
            </w:pPr>
            <w:r w:rsidRPr="00B93CA0">
              <w:rPr>
                <w:bCs w:val="0"/>
              </w:rPr>
              <w:t>Phone Number</w:t>
            </w:r>
          </w:p>
        </w:tc>
        <w:tc>
          <w:tcPr>
            <w:tcW w:w="7560" w:type="dxa"/>
            <w:tcBorders>
              <w:bottom w:val="single" w:sz="4" w:space="0" w:color="auto"/>
            </w:tcBorders>
            <w:vAlign w:val="center"/>
          </w:tcPr>
          <w:p w14:paraId="5EBA759D" w14:textId="7060EE2A" w:rsidR="00923C4A" w:rsidRDefault="001A274F" w:rsidP="004417B4">
            <w:pPr>
              <w:pStyle w:val="NormalArial"/>
            </w:pPr>
            <w:r>
              <w:t>571</w:t>
            </w:r>
            <w:r w:rsidR="00BF7624">
              <w:t>-</w:t>
            </w:r>
            <w:r>
              <w:t>572</w:t>
            </w:r>
            <w:r w:rsidR="00BF7624">
              <w:t>-</w:t>
            </w:r>
            <w:r>
              <w:t xml:space="preserve">9037 </w:t>
            </w:r>
          </w:p>
        </w:tc>
      </w:tr>
      <w:tr w:rsidR="00923C4A" w14:paraId="558FF86C" w14:textId="77777777">
        <w:tblPrEx>
          <w:tblCellMar>
            <w:top w:w="0" w:type="dxa"/>
            <w:bottom w:w="0" w:type="dxa"/>
          </w:tblCellMar>
        </w:tblPrEx>
        <w:trPr>
          <w:trHeight w:val="350"/>
        </w:trPr>
        <w:tc>
          <w:tcPr>
            <w:tcW w:w="2880" w:type="dxa"/>
            <w:shd w:val="clear" w:color="auto" w:fill="FFFFFF"/>
            <w:vAlign w:val="center"/>
          </w:tcPr>
          <w:p w14:paraId="319CFDD9" w14:textId="77777777" w:rsidR="00923C4A" w:rsidRPr="00B93CA0" w:rsidRDefault="00923C4A" w:rsidP="00C922CE">
            <w:pPr>
              <w:pStyle w:val="Header"/>
              <w:spacing w:before="60" w:after="60"/>
              <w:rPr>
                <w:bCs w:val="0"/>
              </w:rPr>
            </w:pPr>
            <w:r>
              <w:rPr>
                <w:bCs w:val="0"/>
              </w:rPr>
              <w:t>Cell</w:t>
            </w:r>
            <w:r w:rsidRPr="00B93CA0">
              <w:rPr>
                <w:bCs w:val="0"/>
              </w:rPr>
              <w:t xml:space="preserve"> Number</w:t>
            </w:r>
          </w:p>
        </w:tc>
        <w:tc>
          <w:tcPr>
            <w:tcW w:w="7560" w:type="dxa"/>
            <w:vAlign w:val="center"/>
          </w:tcPr>
          <w:p w14:paraId="6EC34DE3" w14:textId="77777777" w:rsidR="00923C4A" w:rsidRDefault="00923C4A" w:rsidP="004417B4">
            <w:pPr>
              <w:pStyle w:val="NormalArial"/>
            </w:pPr>
          </w:p>
        </w:tc>
      </w:tr>
      <w:tr w:rsidR="00923C4A" w14:paraId="1F8443A4"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0F3A23ED" w14:textId="77777777" w:rsidR="00923C4A" w:rsidRPr="00B93CA0" w:rsidDel="00E41BCF" w:rsidRDefault="00923C4A" w:rsidP="00C922CE">
            <w:pPr>
              <w:pStyle w:val="Header"/>
              <w:spacing w:before="60" w:after="60"/>
              <w:rPr>
                <w:bCs w:val="0"/>
              </w:rPr>
            </w:pPr>
            <w:r>
              <w:rPr>
                <w:bCs w:val="0"/>
              </w:rPr>
              <w:t>Market Segment</w:t>
            </w:r>
          </w:p>
        </w:tc>
        <w:tc>
          <w:tcPr>
            <w:tcW w:w="7560" w:type="dxa"/>
            <w:tcBorders>
              <w:bottom w:val="single" w:sz="4" w:space="0" w:color="auto"/>
            </w:tcBorders>
            <w:vAlign w:val="center"/>
          </w:tcPr>
          <w:p w14:paraId="4480E2A9" w14:textId="0E65AFBC" w:rsidR="00923C4A" w:rsidRDefault="00BF7624" w:rsidP="004417B4">
            <w:pPr>
              <w:pStyle w:val="NormalArial"/>
            </w:pPr>
            <w:r>
              <w:t>Not applicable</w:t>
            </w:r>
          </w:p>
        </w:tc>
      </w:tr>
    </w:tbl>
    <w:p w14:paraId="61D7EC3B" w14:textId="77777777" w:rsidR="00417D10" w:rsidRDefault="00417D1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52E24" w14:paraId="7B5338F8" w14:textId="77777777" w:rsidTr="00C922CE">
        <w:trPr>
          <w:trHeight w:val="395"/>
        </w:trPr>
        <w:tc>
          <w:tcPr>
            <w:tcW w:w="10440" w:type="dxa"/>
            <w:vAlign w:val="center"/>
          </w:tcPr>
          <w:p w14:paraId="338E760A" w14:textId="77777777" w:rsidR="00A52E24" w:rsidRPr="005E5736" w:rsidRDefault="00932B6C" w:rsidP="005E5736">
            <w:pPr>
              <w:pStyle w:val="NormalArial"/>
              <w:jc w:val="center"/>
              <w:rPr>
                <w:b/>
              </w:rPr>
            </w:pPr>
            <w:r w:rsidRPr="005E5736">
              <w:rPr>
                <w:b/>
              </w:rPr>
              <w:t>Reason for Request for Withdrawal</w:t>
            </w:r>
          </w:p>
        </w:tc>
      </w:tr>
    </w:tbl>
    <w:p w14:paraId="42BD6C0B" w14:textId="77777777" w:rsidR="00E47A5D" w:rsidRDefault="00E47A5D" w:rsidP="00E47A5D">
      <w:pPr>
        <w:pStyle w:val="NormalArial"/>
        <w:rPr>
          <w:sz w:val="20"/>
          <w:szCs w:val="20"/>
        </w:rPr>
      </w:pPr>
    </w:p>
    <w:p w14:paraId="77E6B5D6" w14:textId="482DACBD" w:rsidR="003B6D10" w:rsidRPr="00BF7624" w:rsidRDefault="00E47A5D" w:rsidP="003B6D10">
      <w:pPr>
        <w:pStyle w:val="NormalArial"/>
        <w:ind w:left="-180"/>
      </w:pPr>
      <w:r w:rsidRPr="00BF7624">
        <w:t xml:space="preserve">The primary objective of </w:t>
      </w:r>
      <w:r w:rsidR="00BF7624">
        <w:t>Planning Guide Revision Request (</w:t>
      </w:r>
      <w:r w:rsidRPr="00BF7624">
        <w:t>PGRR</w:t>
      </w:r>
      <w:r w:rsidR="00BF7624">
        <w:t xml:space="preserve">) </w:t>
      </w:r>
      <w:r w:rsidRPr="00BF7624">
        <w:t xml:space="preserve">134 was to establish a formal framework allowing (NPRR1188-compliant) nodally dispatchable </w:t>
      </w:r>
      <w:r w:rsidR="00BF7624">
        <w:t>L</w:t>
      </w:r>
      <w:r w:rsidRPr="00BF7624">
        <w:t xml:space="preserve">arge </w:t>
      </w:r>
      <w:r w:rsidR="00BF7624">
        <w:t>L</w:t>
      </w:r>
      <w:r w:rsidRPr="00BF7624">
        <w:t xml:space="preserve">oads to achieve faster energization by registering and operating as what is now termed “Provisional Controllable Load Resources (PCLRs).” That framework has now been fully integrated into the system-wide Batch Zero rules under PGRR145, </w:t>
      </w:r>
      <w:r w:rsidR="00BF7624" w:rsidRPr="00BF7624">
        <w:t>Batch Zero Process for Large Load Interconnections</w:t>
      </w:r>
      <w:r w:rsidR="00BF7624">
        <w:t xml:space="preserve">, </w:t>
      </w:r>
      <w:r w:rsidRPr="00BF7624">
        <w:t xml:space="preserve">rendering a standalone revision request unnecessary. Under PGRR145, the PCLR pathway is formally initiated during the application phase via Section 9.2.2.1. Once ERCOT completes the initial batch evaluation, Section 9.4.1 establishes the binding commercial commitments, noting that ERCOT shall set the maximum Low Power Consumption </w:t>
      </w:r>
      <w:r w:rsidR="00BF7624">
        <w:t xml:space="preserve">(LPC) </w:t>
      </w:r>
      <w:r w:rsidRPr="00BF7624">
        <w:t xml:space="preserve">values for the PCLR to equal the amounts of peak Demand identified in the study; and </w:t>
      </w:r>
      <w:r w:rsidR="00BF7624">
        <w:t>i</w:t>
      </w:r>
      <w:r w:rsidRPr="00BF7624">
        <w:t xml:space="preserve">dentify the </w:t>
      </w:r>
      <w:r w:rsidR="00BF7624">
        <w:t>Interconnecting Large Load Entity’s (</w:t>
      </w:r>
      <w:r w:rsidRPr="00BF7624">
        <w:t>ILLE’s</w:t>
      </w:r>
      <w:r w:rsidR="00BF7624">
        <w:t>)</w:t>
      </w:r>
      <w:r w:rsidRPr="00BF7624">
        <w:t xml:space="preserve"> initial requested amounts of peak Demand as approved Maximum Power Consumption (MPC) values, contingent on successful registration as a PCLR. </w:t>
      </w:r>
    </w:p>
    <w:p w14:paraId="68DADCC2" w14:textId="77777777" w:rsidR="003B6D10" w:rsidRPr="00BF7624" w:rsidRDefault="003B6D10" w:rsidP="003B6D10">
      <w:pPr>
        <w:pStyle w:val="NormalArial"/>
        <w:ind w:left="-180"/>
      </w:pPr>
    </w:p>
    <w:p w14:paraId="2F53EECC" w14:textId="4F499317" w:rsidR="003B6D10" w:rsidRPr="00BF7624" w:rsidRDefault="00E47A5D" w:rsidP="003B6D10">
      <w:pPr>
        <w:pStyle w:val="NormalArial"/>
        <w:ind w:left="-180"/>
      </w:pPr>
      <w:r w:rsidRPr="00BF7624">
        <w:t xml:space="preserve">Furthermore, PGRR145 explicitly codifies how these </w:t>
      </w:r>
      <w:r w:rsidR="00BF7624">
        <w:t>R</w:t>
      </w:r>
      <w:r w:rsidRPr="00BF7624">
        <w:t xml:space="preserve">esources are modeled in final grid planning and how they must operate once energized, mirroring the operational goals of PGRR134. Section 9.5.3 governs the post-commitment phase, dictating that during the Batch Zero Refinement Study, "The Demand level for a PCLR shall be set at the LPC as reflected in the updated Load Commissioning Plan (LCP) and interconnection agreement that meets the commitment requirements in Section 9.4". Finally, Section 9.6.1 ensures strict operational compliance to maintain system reliability, mandating that a PCLR "shall not consume above its LPC amount until" it completes a series of prerequisites, including registering as a Resource Entity, designating a Qualified Scheduling Entity (QSE), establishing good quality telemetry, and successfully completing necessary ERCOT qualification testing. Because PGRR145 successfully captures the entirety of the PCLR lifecycle—from initial declaration to final commits for energization—the sponsors respectfully withdraw PGRR134. </w:t>
      </w:r>
    </w:p>
    <w:p w14:paraId="41FCC64D" w14:textId="77777777" w:rsidR="003B6D10" w:rsidRPr="00BF7624" w:rsidRDefault="003B6D10" w:rsidP="003B6D10">
      <w:pPr>
        <w:pStyle w:val="NormalArial"/>
        <w:ind w:left="-180"/>
      </w:pPr>
    </w:p>
    <w:p w14:paraId="195048AC" w14:textId="310B1BFD" w:rsidR="00E47A5D" w:rsidRPr="00BF7624" w:rsidRDefault="00E47A5D" w:rsidP="003B6D10">
      <w:pPr>
        <w:pStyle w:val="NormalArial"/>
        <w:ind w:left="-180"/>
      </w:pPr>
      <w:r w:rsidRPr="00BF7624">
        <w:lastRenderedPageBreak/>
        <w:t xml:space="preserve">Luminary Strategies’ </w:t>
      </w:r>
      <w:hyperlink r:id="rId9" w:history="1">
        <w:r w:rsidRPr="00BF7624">
          <w:rPr>
            <w:rStyle w:val="Hyperlink"/>
          </w:rPr>
          <w:t>white paper describing the policy objectives</w:t>
        </w:r>
      </w:hyperlink>
      <w:r w:rsidRPr="00BF7624">
        <w:t xml:space="preserve"> of PGRR134 and generally, how loads in SCED mitigate transmission congestion risk for ERCOT, can be found in the Large Load Working Group </w:t>
      </w:r>
      <w:r w:rsidR="00BF7624">
        <w:t>(LLWG) m</w:t>
      </w:r>
      <w:r w:rsidRPr="00BF7624">
        <w:t xml:space="preserve">aterials shared </w:t>
      </w:r>
      <w:r w:rsidR="00AE7448" w:rsidRPr="00BF7624">
        <w:t>o</w:t>
      </w:r>
      <w:r w:rsidRPr="00BF7624">
        <w:t>n September</w:t>
      </w:r>
      <w:r w:rsidR="00AE7448" w:rsidRPr="00BF7624">
        <w:t xml:space="preserve"> 19</w:t>
      </w:r>
      <w:r w:rsidRPr="00BF7624">
        <w:t xml:space="preserve">, 2025.  </w:t>
      </w:r>
      <w:r w:rsidR="00AE7448" w:rsidRPr="00BF7624">
        <w:t>We deeply appreciate the immense effort from ERCOT, ERCOT stakeholders, and allies of competitive markets, to effectuate the first U.S. RTO engineered policy solution which privatizes curtailment risk away from public infrastructure and ratepayers</w:t>
      </w:r>
      <w:r w:rsidR="003B6D10" w:rsidRPr="00BF7624">
        <w:t>, and enables</w:t>
      </w:r>
      <w:r w:rsidR="00AE7448" w:rsidRPr="00BF7624">
        <w:t xml:space="preserve"> </w:t>
      </w:r>
      <w:r w:rsidR="00BF7624">
        <w:t>L</w:t>
      </w:r>
      <w:r w:rsidR="00AE7448" w:rsidRPr="00BF7624">
        <w:t xml:space="preserve">arge </w:t>
      </w:r>
      <w:r w:rsidR="00BF7624">
        <w:t>L</w:t>
      </w:r>
      <w:r w:rsidR="003B6D10" w:rsidRPr="00BF7624">
        <w:t xml:space="preserve">oads to bring private capital to speed-to-power solutions.  </w:t>
      </w:r>
    </w:p>
    <w:sectPr w:rsidR="00E47A5D" w:rsidRPr="00BF7624" w:rsidSect="003B6D10">
      <w:headerReference w:type="default" r:id="rId10"/>
      <w:footerReference w:type="default" r:id="rId11"/>
      <w:pgSz w:w="12240" w:h="15840" w:code="1"/>
      <w:pgMar w:top="1440" w:right="117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72B8" w14:textId="77777777" w:rsidR="00FE1438" w:rsidRDefault="00FE1438">
      <w:r>
        <w:separator/>
      </w:r>
    </w:p>
  </w:endnote>
  <w:endnote w:type="continuationSeparator" w:id="0">
    <w:p w14:paraId="23A034E8" w14:textId="77777777" w:rsidR="00FE1438" w:rsidRDefault="00FE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6A34" w14:textId="1581A48B" w:rsidR="00C21651" w:rsidRDefault="00BF7624" w:rsidP="00604920">
    <w:pPr>
      <w:pStyle w:val="Footer"/>
      <w:tabs>
        <w:tab w:val="clear" w:pos="4320"/>
        <w:tab w:val="clear" w:pos="8640"/>
        <w:tab w:val="right" w:pos="9360"/>
      </w:tabs>
      <w:rPr>
        <w:rFonts w:ascii="Arial" w:hAnsi="Arial"/>
        <w:sz w:val="18"/>
      </w:rPr>
    </w:pPr>
    <w:r>
      <w:rPr>
        <w:rFonts w:ascii="Arial" w:hAnsi="Arial"/>
        <w:sz w:val="18"/>
      </w:rPr>
      <w:t>134</w:t>
    </w:r>
    <w:r w:rsidR="00E03A03">
      <w:rPr>
        <w:rFonts w:ascii="Arial" w:hAnsi="Arial"/>
        <w:sz w:val="18"/>
      </w:rPr>
      <w:t>PGRR</w:t>
    </w:r>
    <w:r>
      <w:rPr>
        <w:rFonts w:ascii="Arial" w:hAnsi="Arial"/>
        <w:sz w:val="18"/>
      </w:rPr>
      <w:t>-18</w:t>
    </w:r>
    <w:r w:rsidR="00C21651">
      <w:rPr>
        <w:rFonts w:ascii="Arial" w:hAnsi="Arial"/>
        <w:sz w:val="18"/>
      </w:rPr>
      <w:t xml:space="preserve"> </w:t>
    </w:r>
    <w:r w:rsidR="00065490">
      <w:rPr>
        <w:rFonts w:ascii="Arial" w:hAnsi="Arial"/>
        <w:sz w:val="18"/>
      </w:rPr>
      <w:t xml:space="preserve">Request for </w:t>
    </w:r>
    <w:r w:rsidR="00C21651">
      <w:rPr>
        <w:rFonts w:ascii="Arial" w:hAnsi="Arial"/>
        <w:sz w:val="18"/>
      </w:rPr>
      <w:t xml:space="preserve">Withdrawal </w:t>
    </w:r>
    <w:r>
      <w:rPr>
        <w:rFonts w:ascii="Arial" w:hAnsi="Arial"/>
        <w:sz w:val="18"/>
      </w:rPr>
      <w:t>052726</w:t>
    </w:r>
    <w:r w:rsidR="00C21651">
      <w:rPr>
        <w:rFonts w:ascii="Arial" w:hAnsi="Arial"/>
        <w:sz w:val="18"/>
      </w:rPr>
      <w:tab/>
      <w:t xml:space="preserve">Page </w:t>
    </w:r>
    <w:r w:rsidR="00C21651">
      <w:rPr>
        <w:rFonts w:ascii="Arial" w:hAnsi="Arial"/>
        <w:sz w:val="18"/>
      </w:rPr>
      <w:fldChar w:fldCharType="begin"/>
    </w:r>
    <w:r w:rsidR="00C21651">
      <w:rPr>
        <w:rFonts w:ascii="Arial" w:hAnsi="Arial"/>
        <w:sz w:val="18"/>
      </w:rPr>
      <w:instrText xml:space="preserve"> PAGE </w:instrText>
    </w:r>
    <w:r w:rsidR="00C21651">
      <w:rPr>
        <w:rFonts w:ascii="Arial" w:hAnsi="Arial"/>
        <w:sz w:val="18"/>
      </w:rPr>
      <w:fldChar w:fldCharType="separate"/>
    </w:r>
    <w:r w:rsidR="00B11046">
      <w:rPr>
        <w:rFonts w:ascii="Arial" w:hAnsi="Arial"/>
        <w:noProof/>
        <w:sz w:val="18"/>
      </w:rPr>
      <w:t>1</w:t>
    </w:r>
    <w:r w:rsidR="00C21651">
      <w:rPr>
        <w:rFonts w:ascii="Arial" w:hAnsi="Arial"/>
        <w:sz w:val="18"/>
      </w:rPr>
      <w:fldChar w:fldCharType="end"/>
    </w:r>
    <w:r w:rsidR="00C21651">
      <w:rPr>
        <w:rFonts w:ascii="Arial" w:hAnsi="Arial"/>
        <w:sz w:val="18"/>
      </w:rPr>
      <w:t xml:space="preserve"> of </w:t>
    </w:r>
    <w:r w:rsidR="00C21651">
      <w:rPr>
        <w:rFonts w:ascii="Arial" w:hAnsi="Arial"/>
        <w:sz w:val="18"/>
      </w:rPr>
      <w:fldChar w:fldCharType="begin"/>
    </w:r>
    <w:r w:rsidR="00C21651">
      <w:rPr>
        <w:rFonts w:ascii="Arial" w:hAnsi="Arial"/>
        <w:sz w:val="18"/>
      </w:rPr>
      <w:instrText xml:space="preserve"> NUMPAGES </w:instrText>
    </w:r>
    <w:r w:rsidR="00C21651">
      <w:rPr>
        <w:rFonts w:ascii="Arial" w:hAnsi="Arial"/>
        <w:sz w:val="18"/>
      </w:rPr>
      <w:fldChar w:fldCharType="separate"/>
    </w:r>
    <w:r w:rsidR="00B11046">
      <w:rPr>
        <w:rFonts w:ascii="Arial" w:hAnsi="Arial"/>
        <w:noProof/>
        <w:sz w:val="18"/>
      </w:rPr>
      <w:t>1</w:t>
    </w:r>
    <w:r w:rsidR="00C21651">
      <w:rPr>
        <w:rFonts w:ascii="Arial" w:hAnsi="Arial"/>
        <w:sz w:val="18"/>
      </w:rPr>
      <w:fldChar w:fldCharType="end"/>
    </w:r>
  </w:p>
  <w:p w14:paraId="0F753053" w14:textId="77777777" w:rsidR="00C21651" w:rsidRDefault="00C21651" w:rsidP="00417D10">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E287" w14:textId="77777777" w:rsidR="00FE1438" w:rsidRDefault="00FE1438">
      <w:r>
        <w:separator/>
      </w:r>
    </w:p>
  </w:footnote>
  <w:footnote w:type="continuationSeparator" w:id="0">
    <w:p w14:paraId="152B267F" w14:textId="77777777" w:rsidR="00FE1438" w:rsidRDefault="00FE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7BAE" w14:textId="77777777" w:rsidR="00C21651" w:rsidRDefault="00C21651">
    <w:pPr>
      <w:pStyle w:val="Header"/>
      <w:jc w:val="center"/>
      <w:rPr>
        <w:sz w:val="32"/>
      </w:rPr>
    </w:pPr>
    <w:r>
      <w:rPr>
        <w:sz w:val="32"/>
      </w:rPr>
      <w:t>Request for Withdrawal</w:t>
    </w:r>
  </w:p>
  <w:p w14:paraId="25FC9BD4" w14:textId="77777777" w:rsidR="00C21651" w:rsidRDefault="00C21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99972249">
    <w:abstractNumId w:val="0"/>
  </w:num>
  <w:num w:numId="2" w16cid:durableId="169280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65490"/>
    <w:rsid w:val="000676E8"/>
    <w:rsid w:val="00152993"/>
    <w:rsid w:val="001A227D"/>
    <w:rsid w:val="001A274F"/>
    <w:rsid w:val="001C6CCE"/>
    <w:rsid w:val="001D7132"/>
    <w:rsid w:val="001F69CB"/>
    <w:rsid w:val="00207895"/>
    <w:rsid w:val="00225D17"/>
    <w:rsid w:val="00291264"/>
    <w:rsid w:val="003010C0"/>
    <w:rsid w:val="003154AC"/>
    <w:rsid w:val="003457F1"/>
    <w:rsid w:val="003518DA"/>
    <w:rsid w:val="003B6D10"/>
    <w:rsid w:val="003C270C"/>
    <w:rsid w:val="003E0B65"/>
    <w:rsid w:val="00417D10"/>
    <w:rsid w:val="004417B4"/>
    <w:rsid w:val="00456EFE"/>
    <w:rsid w:val="004B7B90"/>
    <w:rsid w:val="004C0BAA"/>
    <w:rsid w:val="00507B52"/>
    <w:rsid w:val="00567709"/>
    <w:rsid w:val="005B57C7"/>
    <w:rsid w:val="005D284C"/>
    <w:rsid w:val="005E5736"/>
    <w:rsid w:val="005E71D6"/>
    <w:rsid w:val="00604920"/>
    <w:rsid w:val="00624F52"/>
    <w:rsid w:val="00633E23"/>
    <w:rsid w:val="00662326"/>
    <w:rsid w:val="00673B94"/>
    <w:rsid w:val="00680AC6"/>
    <w:rsid w:val="006F3064"/>
    <w:rsid w:val="006F4AC0"/>
    <w:rsid w:val="00704E54"/>
    <w:rsid w:val="00735584"/>
    <w:rsid w:val="007F7161"/>
    <w:rsid w:val="008736FD"/>
    <w:rsid w:val="008A64A7"/>
    <w:rsid w:val="008C693F"/>
    <w:rsid w:val="008E559E"/>
    <w:rsid w:val="00921A68"/>
    <w:rsid w:val="00923C4A"/>
    <w:rsid w:val="00932B6C"/>
    <w:rsid w:val="009447E7"/>
    <w:rsid w:val="00955685"/>
    <w:rsid w:val="00A52E24"/>
    <w:rsid w:val="00A806F6"/>
    <w:rsid w:val="00A835F7"/>
    <w:rsid w:val="00A84A5C"/>
    <w:rsid w:val="00AE5FD4"/>
    <w:rsid w:val="00AE7448"/>
    <w:rsid w:val="00B06D4F"/>
    <w:rsid w:val="00B11046"/>
    <w:rsid w:val="00B16FDD"/>
    <w:rsid w:val="00BF7624"/>
    <w:rsid w:val="00C0598D"/>
    <w:rsid w:val="00C21651"/>
    <w:rsid w:val="00C922CE"/>
    <w:rsid w:val="00CC1499"/>
    <w:rsid w:val="00CF13D5"/>
    <w:rsid w:val="00D1578C"/>
    <w:rsid w:val="00D4046E"/>
    <w:rsid w:val="00DF5F07"/>
    <w:rsid w:val="00E03A03"/>
    <w:rsid w:val="00E11F78"/>
    <w:rsid w:val="00E47A5D"/>
    <w:rsid w:val="00E621E1"/>
    <w:rsid w:val="00EC55B3"/>
    <w:rsid w:val="00FB51D8"/>
    <w:rsid w:val="00FE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331E4F8"/>
  <w15:chartTrackingRefBased/>
  <w15:docId w15:val="{247D240A-3F0A-498B-85A7-0DD524A2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A52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rialChar">
    <w:name w:val="Normal+Arial Char"/>
    <w:link w:val="NormalArial"/>
    <w:rsid w:val="00923C4A"/>
    <w:rPr>
      <w:rFonts w:ascii="Arial" w:hAnsi="Arial"/>
      <w:sz w:val="24"/>
      <w:szCs w:val="24"/>
      <w:lang w:val="en-US" w:eastAsia="en-US" w:bidi="ar-SA"/>
    </w:rPr>
  </w:style>
  <w:style w:type="paragraph" w:customStyle="1" w:styleId="Char3">
    <w:name w:val="Char3"/>
    <w:basedOn w:val="Normal"/>
    <w:rsid w:val="005E71D6"/>
    <w:pPr>
      <w:spacing w:after="160" w:line="240" w:lineRule="exact"/>
    </w:pPr>
    <w:rPr>
      <w:rFonts w:ascii="Verdana" w:hAnsi="Verdana"/>
      <w:sz w:val="16"/>
      <w:szCs w:val="20"/>
    </w:rPr>
  </w:style>
  <w:style w:type="character" w:styleId="CommentReference">
    <w:name w:val="annotation reference"/>
    <w:semiHidden/>
    <w:rsid w:val="005E71D6"/>
    <w:rPr>
      <w:sz w:val="16"/>
      <w:szCs w:val="16"/>
    </w:rPr>
  </w:style>
  <w:style w:type="paragraph" w:styleId="CommentText">
    <w:name w:val="annotation text"/>
    <w:basedOn w:val="Normal"/>
    <w:semiHidden/>
    <w:rsid w:val="005E71D6"/>
    <w:rPr>
      <w:sz w:val="20"/>
      <w:szCs w:val="20"/>
    </w:rPr>
  </w:style>
  <w:style w:type="paragraph" w:styleId="CommentSubject">
    <w:name w:val="annotation subject"/>
    <w:basedOn w:val="CommentText"/>
    <w:next w:val="CommentText"/>
    <w:semiHidden/>
    <w:rsid w:val="005E71D6"/>
    <w:rPr>
      <w:b/>
      <w:bCs/>
    </w:rPr>
  </w:style>
  <w:style w:type="character" w:styleId="UnresolvedMention">
    <w:name w:val="Unresolved Mention"/>
    <w:uiPriority w:val="99"/>
    <w:semiHidden/>
    <w:unhideWhenUsed/>
    <w:rsid w:val="001A274F"/>
    <w:rPr>
      <w:color w:val="605E5C"/>
      <w:shd w:val="clear" w:color="auto" w:fill="E1DFDD"/>
    </w:rPr>
  </w:style>
  <w:style w:type="paragraph" w:styleId="NormalWeb">
    <w:name w:val="Normal (Web)"/>
    <w:basedOn w:val="Normal"/>
    <w:rsid w:val="00E4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act@luminarystrategiesllc.onmicrosof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rcot.com/files/docs/2025/09/19/PGRR-Explanatory-Comments_LLWG-Meeting_Sept.-19-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487</Words>
  <Characters>2830</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3288</CharactersWithSpaces>
  <SharedDoc>false</SharedDoc>
  <HLinks>
    <vt:vector size="12" baseType="variant">
      <vt:variant>
        <vt:i4>6553725</vt:i4>
      </vt:variant>
      <vt:variant>
        <vt:i4>3</vt:i4>
      </vt:variant>
      <vt:variant>
        <vt:i4>0</vt:i4>
      </vt:variant>
      <vt:variant>
        <vt:i4>5</vt:i4>
      </vt:variant>
      <vt:variant>
        <vt:lpwstr>https://www.ercot.com/files/docs/2025/09/19/PGRR-Explanatory-Comments_LLWG-Meeting_Sept.-19-2025.docx</vt:lpwstr>
      </vt:variant>
      <vt:variant>
        <vt:lpwstr/>
      </vt:variant>
      <vt:variant>
        <vt:i4>262271</vt:i4>
      </vt:variant>
      <vt:variant>
        <vt:i4>0</vt:i4>
      </vt:variant>
      <vt:variant>
        <vt:i4>0</vt:i4>
      </vt:variant>
      <vt:variant>
        <vt:i4>5</vt:i4>
      </vt:variant>
      <vt:variant>
        <vt:lpwstr>mailto:contact@luminarystrategiesllc.onmicrosoft.com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05XX26</cp:lastModifiedBy>
  <cp:revision>3</cp:revision>
  <cp:lastPrinted>2001-06-20T16:28:00Z</cp:lastPrinted>
  <dcterms:created xsi:type="dcterms:W3CDTF">2026-05-28T02:14:00Z</dcterms:created>
  <dcterms:modified xsi:type="dcterms:W3CDTF">2026-05-28T02:18:00Z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2026-05-28T02:18:44Z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8cf90916-a7cf-455c-aeaa-bcb77491d17e</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