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90DF14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5845A7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74EAEA" w14:textId="1E94F971" w:rsidR="00152993" w:rsidRDefault="00874F87">
            <w:pPr>
              <w:pStyle w:val="Header"/>
            </w:pPr>
            <w:hyperlink r:id="rId8" w:history="1">
              <w:r w:rsidR="007018D4" w:rsidRPr="00874F87">
                <w:rPr>
                  <w:rStyle w:val="Hyperlink"/>
                </w:rPr>
                <w:t>12</w:t>
              </w:r>
              <w:r w:rsidR="001C24B4" w:rsidRPr="00874F87">
                <w:rPr>
                  <w:rStyle w:val="Hyperlink"/>
                </w:rPr>
                <w:t>96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64E54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9BCBF91" w14:textId="140FC5D5" w:rsidR="00152993" w:rsidRDefault="00DA789F">
            <w:pPr>
              <w:pStyle w:val="Header"/>
            </w:pPr>
            <w:r w:rsidRPr="00DA789F">
              <w:t>Residential Demand Response Program</w:t>
            </w:r>
          </w:p>
        </w:tc>
      </w:tr>
      <w:tr w:rsidR="00152993" w14:paraId="4CE03059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EBF5C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00298" w14:textId="77777777" w:rsidR="00152993" w:rsidRDefault="00152993">
            <w:pPr>
              <w:pStyle w:val="NormalArial"/>
            </w:pPr>
          </w:p>
        </w:tc>
      </w:tr>
      <w:tr w:rsidR="00152993" w14:paraId="094D0E7D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9D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75D" w14:textId="50FA9207" w:rsidR="00152993" w:rsidRDefault="00874F87">
            <w:pPr>
              <w:pStyle w:val="NormalArial"/>
            </w:pPr>
            <w:r>
              <w:t xml:space="preserve">May 27, </w:t>
            </w:r>
            <w:r w:rsidR="004E65BA">
              <w:t>202</w:t>
            </w:r>
            <w:r w:rsidR="00A916A9">
              <w:t>6</w:t>
            </w:r>
          </w:p>
        </w:tc>
      </w:tr>
      <w:tr w:rsidR="00152993" w14:paraId="26F0CB85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1919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7427" w14:textId="77777777" w:rsidR="00152993" w:rsidRDefault="00152993">
            <w:pPr>
              <w:pStyle w:val="NormalArial"/>
            </w:pPr>
          </w:p>
        </w:tc>
      </w:tr>
      <w:tr w:rsidR="00152993" w14:paraId="1DE825C1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BC6E80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15315FD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DFD1D53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225AEC8B" w14:textId="60684E7F" w:rsidR="00152993" w:rsidRDefault="004E65BA">
            <w:pPr>
              <w:pStyle w:val="NormalArial"/>
            </w:pPr>
            <w:r>
              <w:t>Bill Barnes</w:t>
            </w:r>
          </w:p>
        </w:tc>
      </w:tr>
      <w:tr w:rsidR="00152993" w14:paraId="3A5DA2E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36C906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CA9FB5" w14:textId="3F7C9A37" w:rsidR="00152993" w:rsidRDefault="00A1689E">
            <w:pPr>
              <w:pStyle w:val="NormalArial"/>
            </w:pPr>
            <w:hyperlink r:id="rId9" w:history="1">
              <w:r w:rsidRPr="00B76605">
                <w:rPr>
                  <w:rStyle w:val="Hyperlink"/>
                </w:rPr>
                <w:t>bill.barnes@nrg.com</w:t>
              </w:r>
            </w:hyperlink>
          </w:p>
        </w:tc>
      </w:tr>
      <w:tr w:rsidR="00152993" w14:paraId="5B61350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53EF140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4AB9F7B8" w14:textId="6DDE8FA6" w:rsidR="00152993" w:rsidRDefault="004E65BA">
            <w:pPr>
              <w:pStyle w:val="NormalArial"/>
            </w:pPr>
            <w:r>
              <w:t>Reliant Energy Retail Services LLC</w:t>
            </w:r>
            <w:r w:rsidR="007A60D6">
              <w:t xml:space="preserve"> (Reliant)</w:t>
            </w:r>
          </w:p>
        </w:tc>
      </w:tr>
      <w:tr w:rsidR="00152993" w14:paraId="3A607E1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3BDF3A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2EF88D1" w14:textId="77777777" w:rsidR="00152993" w:rsidRDefault="004E65BA">
            <w:pPr>
              <w:pStyle w:val="NormalArial"/>
            </w:pPr>
            <w:r>
              <w:t>512-691-6137</w:t>
            </w:r>
          </w:p>
        </w:tc>
      </w:tr>
      <w:tr w:rsidR="00152993" w14:paraId="32592C2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D2DD41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0E7ED25E" w14:textId="75C1BC68" w:rsidR="00152993" w:rsidRDefault="004E65BA">
            <w:pPr>
              <w:pStyle w:val="NormalArial"/>
            </w:pPr>
            <w:r>
              <w:t>315-885-5925</w:t>
            </w:r>
          </w:p>
        </w:tc>
      </w:tr>
      <w:tr w:rsidR="00075A94" w14:paraId="4C9A100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EA882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19357BF" w14:textId="102AA7B1" w:rsidR="00075A94" w:rsidRDefault="004E65BA">
            <w:pPr>
              <w:pStyle w:val="NormalArial"/>
            </w:pPr>
            <w:r>
              <w:t>I</w:t>
            </w:r>
            <w:r w:rsidR="00DA789F">
              <w:t>ndependent Retail Electric Provider (IREP)</w:t>
            </w:r>
          </w:p>
        </w:tc>
      </w:tr>
    </w:tbl>
    <w:p w14:paraId="559C1689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74F87" w14:paraId="71EAC635" w14:textId="77777777" w:rsidTr="0086184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F48DA" w14:textId="77777777" w:rsidR="00874F87" w:rsidRDefault="00874F87" w:rsidP="00861847">
            <w:pPr>
              <w:pStyle w:val="Header"/>
              <w:jc w:val="center"/>
            </w:pPr>
            <w:r>
              <w:t>Comments</w:t>
            </w:r>
          </w:p>
        </w:tc>
      </w:tr>
    </w:tbl>
    <w:p w14:paraId="11E8A3F1" w14:textId="77777777" w:rsidR="00152993" w:rsidRDefault="00152993">
      <w:pPr>
        <w:pStyle w:val="NormalArial"/>
      </w:pPr>
    </w:p>
    <w:p w14:paraId="2C1AC8B8" w14:textId="3C364552" w:rsidR="00DB23E2" w:rsidRDefault="00B56E99" w:rsidP="004721CB">
      <w:pPr>
        <w:pStyle w:val="NormalArial"/>
      </w:pPr>
      <w:r>
        <w:t xml:space="preserve">Reliant appreciates the continued discussion and consideration of </w:t>
      </w:r>
      <w:r w:rsidR="001355A7">
        <w:t xml:space="preserve">Nodal Protocol Revision </w:t>
      </w:r>
      <w:r w:rsidR="007A60D6">
        <w:t>Request</w:t>
      </w:r>
      <w:r w:rsidR="001355A7">
        <w:t xml:space="preserve"> (NPRR) 1296 and the </w:t>
      </w:r>
      <w:r w:rsidR="00102508">
        <w:t xml:space="preserve">support for </w:t>
      </w:r>
      <w:r w:rsidR="001355A7">
        <w:t>implementation of a</w:t>
      </w:r>
      <w:r w:rsidR="007A60D6">
        <w:t xml:space="preserve"> residential demand response program.</w:t>
      </w:r>
      <w:r w:rsidR="00913994">
        <w:t xml:space="preserve"> </w:t>
      </w:r>
      <w:r w:rsidR="00D12D4F">
        <w:t xml:space="preserve">Reliant files these comments to further </w:t>
      </w:r>
      <w:r w:rsidR="001E363D">
        <w:t xml:space="preserve">contribute to </w:t>
      </w:r>
      <w:r w:rsidR="00D12D4F">
        <w:t>the debate</w:t>
      </w:r>
      <w:r w:rsidR="001E363D">
        <w:t xml:space="preserve"> on this program and other similar market design initiatives. </w:t>
      </w:r>
      <w:r w:rsidR="00913994">
        <w:t xml:space="preserve">The need for such a program has </w:t>
      </w:r>
      <w:r w:rsidR="003B59F7">
        <w:t>been re-iterated in prior Reliant comments and through two different studies</w:t>
      </w:r>
      <w:r w:rsidR="00461856">
        <w:t>,</w:t>
      </w:r>
      <w:r w:rsidR="001D3221">
        <w:t xml:space="preserve"> one</w:t>
      </w:r>
      <w:r w:rsidR="003B59F7">
        <w:t xml:space="preserve"> conducted by the Brattle Group and </w:t>
      </w:r>
      <w:r w:rsidR="001D3221">
        <w:t xml:space="preserve">the other by </w:t>
      </w:r>
      <w:r w:rsidR="003B59F7">
        <w:t>Charles River Associates.</w:t>
      </w:r>
      <w:r w:rsidR="0014055B">
        <w:rPr>
          <w:rStyle w:val="FootnoteReference"/>
        </w:rPr>
        <w:footnoteReference w:id="1"/>
      </w:r>
      <w:r w:rsidR="00F85464">
        <w:t xml:space="preserve"> </w:t>
      </w:r>
      <w:r w:rsidR="00024777">
        <w:t>Reliant supports NPRR1296</w:t>
      </w:r>
      <w:r w:rsidR="00954F18">
        <w:t xml:space="preserve"> </w:t>
      </w:r>
      <w:r w:rsidR="000F0F74">
        <w:t>as a permanent program or as a temporary program</w:t>
      </w:r>
      <w:r w:rsidR="0031254E">
        <w:t xml:space="preserve"> that could evolve into </w:t>
      </w:r>
      <w:r w:rsidR="00E82BBC">
        <w:t xml:space="preserve">a </w:t>
      </w:r>
      <w:r w:rsidR="00EC75BA">
        <w:t>different design for a long-term pr</w:t>
      </w:r>
      <w:r w:rsidR="00455AEB">
        <w:t xml:space="preserve">oduct. Any alternative </w:t>
      </w:r>
      <w:r w:rsidR="00492CA3">
        <w:t>structures</w:t>
      </w:r>
      <w:r w:rsidR="00455AEB">
        <w:t xml:space="preserve"> </w:t>
      </w:r>
      <w:r w:rsidR="00BD2272">
        <w:t xml:space="preserve">proposed </w:t>
      </w:r>
      <w:r w:rsidR="00455AEB">
        <w:t>for a re</w:t>
      </w:r>
      <w:r w:rsidR="00256EC5">
        <w:t xml:space="preserve">sidential demand response program should </w:t>
      </w:r>
      <w:r w:rsidR="0021029F">
        <w:t xml:space="preserve">retain the key </w:t>
      </w:r>
      <w:r w:rsidR="00492CA3">
        <w:t xml:space="preserve">design </w:t>
      </w:r>
      <w:r w:rsidR="0021029F">
        <w:t>principles</w:t>
      </w:r>
      <w:r w:rsidR="00492CA3">
        <w:t xml:space="preserve"> in NPRR1296: 1) </w:t>
      </w:r>
      <w:r w:rsidR="00BA5CB4">
        <w:t xml:space="preserve">The </w:t>
      </w:r>
      <w:r w:rsidR="00176A07">
        <w:t xml:space="preserve">program should be designed for </w:t>
      </w:r>
      <w:r w:rsidR="00BA5CB4">
        <w:t>Retail Electric Provider</w:t>
      </w:r>
      <w:r w:rsidR="00176A07">
        <w:t>s</w:t>
      </w:r>
      <w:r w:rsidR="00BA5CB4">
        <w:t xml:space="preserve"> (REP</w:t>
      </w:r>
      <w:r w:rsidR="00176A07">
        <w:t>s</w:t>
      </w:r>
      <w:r w:rsidR="00BA5CB4">
        <w:t>) or Load-Serving Entit</w:t>
      </w:r>
      <w:r w:rsidR="00176A07">
        <w:t>ies</w:t>
      </w:r>
      <w:r w:rsidR="00BA5CB4">
        <w:t xml:space="preserve"> (LSE</w:t>
      </w:r>
      <w:r w:rsidR="00176A07">
        <w:t>s</w:t>
      </w:r>
      <w:r w:rsidR="00BA5CB4">
        <w:t>)</w:t>
      </w:r>
      <w:r w:rsidR="00AB708D">
        <w:t xml:space="preserve"> </w:t>
      </w:r>
      <w:r w:rsidR="00BD2272">
        <w:t xml:space="preserve">in order </w:t>
      </w:r>
      <w:r w:rsidR="00AB708D">
        <w:t xml:space="preserve">to maintain customer protection </w:t>
      </w:r>
      <w:r w:rsidR="00890F9A">
        <w:t>requirements</w:t>
      </w:r>
      <w:r w:rsidR="00D94413">
        <w:t xml:space="preserve"> and </w:t>
      </w:r>
      <w:r w:rsidR="00540CDA">
        <w:t>align incentives</w:t>
      </w:r>
      <w:r w:rsidR="0049523D">
        <w:t xml:space="preserve"> properly</w:t>
      </w:r>
      <w:r w:rsidR="004217B7">
        <w:t xml:space="preserve">, 2) </w:t>
      </w:r>
      <w:r w:rsidR="00D271BE">
        <w:t>t</w:t>
      </w:r>
      <w:r w:rsidR="004217B7">
        <w:t>he program</w:t>
      </w:r>
      <w:r w:rsidR="00756CC9">
        <w:t xml:space="preserve"> should have strong “pay-for-performance” incentives, </w:t>
      </w:r>
      <w:r w:rsidR="00D271BE">
        <w:t xml:space="preserve">and </w:t>
      </w:r>
      <w:r w:rsidR="00756CC9">
        <w:t xml:space="preserve">3) </w:t>
      </w:r>
      <w:r w:rsidR="00D271BE">
        <w:t>t</w:t>
      </w:r>
      <w:r w:rsidR="009E1DA7">
        <w:t xml:space="preserve">he program should promote innovation in </w:t>
      </w:r>
      <w:r w:rsidR="0086035C">
        <w:t xml:space="preserve">retail </w:t>
      </w:r>
      <w:r w:rsidR="009E1DA7">
        <w:t>demand response product</w:t>
      </w:r>
      <w:r w:rsidR="00BA7379">
        <w:t xml:space="preserve"> design by REPs </w:t>
      </w:r>
      <w:r w:rsidR="00AD4D60">
        <w:t>(</w:t>
      </w:r>
      <w:r w:rsidR="00BA7379">
        <w:t>and LSEs</w:t>
      </w:r>
      <w:r w:rsidR="00AD4D60">
        <w:t>)</w:t>
      </w:r>
      <w:r w:rsidR="00BA7379">
        <w:t xml:space="preserve"> and not restrict</w:t>
      </w:r>
      <w:r w:rsidR="00AD7213">
        <w:t xml:space="preserve"> how competitive retail products are designed</w:t>
      </w:r>
      <w:r w:rsidR="00777041">
        <w:t xml:space="preserve"> or</w:t>
      </w:r>
      <w:r w:rsidR="00AD7213">
        <w:t xml:space="preserve"> </w:t>
      </w:r>
      <w:r w:rsidR="00405DA1">
        <w:t>used</w:t>
      </w:r>
      <w:r w:rsidR="004D0FEB">
        <w:t xml:space="preserve"> by those offering them</w:t>
      </w:r>
      <w:r w:rsidR="00777041">
        <w:t>.</w:t>
      </w:r>
    </w:p>
    <w:p w14:paraId="12BA23FD" w14:textId="77777777" w:rsidR="000F089B" w:rsidRDefault="000F089B" w:rsidP="004721CB">
      <w:pPr>
        <w:pStyle w:val="NormalArial"/>
      </w:pPr>
    </w:p>
    <w:p w14:paraId="53334886" w14:textId="54322144" w:rsidR="00177CDB" w:rsidRDefault="000F089B" w:rsidP="004721CB">
      <w:pPr>
        <w:pStyle w:val="NormalArial"/>
      </w:pPr>
      <w:r>
        <w:t>Reliant files these comments primarily to address the discussion at the ERCOT Board on April 20</w:t>
      </w:r>
      <w:r w:rsidR="006F040A">
        <w:t>-21</w:t>
      </w:r>
      <w:r>
        <w:t>, 2026</w:t>
      </w:r>
      <w:r w:rsidR="00604E7C">
        <w:t>,</w:t>
      </w:r>
      <w:r w:rsidR="00AA505D">
        <w:t xml:space="preserve"> and the Technical Advisory Committee (TAC) on </w:t>
      </w:r>
      <w:r w:rsidR="006E6699">
        <w:t xml:space="preserve">April 29, 2026. </w:t>
      </w:r>
      <w:r w:rsidR="00784550">
        <w:t xml:space="preserve">Those discussions involved concerns from stakeholders </w:t>
      </w:r>
      <w:r w:rsidR="00604E7C">
        <w:t xml:space="preserve">about market principles and consistency with the current ERCOT market design. </w:t>
      </w:r>
      <w:r w:rsidR="008506E7">
        <w:t xml:space="preserve">It is important to evaluate the </w:t>
      </w:r>
      <w:r w:rsidR="00895827">
        <w:t>design o</w:t>
      </w:r>
      <w:r w:rsidR="00F65379">
        <w:t>f</w:t>
      </w:r>
      <w:r w:rsidR="00895827">
        <w:t xml:space="preserve"> this program</w:t>
      </w:r>
      <w:r w:rsidR="00841E0D">
        <w:t>,</w:t>
      </w:r>
      <w:r w:rsidR="00F65379">
        <w:t xml:space="preserve"> and any future </w:t>
      </w:r>
      <w:r w:rsidR="006F0774">
        <w:t>ERCOT</w:t>
      </w:r>
      <w:r w:rsidR="00FE1F6C">
        <w:t xml:space="preserve"> </w:t>
      </w:r>
      <w:r w:rsidR="006F0774">
        <w:t xml:space="preserve">market </w:t>
      </w:r>
      <w:r w:rsidR="00FE1F6C">
        <w:t xml:space="preserve">structure </w:t>
      </w:r>
      <w:r w:rsidR="00860590">
        <w:t>change</w:t>
      </w:r>
      <w:r w:rsidR="00841E0D">
        <w:t>,</w:t>
      </w:r>
      <w:r w:rsidR="00860590">
        <w:t xml:space="preserve"> </w:t>
      </w:r>
      <w:r w:rsidR="00FE1F6C">
        <w:t xml:space="preserve">based on a realistic assessment of the reliability needs of </w:t>
      </w:r>
      <w:r w:rsidR="0033089B" w:rsidRPr="00673255">
        <w:rPr>
          <w:i/>
          <w:iCs/>
          <w:u w:val="single"/>
        </w:rPr>
        <w:t>all</w:t>
      </w:r>
      <w:r w:rsidR="0033089B">
        <w:t xml:space="preserve"> consumers</w:t>
      </w:r>
      <w:r w:rsidR="00E2361D">
        <w:t xml:space="preserve"> (</w:t>
      </w:r>
      <w:r w:rsidR="00A33537">
        <w:t>especially</w:t>
      </w:r>
      <w:r w:rsidR="00D66848">
        <w:t xml:space="preserve"> the public)</w:t>
      </w:r>
      <w:r w:rsidR="00FE1F6C">
        <w:t xml:space="preserve"> and</w:t>
      </w:r>
      <w:r w:rsidR="00902D41">
        <w:t xml:space="preserve"> </w:t>
      </w:r>
      <w:r w:rsidR="00902D41">
        <w:lastRenderedPageBreak/>
        <w:t>an honest assessment of the market</w:t>
      </w:r>
      <w:r w:rsidR="00F57BAA">
        <w:t xml:space="preserve"> design that </w:t>
      </w:r>
      <w:r w:rsidR="00F57BAA" w:rsidRPr="00841E0D">
        <w:rPr>
          <w:i/>
          <w:iCs/>
          <w:u w:val="single"/>
        </w:rPr>
        <w:t>actually</w:t>
      </w:r>
      <w:r w:rsidR="00F57BAA">
        <w:t xml:space="preserve"> exists in ERCOT, not one based</w:t>
      </w:r>
      <w:r w:rsidR="009F1C52">
        <w:t xml:space="preserve"> on a </w:t>
      </w:r>
      <w:r w:rsidR="008E1336">
        <w:t xml:space="preserve">selective or </w:t>
      </w:r>
      <w:r w:rsidR="009F1C52">
        <w:t xml:space="preserve">theoretical view that </w:t>
      </w:r>
      <w:r w:rsidR="008F0E63">
        <w:t xml:space="preserve">has </w:t>
      </w:r>
      <w:r w:rsidR="009F1C52">
        <w:t>never existed</w:t>
      </w:r>
      <w:r w:rsidR="008F0E63">
        <w:t xml:space="preserve"> in practice</w:t>
      </w:r>
      <w:r w:rsidR="009F1C52">
        <w:t xml:space="preserve">. </w:t>
      </w:r>
      <w:r w:rsidR="003C18FF">
        <w:t xml:space="preserve">Consequently, objections to NPRR1296 </w:t>
      </w:r>
      <w:r w:rsidR="003C18FF" w:rsidRPr="003C18FF">
        <w:t xml:space="preserve">based on a theoretical market construct risks constraining effective solutions. Accordingly, the appropriate objective </w:t>
      </w:r>
      <w:r w:rsidR="00242C2A">
        <w:t>should be</w:t>
      </w:r>
      <w:r w:rsidR="003C18FF" w:rsidRPr="003C18FF">
        <w:t xml:space="preserve"> to encourage broader deployment of residential demand response as an ongoing reliability tool</w:t>
      </w:r>
      <w:r w:rsidR="008322B3">
        <w:t xml:space="preserve">, </w:t>
      </w:r>
      <w:r w:rsidR="000C738A">
        <w:t xml:space="preserve">while incorporating reasonable safeguards to </w:t>
      </w:r>
      <w:r w:rsidR="00FE44D7">
        <w:t xml:space="preserve">maintain efficient </w:t>
      </w:r>
      <w:r w:rsidR="008322B3">
        <w:t xml:space="preserve">wholesale price formation </w:t>
      </w:r>
      <w:r w:rsidR="00926DF2">
        <w:t xml:space="preserve">to address </w:t>
      </w:r>
      <w:r w:rsidR="008322B3">
        <w:t>stakeholde</w:t>
      </w:r>
      <w:r w:rsidR="006C3268">
        <w:t>r concerns</w:t>
      </w:r>
      <w:r w:rsidR="007A0F3D">
        <w:t>.</w:t>
      </w:r>
    </w:p>
    <w:p w14:paraId="60737C67" w14:textId="77777777" w:rsidR="00177CDB" w:rsidRDefault="00177CDB" w:rsidP="004721CB">
      <w:pPr>
        <w:pStyle w:val="NormalArial"/>
      </w:pPr>
    </w:p>
    <w:p w14:paraId="3DEE5E72" w14:textId="0849992D" w:rsidR="000F089B" w:rsidRDefault="008F596D" w:rsidP="004721CB">
      <w:pPr>
        <w:pStyle w:val="NormalArial"/>
      </w:pPr>
      <w:r>
        <w:t xml:space="preserve">The wholesale market design in ERCOT is one that </w:t>
      </w:r>
      <w:r w:rsidRPr="00F146D3">
        <w:rPr>
          <w:i/>
          <w:iCs/>
          <w:u w:val="single"/>
        </w:rPr>
        <w:t>emphasizes</w:t>
      </w:r>
      <w:r>
        <w:t xml:space="preserve"> the efficiency of the </w:t>
      </w:r>
      <w:r w:rsidR="00874F87">
        <w:t>R</w:t>
      </w:r>
      <w:r>
        <w:t>eal-</w:t>
      </w:r>
      <w:r w:rsidR="00874F87">
        <w:t>T</w:t>
      </w:r>
      <w:r>
        <w:t xml:space="preserve">ime energy and </w:t>
      </w:r>
      <w:r w:rsidR="00874F87">
        <w:t>A</w:t>
      </w:r>
      <w:r>
        <w:t xml:space="preserve">ncillary </w:t>
      </w:r>
      <w:r w:rsidR="00874F87">
        <w:t>S</w:t>
      </w:r>
      <w:r>
        <w:t>ervice markets, but</w:t>
      </w:r>
      <w:r w:rsidR="00CC0F8E">
        <w:t xml:space="preserve"> it does </w:t>
      </w:r>
      <w:r w:rsidR="00CC0F8E" w:rsidRPr="00987D2E">
        <w:rPr>
          <w:i/>
          <w:iCs/>
          <w:u w:val="single"/>
        </w:rPr>
        <w:t>not depend</w:t>
      </w:r>
      <w:r w:rsidR="00D91539" w:rsidRPr="00987D2E">
        <w:rPr>
          <w:i/>
          <w:iCs/>
          <w:u w:val="single"/>
        </w:rPr>
        <w:t xml:space="preserve"> entirely</w:t>
      </w:r>
      <w:r w:rsidR="00414F62">
        <w:t xml:space="preserve"> on the price signals from those markets for investment incentives in new </w:t>
      </w:r>
      <w:r w:rsidR="001B0561">
        <w:t xml:space="preserve">generation and </w:t>
      </w:r>
      <w:proofErr w:type="gramStart"/>
      <w:r w:rsidR="001B0561">
        <w:t>demand response</w:t>
      </w:r>
      <w:proofErr w:type="gramEnd"/>
      <w:r w:rsidR="001B0561">
        <w:t xml:space="preserve"> </w:t>
      </w:r>
      <w:r w:rsidR="00414F62">
        <w:t xml:space="preserve">capacity. </w:t>
      </w:r>
      <w:r w:rsidR="00E13D2F">
        <w:t xml:space="preserve">In fact, most </w:t>
      </w:r>
      <w:r w:rsidR="003500E7">
        <w:t xml:space="preserve">new </w:t>
      </w:r>
      <w:r w:rsidR="004748C5">
        <w:t xml:space="preserve">generation and </w:t>
      </w:r>
      <w:r w:rsidR="00534DB6">
        <w:t>demand response capacity developed in ERCOT</w:t>
      </w:r>
      <w:r w:rsidR="005E0A3C">
        <w:t xml:space="preserve"> in the past 20 years was</w:t>
      </w:r>
      <w:r w:rsidR="00534DB6">
        <w:t xml:space="preserve"> </w:t>
      </w:r>
      <w:r w:rsidR="008F7348">
        <w:t>with the support of</w:t>
      </w:r>
      <w:r w:rsidR="000E6C73">
        <w:t xml:space="preserve"> products</w:t>
      </w:r>
      <w:r w:rsidR="00DE7315">
        <w:t xml:space="preserve">, programs, and incentives outside of the energy and </w:t>
      </w:r>
      <w:r w:rsidR="005A5C37">
        <w:t>A</w:t>
      </w:r>
      <w:r w:rsidR="00DE7315">
        <w:t xml:space="preserve">ncillary </w:t>
      </w:r>
      <w:r w:rsidR="005A5C37">
        <w:t>S</w:t>
      </w:r>
      <w:r w:rsidR="00DE7315">
        <w:t>ervice markets</w:t>
      </w:r>
      <w:r w:rsidR="00C065B3">
        <w:t xml:space="preserve">, </w:t>
      </w:r>
      <w:r w:rsidR="0089158A">
        <w:t>a sampling of which is provided below</w:t>
      </w:r>
      <w:r w:rsidR="00DE7315">
        <w:t>.</w:t>
      </w:r>
      <w:r w:rsidR="008F7348">
        <w:t xml:space="preserve"> </w:t>
      </w:r>
      <w:r w:rsidR="00DD1059">
        <w:t xml:space="preserve">This is </w:t>
      </w:r>
      <w:r w:rsidR="001B0561">
        <w:t>due partly</w:t>
      </w:r>
      <w:r w:rsidR="00D61AB8">
        <w:t xml:space="preserve"> to the recognition that a pure “energy-only” market design</w:t>
      </w:r>
      <w:r w:rsidR="00E505E3">
        <w:t xml:space="preserve"> will not achieve sufficient reliability for the public (too much </w:t>
      </w:r>
      <w:r w:rsidR="005D46DA">
        <w:t xml:space="preserve">reliability </w:t>
      </w:r>
      <w:r w:rsidR="00E505E3">
        <w:t xml:space="preserve">risk </w:t>
      </w:r>
      <w:r w:rsidR="00B22DC7">
        <w:t xml:space="preserve">and </w:t>
      </w:r>
      <w:r w:rsidR="005D46DA">
        <w:t xml:space="preserve">occurrence of firm </w:t>
      </w:r>
      <w:r w:rsidR="00E505E3">
        <w:t xml:space="preserve">load shed) and </w:t>
      </w:r>
      <w:r w:rsidR="002B1971">
        <w:t xml:space="preserve">the impacts of </w:t>
      </w:r>
      <w:r w:rsidR="00090C5B">
        <w:t>policies intended to achieve other goals</w:t>
      </w:r>
      <w:r w:rsidR="008327EA">
        <w:t xml:space="preserve"> such as support for renewable </w:t>
      </w:r>
      <w:r w:rsidR="004B68FC">
        <w:t xml:space="preserve">or battery storage </w:t>
      </w:r>
      <w:r w:rsidR="008327EA">
        <w:t>resources</w:t>
      </w:r>
      <w:r w:rsidR="0039385A">
        <w:t xml:space="preserve"> and transmission cost allocation. </w:t>
      </w:r>
      <w:r w:rsidR="009F7BF2">
        <w:t>These</w:t>
      </w:r>
      <w:r w:rsidR="00792611">
        <w:t xml:space="preserve"> </w:t>
      </w:r>
      <w:r w:rsidR="007F7A9A">
        <w:t>market design features and pol</w:t>
      </w:r>
      <w:r w:rsidR="00AB3AA7">
        <w:t>icies</w:t>
      </w:r>
      <w:r w:rsidR="00792611">
        <w:t xml:space="preserve"> have been characterized as subsidies</w:t>
      </w:r>
      <w:r w:rsidR="0079766E">
        <w:t>,</w:t>
      </w:r>
      <w:r w:rsidR="00792611">
        <w:t xml:space="preserve"> </w:t>
      </w:r>
      <w:proofErr w:type="gramStart"/>
      <w:r w:rsidR="00792611">
        <w:t xml:space="preserve">but </w:t>
      </w:r>
      <w:r w:rsidR="00A8691F">
        <w:t>in reality,</w:t>
      </w:r>
      <w:proofErr w:type="gramEnd"/>
      <w:r w:rsidR="00A8691F">
        <w:t xml:space="preserve"> </w:t>
      </w:r>
      <w:r w:rsidR="00792611">
        <w:t>they</w:t>
      </w:r>
      <w:r w:rsidR="00E709A0">
        <w:t xml:space="preserve"> </w:t>
      </w:r>
      <w:r w:rsidR="00C9785C">
        <w:t>have served as</w:t>
      </w:r>
      <w:r w:rsidR="00E709A0">
        <w:t xml:space="preserve"> capacity incentives that have supplemented ERCOT’s energy</w:t>
      </w:r>
      <w:r w:rsidR="00BC0D9B">
        <w:t xml:space="preserve"> </w:t>
      </w:r>
      <w:r w:rsidR="0085133E">
        <w:t>and</w:t>
      </w:r>
      <w:r w:rsidR="00EA4B85">
        <w:t xml:space="preserve"> </w:t>
      </w:r>
      <w:r w:rsidR="005A5C37">
        <w:t>A</w:t>
      </w:r>
      <w:r w:rsidR="00EA4B85">
        <w:t xml:space="preserve">ncillary </w:t>
      </w:r>
      <w:r w:rsidR="005A5C37">
        <w:t>S</w:t>
      </w:r>
      <w:r w:rsidR="00EA4B85">
        <w:t xml:space="preserve">ervice </w:t>
      </w:r>
      <w:r w:rsidR="00BC0D9B">
        <w:t xml:space="preserve">market. </w:t>
      </w:r>
      <w:r w:rsidR="00E12A1E">
        <w:t>In other words,</w:t>
      </w:r>
      <w:r w:rsidR="00BC0D9B">
        <w:t xml:space="preserve"> the wholesale market design that </w:t>
      </w:r>
      <w:r w:rsidR="00BC0D9B" w:rsidRPr="00D12D4F">
        <w:t>exists</w:t>
      </w:r>
      <w:r w:rsidR="00BC0D9B">
        <w:t xml:space="preserve"> in ERCOT</w:t>
      </w:r>
      <w:r w:rsidR="00E12A1E">
        <w:t xml:space="preserve"> as a matter of fact (rather than theory) is</w:t>
      </w:r>
      <w:r w:rsidR="00BC0D9B">
        <w:t xml:space="preserve"> </w:t>
      </w:r>
      <w:r w:rsidR="0079766E" w:rsidRPr="00C44D58">
        <w:rPr>
          <w:i/>
          <w:iCs/>
          <w:u w:val="single"/>
        </w:rPr>
        <w:t xml:space="preserve">an energy and </w:t>
      </w:r>
      <w:r w:rsidR="005A5C37">
        <w:rPr>
          <w:i/>
          <w:iCs/>
          <w:u w:val="single"/>
        </w:rPr>
        <w:t>Ancillary Service</w:t>
      </w:r>
      <w:r w:rsidR="0079766E" w:rsidRPr="00C44D58">
        <w:rPr>
          <w:i/>
          <w:iCs/>
          <w:u w:val="single"/>
        </w:rPr>
        <w:t xml:space="preserve"> market that is supplemented by capacity incentives</w:t>
      </w:r>
      <w:r w:rsidR="0079766E">
        <w:t xml:space="preserve">. </w:t>
      </w:r>
      <w:r w:rsidR="0062030A">
        <w:t>Therefore, t</w:t>
      </w:r>
      <w:r w:rsidR="00770AB9">
        <w:t xml:space="preserve">he implementation of a residential demand response program such as NPRR1296 is completely consistent with </w:t>
      </w:r>
      <w:r w:rsidR="0062030A">
        <w:t xml:space="preserve">the </w:t>
      </w:r>
      <w:r w:rsidR="00D31F4F">
        <w:t xml:space="preserve">current </w:t>
      </w:r>
      <w:r w:rsidR="0062030A">
        <w:t xml:space="preserve">ERCOT market design. </w:t>
      </w:r>
      <w:r w:rsidR="00DF21EB">
        <w:t>Reliant lists</w:t>
      </w:r>
      <w:r w:rsidR="00090A61">
        <w:t xml:space="preserve"> some capacity incentives below as reference to inform</w:t>
      </w:r>
      <w:r w:rsidR="001931DC">
        <w:t xml:space="preserve"> the discussion</w:t>
      </w:r>
      <w:r w:rsidR="005803F0">
        <w:t xml:space="preserve"> about market principles</w:t>
      </w:r>
      <w:r w:rsidR="00CE42D7">
        <w:t xml:space="preserve"> and consistency with current market design</w:t>
      </w:r>
      <w:r w:rsidR="00090A61">
        <w:t>.</w:t>
      </w:r>
    </w:p>
    <w:p w14:paraId="2A47E3A1" w14:textId="77777777" w:rsidR="009F527A" w:rsidRDefault="009F527A" w:rsidP="004721CB">
      <w:pPr>
        <w:pStyle w:val="NormalArial"/>
      </w:pPr>
    </w:p>
    <w:p w14:paraId="0A2FD7CD" w14:textId="295B9C7A" w:rsidR="00000438" w:rsidRPr="00FB5CDE" w:rsidRDefault="00000438" w:rsidP="004721CB">
      <w:pPr>
        <w:pStyle w:val="NormalArial"/>
        <w:rPr>
          <w:b/>
          <w:bCs/>
          <w:u w:val="single"/>
        </w:rPr>
      </w:pPr>
      <w:r w:rsidRPr="00FB5CDE">
        <w:rPr>
          <w:b/>
          <w:bCs/>
          <w:u w:val="single"/>
        </w:rPr>
        <w:t>Capacity Incentives in the ERCOT Market</w:t>
      </w:r>
    </w:p>
    <w:p w14:paraId="1214FD41" w14:textId="33BBE31F" w:rsidR="00000438" w:rsidRDefault="00000438" w:rsidP="00873DD4">
      <w:pPr>
        <w:pStyle w:val="NormalArial"/>
        <w:numPr>
          <w:ilvl w:val="0"/>
          <w:numId w:val="4"/>
        </w:numPr>
      </w:pPr>
      <w:r>
        <w:t>Thermal Generation</w:t>
      </w:r>
    </w:p>
    <w:p w14:paraId="2718816D" w14:textId="08228828" w:rsidR="00153C45" w:rsidRDefault="00DE305E" w:rsidP="00873DD4">
      <w:pPr>
        <w:pStyle w:val="NormalArial"/>
        <w:numPr>
          <w:ilvl w:val="1"/>
          <w:numId w:val="4"/>
        </w:numPr>
      </w:pPr>
      <w:r>
        <w:t>Modification of the structure of the ASDCs</w:t>
      </w:r>
      <w:r w:rsidR="00873DD4">
        <w:t xml:space="preserve"> to send scarcity pricing signals </w:t>
      </w:r>
      <w:r w:rsidR="004E71C5">
        <w:t>prior to</w:t>
      </w:r>
      <w:r w:rsidR="00873DD4">
        <w:t xml:space="preserve"> firm </w:t>
      </w:r>
      <w:r w:rsidR="005A5C37">
        <w:t>L</w:t>
      </w:r>
      <w:r w:rsidR="00873DD4">
        <w:t>oad shed</w:t>
      </w:r>
    </w:p>
    <w:p w14:paraId="03D76741" w14:textId="47E694F0" w:rsidR="00873DD4" w:rsidRDefault="005E3A48" w:rsidP="00873DD4">
      <w:pPr>
        <w:pStyle w:val="NormalArial"/>
        <w:numPr>
          <w:ilvl w:val="1"/>
          <w:numId w:val="4"/>
        </w:numPr>
      </w:pPr>
      <w:r>
        <w:t xml:space="preserve">Procurement of </w:t>
      </w:r>
      <w:r w:rsidR="005A5C37">
        <w:t>A</w:t>
      </w:r>
      <w:r>
        <w:t xml:space="preserve">ncillary </w:t>
      </w:r>
      <w:r w:rsidR="005A5C37">
        <w:t>S</w:t>
      </w:r>
      <w:r>
        <w:t>ervice quantities</w:t>
      </w:r>
      <w:r w:rsidR="009967A9">
        <w:t xml:space="preserve"> to support operations beyond NERC standards</w:t>
      </w:r>
      <w:r w:rsidR="00925C85">
        <w:t xml:space="preserve"> and preventi</w:t>
      </w:r>
      <w:r w:rsidR="00E76757">
        <w:t>on of</w:t>
      </w:r>
      <w:r w:rsidR="00925C85">
        <w:t xml:space="preserve"> firm load shed</w:t>
      </w:r>
    </w:p>
    <w:p w14:paraId="11DCF5CC" w14:textId="53EB90E0" w:rsidR="00925C85" w:rsidRDefault="00925C85" w:rsidP="00925C85">
      <w:pPr>
        <w:pStyle w:val="NormalArial"/>
        <w:numPr>
          <w:ilvl w:val="1"/>
          <w:numId w:val="4"/>
        </w:numPr>
      </w:pPr>
      <w:r>
        <w:t xml:space="preserve">Implementation of </w:t>
      </w:r>
      <w:r w:rsidR="00191A26">
        <w:t xml:space="preserve">new </w:t>
      </w:r>
      <w:r w:rsidR="005A5C37">
        <w:t>Ancillary Service</w:t>
      </w:r>
      <w:r>
        <w:t xml:space="preserve"> </w:t>
      </w:r>
      <w:r w:rsidR="00C95B64">
        <w:t>products</w:t>
      </w:r>
      <w:r>
        <w:t xml:space="preserve"> to</w:t>
      </w:r>
      <w:r w:rsidR="008168EE">
        <w:t xml:space="preserve"> procure</w:t>
      </w:r>
      <w:r w:rsidR="00F4241B">
        <w:t xml:space="preserve"> capacity to</w:t>
      </w:r>
      <w:r>
        <w:t xml:space="preserve"> support operations beyond NERC standards and preventi</w:t>
      </w:r>
      <w:r w:rsidR="00E76757">
        <w:t>on of</w:t>
      </w:r>
      <w:r>
        <w:t xml:space="preserve"> firm load shed</w:t>
      </w:r>
    </w:p>
    <w:p w14:paraId="2113DB9E" w14:textId="7B3C998B" w:rsidR="00925C85" w:rsidRDefault="00C95B64" w:rsidP="00873DD4">
      <w:pPr>
        <w:pStyle w:val="NormalArial"/>
        <w:numPr>
          <w:ilvl w:val="1"/>
          <w:numId w:val="4"/>
        </w:numPr>
      </w:pPr>
      <w:r>
        <w:t>Firm Fuel Supply Service</w:t>
      </w:r>
    </w:p>
    <w:p w14:paraId="211CB917" w14:textId="5DAEA34E" w:rsidR="00C95B64" w:rsidRDefault="00C95B64" w:rsidP="00873DD4">
      <w:pPr>
        <w:pStyle w:val="NormalArial"/>
        <w:numPr>
          <w:ilvl w:val="1"/>
          <w:numId w:val="4"/>
        </w:numPr>
      </w:pPr>
      <w:r>
        <w:t>Texas Energy Fund</w:t>
      </w:r>
    </w:p>
    <w:p w14:paraId="1F3F38B9" w14:textId="4EEF1D3E" w:rsidR="008E0EC4" w:rsidRDefault="008E0EC4" w:rsidP="00873DD4">
      <w:pPr>
        <w:pStyle w:val="NormalArial"/>
        <w:numPr>
          <w:ilvl w:val="1"/>
          <w:numId w:val="4"/>
        </w:numPr>
      </w:pPr>
      <w:r>
        <w:t>Contracts for Capacity</w:t>
      </w:r>
    </w:p>
    <w:p w14:paraId="3B81B3B2" w14:textId="71F5B3BE" w:rsidR="00000438" w:rsidRPr="00DB23E2" w:rsidRDefault="00FB5CDE" w:rsidP="004721CB">
      <w:pPr>
        <w:pStyle w:val="NormalArial"/>
      </w:pPr>
      <w:r>
        <w:tab/>
      </w:r>
    </w:p>
    <w:p w14:paraId="129CE165" w14:textId="106C6B77" w:rsidR="005339EC" w:rsidRDefault="00F02BEA" w:rsidP="005339EC">
      <w:pPr>
        <w:pStyle w:val="NormalArial"/>
        <w:numPr>
          <w:ilvl w:val="0"/>
          <w:numId w:val="4"/>
        </w:numPr>
      </w:pPr>
      <w:r>
        <w:t>Energy Storage Resources</w:t>
      </w:r>
    </w:p>
    <w:p w14:paraId="7787E8EC" w14:textId="33019053" w:rsidR="000A5401" w:rsidRDefault="00F02BEA" w:rsidP="00F02BEA">
      <w:pPr>
        <w:pStyle w:val="NormalArial"/>
        <w:numPr>
          <w:ilvl w:val="1"/>
          <w:numId w:val="4"/>
        </w:numPr>
      </w:pPr>
      <w:r>
        <w:t>Investment Tax Credits</w:t>
      </w:r>
    </w:p>
    <w:p w14:paraId="558670AE" w14:textId="1B09CAD0" w:rsidR="00F02BEA" w:rsidRDefault="00F02BEA" w:rsidP="00F02BEA">
      <w:pPr>
        <w:pStyle w:val="NormalArial"/>
        <w:numPr>
          <w:ilvl w:val="1"/>
          <w:numId w:val="4"/>
        </w:numPr>
      </w:pPr>
      <w:r>
        <w:t xml:space="preserve">Wholesale storage load treatment (exempt from transmission charges and </w:t>
      </w:r>
      <w:r w:rsidR="00B935AD">
        <w:t xml:space="preserve">ERCOT </w:t>
      </w:r>
      <w:r w:rsidR="005A5C37">
        <w:t>Ancillary Service</w:t>
      </w:r>
      <w:r w:rsidR="00B935AD">
        <w:t xml:space="preserve"> costs for charging load)</w:t>
      </w:r>
    </w:p>
    <w:p w14:paraId="214363FF" w14:textId="352EFD42" w:rsidR="003B6C50" w:rsidRDefault="003B6C50" w:rsidP="003B6C50">
      <w:pPr>
        <w:pStyle w:val="NormalArial"/>
        <w:numPr>
          <w:ilvl w:val="1"/>
          <w:numId w:val="4"/>
        </w:numPr>
      </w:pPr>
      <w:r>
        <w:lastRenderedPageBreak/>
        <w:t>Modification of the structure of the ASDCs to send scarcity pricing signals prior to firm load shed</w:t>
      </w:r>
    </w:p>
    <w:p w14:paraId="315FEAEE" w14:textId="5800E97D" w:rsidR="003B6C50" w:rsidRDefault="003B6C50" w:rsidP="003B6C50">
      <w:pPr>
        <w:pStyle w:val="NormalArial"/>
        <w:numPr>
          <w:ilvl w:val="1"/>
          <w:numId w:val="4"/>
        </w:numPr>
      </w:pPr>
      <w:r>
        <w:t xml:space="preserve">Procurement of </w:t>
      </w:r>
      <w:r w:rsidR="005A5C37">
        <w:t>Ancillary Service</w:t>
      </w:r>
      <w:r>
        <w:t xml:space="preserve"> quantities to support operations beyond NERC standards and prevention of firm load shed</w:t>
      </w:r>
    </w:p>
    <w:p w14:paraId="47C47644" w14:textId="4118FE8B" w:rsidR="003B6C50" w:rsidRDefault="003B6C50" w:rsidP="003B6C50">
      <w:pPr>
        <w:pStyle w:val="NormalArial"/>
        <w:numPr>
          <w:ilvl w:val="1"/>
          <w:numId w:val="4"/>
        </w:numPr>
      </w:pPr>
      <w:r>
        <w:t xml:space="preserve">Implementation of </w:t>
      </w:r>
      <w:r w:rsidR="00191A26">
        <w:t xml:space="preserve">new </w:t>
      </w:r>
      <w:r w:rsidR="005A5C37">
        <w:t>Ancillary Service</w:t>
      </w:r>
      <w:r>
        <w:t xml:space="preserve"> products to </w:t>
      </w:r>
      <w:r w:rsidR="00544125">
        <w:t xml:space="preserve">procure capacity to </w:t>
      </w:r>
      <w:r>
        <w:t>support operations beyond NERC standards and prevention of firm load shed</w:t>
      </w:r>
    </w:p>
    <w:p w14:paraId="51F5AD52" w14:textId="77777777" w:rsidR="00BF3F2E" w:rsidRDefault="00BF3F2E" w:rsidP="00BF3F2E">
      <w:pPr>
        <w:pStyle w:val="NormalArial"/>
        <w:numPr>
          <w:ilvl w:val="1"/>
          <w:numId w:val="4"/>
        </w:numPr>
      </w:pPr>
      <w:r>
        <w:t>Contracts for Capacity</w:t>
      </w:r>
    </w:p>
    <w:p w14:paraId="100EC25F" w14:textId="77777777" w:rsidR="003B6C50" w:rsidRDefault="003B6C50" w:rsidP="00FC46B5">
      <w:pPr>
        <w:pStyle w:val="NormalArial"/>
      </w:pPr>
    </w:p>
    <w:p w14:paraId="2C46330A" w14:textId="7206DB36" w:rsidR="00FC46B5" w:rsidRDefault="00BC62B6" w:rsidP="00FC46B5">
      <w:pPr>
        <w:pStyle w:val="NormalArial"/>
        <w:numPr>
          <w:ilvl w:val="0"/>
          <w:numId w:val="4"/>
        </w:numPr>
      </w:pPr>
      <w:r>
        <w:t>Wind and Solar</w:t>
      </w:r>
      <w:r w:rsidR="00FC46B5">
        <w:t xml:space="preserve"> Resources</w:t>
      </w:r>
    </w:p>
    <w:p w14:paraId="0EC97E0B" w14:textId="7EE75DFF" w:rsidR="00BC62B6" w:rsidRDefault="00BC62B6" w:rsidP="00FC46B5">
      <w:pPr>
        <w:pStyle w:val="NormalArial"/>
        <w:numPr>
          <w:ilvl w:val="1"/>
          <w:numId w:val="4"/>
        </w:numPr>
      </w:pPr>
      <w:r>
        <w:t>Production Tax Credits</w:t>
      </w:r>
    </w:p>
    <w:p w14:paraId="1C20DEAD" w14:textId="0C14A34D" w:rsidR="00FC46B5" w:rsidRDefault="00FC46B5" w:rsidP="00FC46B5">
      <w:pPr>
        <w:pStyle w:val="NormalArial"/>
        <w:numPr>
          <w:ilvl w:val="1"/>
          <w:numId w:val="4"/>
        </w:numPr>
      </w:pPr>
      <w:r>
        <w:t>Investment Tax Credits</w:t>
      </w:r>
    </w:p>
    <w:p w14:paraId="4800E6A7" w14:textId="77777777" w:rsidR="00D01AB3" w:rsidRDefault="00D01AB3" w:rsidP="00D01AB3">
      <w:pPr>
        <w:pStyle w:val="NormalArial"/>
        <w:ind w:left="1440"/>
      </w:pPr>
    </w:p>
    <w:p w14:paraId="10B52A2F" w14:textId="13379116" w:rsidR="00985E01" w:rsidRDefault="00985E01" w:rsidP="00985E01">
      <w:pPr>
        <w:pStyle w:val="NormalArial"/>
        <w:numPr>
          <w:ilvl w:val="0"/>
          <w:numId w:val="4"/>
        </w:numPr>
      </w:pPr>
      <w:r>
        <w:t xml:space="preserve">Demand Response </w:t>
      </w:r>
      <w:r w:rsidR="00D01AB3">
        <w:t>for Mid-to-Large Commercial and Industrial Consumers</w:t>
      </w:r>
    </w:p>
    <w:p w14:paraId="3B4E4966" w14:textId="03034E2C" w:rsidR="00A66EC6" w:rsidRDefault="00A66EC6" w:rsidP="00A66EC6">
      <w:pPr>
        <w:pStyle w:val="NormalArial"/>
        <w:numPr>
          <w:ilvl w:val="1"/>
          <w:numId w:val="4"/>
        </w:numPr>
      </w:pPr>
      <w:r>
        <w:t>4 Coincident Peak Transmission Cost Allocation</w:t>
      </w:r>
    </w:p>
    <w:p w14:paraId="3AF90647" w14:textId="17361D89" w:rsidR="00A66EC6" w:rsidRDefault="00C948DA" w:rsidP="00A66EC6">
      <w:pPr>
        <w:pStyle w:val="NormalArial"/>
        <w:numPr>
          <w:ilvl w:val="1"/>
          <w:numId w:val="4"/>
        </w:numPr>
      </w:pPr>
      <w:r>
        <w:t>Responsive Reserve</w:t>
      </w:r>
      <w:r w:rsidR="00B1618B">
        <w:t xml:space="preserve"> Service</w:t>
      </w:r>
      <w:r>
        <w:t>, ERCOT Contingency Reserve</w:t>
      </w:r>
      <w:r w:rsidR="00B1618B">
        <w:t xml:space="preserve"> Service, </w:t>
      </w:r>
      <w:r w:rsidR="006D2DD5">
        <w:t xml:space="preserve">and </w:t>
      </w:r>
      <w:r w:rsidR="00B1618B">
        <w:t>Non-Spinning Reserve Service procurements for Non-Controllable Load Resources</w:t>
      </w:r>
    </w:p>
    <w:p w14:paraId="39C64310" w14:textId="3796C8F0" w:rsidR="00B1618B" w:rsidRDefault="00B1618B" w:rsidP="00A66EC6">
      <w:pPr>
        <w:pStyle w:val="NormalArial"/>
        <w:numPr>
          <w:ilvl w:val="1"/>
          <w:numId w:val="4"/>
        </w:numPr>
      </w:pPr>
      <w:r>
        <w:t>Emergency Response Service</w:t>
      </w:r>
    </w:p>
    <w:p w14:paraId="6B1901DC" w14:textId="4821DA27" w:rsidR="008509D8" w:rsidRDefault="008509D8" w:rsidP="00A66EC6">
      <w:pPr>
        <w:pStyle w:val="NormalArial"/>
        <w:numPr>
          <w:ilvl w:val="1"/>
          <w:numId w:val="4"/>
        </w:numPr>
      </w:pPr>
      <w:r>
        <w:t>TDU Load Management Programs</w:t>
      </w:r>
    </w:p>
    <w:p w14:paraId="49DA5C88" w14:textId="237BA040" w:rsidR="0093304B" w:rsidRDefault="0093304B" w:rsidP="00A66EC6">
      <w:pPr>
        <w:pStyle w:val="NormalArial"/>
        <w:numPr>
          <w:ilvl w:val="1"/>
          <w:numId w:val="4"/>
        </w:numPr>
      </w:pPr>
      <w:r>
        <w:t>Contracts for Capacity</w:t>
      </w:r>
    </w:p>
    <w:p w14:paraId="42C46F5D" w14:textId="4F1B5A7D" w:rsidR="0093304B" w:rsidRDefault="00A14A14" w:rsidP="00A66EC6">
      <w:pPr>
        <w:pStyle w:val="NormalArial"/>
        <w:numPr>
          <w:ilvl w:val="1"/>
          <w:numId w:val="4"/>
        </w:numPr>
      </w:pPr>
      <w:r>
        <w:t>SB6 Large Load Demand Reduction Program</w:t>
      </w:r>
    </w:p>
    <w:p w14:paraId="0977DA1D" w14:textId="77777777" w:rsidR="00337CB4" w:rsidRDefault="00337CB4" w:rsidP="00337CB4">
      <w:pPr>
        <w:pStyle w:val="NormalArial"/>
      </w:pPr>
    </w:p>
    <w:p w14:paraId="1964828A" w14:textId="21E758E7" w:rsidR="00337CB4" w:rsidRDefault="00337CB4" w:rsidP="00337CB4">
      <w:pPr>
        <w:pStyle w:val="NormalArial"/>
      </w:pPr>
      <w:r>
        <w:t>Despite the</w:t>
      </w:r>
      <w:r w:rsidR="00524F30">
        <w:t xml:space="preserve"> </w:t>
      </w:r>
      <w:r w:rsidR="00856A1C">
        <w:t>realities</w:t>
      </w:r>
      <w:r>
        <w:t xml:space="preserve"> of the ERCOT market design</w:t>
      </w:r>
      <w:r w:rsidR="00856A1C">
        <w:t xml:space="preserve"> as described</w:t>
      </w:r>
      <w:r>
        <w:t xml:space="preserve"> above, it is still important to emphasize and preserve the price signal from the energy and </w:t>
      </w:r>
      <w:r w:rsidR="00874F87">
        <w:t>A</w:t>
      </w:r>
      <w:r>
        <w:t xml:space="preserve">ncillary </w:t>
      </w:r>
      <w:r w:rsidR="00874F87">
        <w:t>S</w:t>
      </w:r>
      <w:r>
        <w:t>ervice markets to the greatest extent possible to retain the efficiency benefits</w:t>
      </w:r>
      <w:r w:rsidR="004B0125">
        <w:t xml:space="preserve"> and </w:t>
      </w:r>
      <w:proofErr w:type="gramStart"/>
      <w:r w:rsidR="004B0125">
        <w:t>contribution</w:t>
      </w:r>
      <w:proofErr w:type="gramEnd"/>
      <w:r w:rsidR="004B0125">
        <w:t xml:space="preserve"> to </w:t>
      </w:r>
      <w:r w:rsidR="00673309">
        <w:t>enhanced reliability</w:t>
      </w:r>
      <w:r>
        <w:t xml:space="preserve">. This preservation is not perfect today and never will be, especially for demand response programs that estimate the demand reduction for price adjustments. ERCOT proposed a price adjustment mechanism for NPRR1296 that will </w:t>
      </w:r>
      <w:r w:rsidRPr="00F221A7">
        <w:rPr>
          <w:i/>
          <w:iCs/>
          <w:u w:val="single"/>
        </w:rPr>
        <w:t xml:space="preserve">offset </w:t>
      </w:r>
      <w:proofErr w:type="gramStart"/>
      <w:r w:rsidRPr="00F221A7">
        <w:rPr>
          <w:i/>
          <w:iCs/>
          <w:u w:val="single"/>
        </w:rPr>
        <w:t>the vast majority of</w:t>
      </w:r>
      <w:proofErr w:type="gramEnd"/>
      <w:r w:rsidRPr="00F221A7">
        <w:rPr>
          <w:i/>
          <w:iCs/>
          <w:u w:val="single"/>
        </w:rPr>
        <w:t xml:space="preserve"> any meaningful impacts</w:t>
      </w:r>
      <w:r>
        <w:t>. Any future evolution of this program should seek to do the same.</w:t>
      </w:r>
    </w:p>
    <w:p w14:paraId="258E45D7" w14:textId="77777777" w:rsidR="00874F87" w:rsidRDefault="00874F87" w:rsidP="00337CB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74F87" w14:paraId="3A6A63CB" w14:textId="77777777" w:rsidTr="0086184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9C229" w14:textId="77777777" w:rsidR="00874F87" w:rsidRDefault="00874F87" w:rsidP="0086184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E832A15" w14:textId="77777777" w:rsidR="00874F87" w:rsidRDefault="00874F87" w:rsidP="00874F8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74F87" w14:paraId="6A93B1A7" w14:textId="77777777" w:rsidTr="0086184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2181C" w14:textId="77777777" w:rsidR="00874F87" w:rsidRDefault="00874F87" w:rsidP="0086184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F133872" w14:textId="77777777" w:rsidR="00874F87" w:rsidRDefault="00874F87" w:rsidP="00874F87">
      <w:pPr>
        <w:pStyle w:val="NormalArial"/>
        <w:spacing w:before="120" w:after="120"/>
      </w:pPr>
      <w:r>
        <w:t>None</w:t>
      </w:r>
    </w:p>
    <w:p w14:paraId="501038EB" w14:textId="77777777" w:rsidR="00337CB4" w:rsidRDefault="00337CB4" w:rsidP="00337CB4">
      <w:pPr>
        <w:pStyle w:val="NormalArial"/>
      </w:pPr>
    </w:p>
    <w:sectPr w:rsidR="00337CB4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AA1B" w14:textId="77777777" w:rsidR="00122CD6" w:rsidRDefault="00122CD6">
      <w:r>
        <w:separator/>
      </w:r>
    </w:p>
  </w:endnote>
  <w:endnote w:type="continuationSeparator" w:id="0">
    <w:p w14:paraId="5F94F135" w14:textId="77777777" w:rsidR="00122CD6" w:rsidRDefault="0012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CCE9" w14:textId="47AEFD6F" w:rsidR="00EE6681" w:rsidRDefault="00874F87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1296NPRR-17 </w:t>
    </w:r>
    <w:r w:rsidR="00491E6B">
      <w:rPr>
        <w:rFonts w:ascii="Arial" w:hAnsi="Arial"/>
        <w:sz w:val="18"/>
      </w:rPr>
      <w:t>Reliant Comments 052</w:t>
    </w:r>
    <w:r w:rsidR="00F221A7">
      <w:rPr>
        <w:rFonts w:ascii="Arial" w:hAnsi="Arial"/>
        <w:sz w:val="18"/>
      </w:rPr>
      <w:t>7</w:t>
    </w:r>
    <w:r w:rsidR="00491E6B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FECFF94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30AC" w14:textId="77777777" w:rsidR="00122CD6" w:rsidRDefault="00122CD6">
      <w:r>
        <w:separator/>
      </w:r>
    </w:p>
  </w:footnote>
  <w:footnote w:type="continuationSeparator" w:id="0">
    <w:p w14:paraId="13E52482" w14:textId="77777777" w:rsidR="00122CD6" w:rsidRDefault="00122CD6">
      <w:r>
        <w:continuationSeparator/>
      </w:r>
    </w:p>
  </w:footnote>
  <w:footnote w:id="1">
    <w:p w14:paraId="79AABAD7" w14:textId="3023A20F" w:rsidR="0014055B" w:rsidRDefault="001405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DD7186" w:rsidRPr="00470867">
          <w:rPr>
            <w:rStyle w:val="Hyperlink"/>
          </w:rPr>
          <w:t>https://www.ercot.com/files/docs/2025/09/26/1296NPRR-06-Reliant-Comments-092625.docx</w:t>
        </w:r>
      </w:hyperlink>
      <w:r w:rsidR="00DD7186">
        <w:t xml:space="preserve">, </w:t>
      </w:r>
      <w:hyperlink r:id="rId2" w:history="1">
        <w:r w:rsidR="00DD7186" w:rsidRPr="00470867">
          <w:rPr>
            <w:rStyle w:val="Hyperlink"/>
          </w:rPr>
          <w:t>https://www.ercot.com/files/docs/2026/01/16/1296NPRR-14b-Joint-Sponsors-Comments-011626.pdf</w:t>
        </w:r>
      </w:hyperlink>
      <w:r w:rsidR="00DD7186">
        <w:t xml:space="preserve">, </w:t>
      </w:r>
      <w:hyperlink r:id="rId3" w:history="1">
        <w:r w:rsidR="00F85464" w:rsidRPr="00470867">
          <w:rPr>
            <w:rStyle w:val="Hyperlink"/>
          </w:rPr>
          <w:t>https://www.ercot.com/files/docs/2026/04/13/11.1-Strategic-Discussion-on-Resource-Adequacy-and-the-Role-of-Demand-Response.pdf</w:t>
        </w:r>
      </w:hyperlink>
      <w:r w:rsidR="00F8546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4D8A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53F48983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1197A24"/>
    <w:multiLevelType w:val="hybridMultilevel"/>
    <w:tmpl w:val="1A40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7EE7"/>
    <w:multiLevelType w:val="hybridMultilevel"/>
    <w:tmpl w:val="1A1E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7035650">
    <w:abstractNumId w:val="0"/>
  </w:num>
  <w:num w:numId="2" w16cid:durableId="1438912830">
    <w:abstractNumId w:val="3"/>
  </w:num>
  <w:num w:numId="3" w16cid:durableId="794714664">
    <w:abstractNumId w:val="2"/>
  </w:num>
  <w:num w:numId="4" w16cid:durableId="72025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0438"/>
    <w:rsid w:val="0000594D"/>
    <w:rsid w:val="000117D9"/>
    <w:rsid w:val="00012790"/>
    <w:rsid w:val="00014D54"/>
    <w:rsid w:val="000178BE"/>
    <w:rsid w:val="00024777"/>
    <w:rsid w:val="000303A0"/>
    <w:rsid w:val="00030A5C"/>
    <w:rsid w:val="00031E04"/>
    <w:rsid w:val="0003403C"/>
    <w:rsid w:val="00037668"/>
    <w:rsid w:val="000405DE"/>
    <w:rsid w:val="0004638E"/>
    <w:rsid w:val="00047F68"/>
    <w:rsid w:val="00056B92"/>
    <w:rsid w:val="00056D86"/>
    <w:rsid w:val="0005712F"/>
    <w:rsid w:val="0006726B"/>
    <w:rsid w:val="00073458"/>
    <w:rsid w:val="00075A94"/>
    <w:rsid w:val="00076A34"/>
    <w:rsid w:val="00083D37"/>
    <w:rsid w:val="00087E65"/>
    <w:rsid w:val="00090A61"/>
    <w:rsid w:val="00090C5B"/>
    <w:rsid w:val="00092875"/>
    <w:rsid w:val="000A5401"/>
    <w:rsid w:val="000B09C0"/>
    <w:rsid w:val="000B4353"/>
    <w:rsid w:val="000B6A41"/>
    <w:rsid w:val="000B6FF3"/>
    <w:rsid w:val="000C3B29"/>
    <w:rsid w:val="000C706C"/>
    <w:rsid w:val="000C738A"/>
    <w:rsid w:val="000E5955"/>
    <w:rsid w:val="000E6C73"/>
    <w:rsid w:val="000E7D08"/>
    <w:rsid w:val="000F089B"/>
    <w:rsid w:val="000F0F74"/>
    <w:rsid w:val="000F33C2"/>
    <w:rsid w:val="000F5B3C"/>
    <w:rsid w:val="00102508"/>
    <w:rsid w:val="00105B64"/>
    <w:rsid w:val="00111C8D"/>
    <w:rsid w:val="00113108"/>
    <w:rsid w:val="0011479C"/>
    <w:rsid w:val="00114A9D"/>
    <w:rsid w:val="00122CD6"/>
    <w:rsid w:val="00132855"/>
    <w:rsid w:val="001355A7"/>
    <w:rsid w:val="0014055B"/>
    <w:rsid w:val="00152993"/>
    <w:rsid w:val="00153B62"/>
    <w:rsid w:val="00153C45"/>
    <w:rsid w:val="00154511"/>
    <w:rsid w:val="00170297"/>
    <w:rsid w:val="00176A07"/>
    <w:rsid w:val="00177CDB"/>
    <w:rsid w:val="00177EBF"/>
    <w:rsid w:val="00182E22"/>
    <w:rsid w:val="00191A26"/>
    <w:rsid w:val="001931DC"/>
    <w:rsid w:val="001939C8"/>
    <w:rsid w:val="00193C19"/>
    <w:rsid w:val="00197FC8"/>
    <w:rsid w:val="001A227D"/>
    <w:rsid w:val="001B0561"/>
    <w:rsid w:val="001B1B8D"/>
    <w:rsid w:val="001B3F68"/>
    <w:rsid w:val="001B4E0F"/>
    <w:rsid w:val="001C24B4"/>
    <w:rsid w:val="001C498E"/>
    <w:rsid w:val="001D3221"/>
    <w:rsid w:val="001D4BBE"/>
    <w:rsid w:val="001E2032"/>
    <w:rsid w:val="001E363D"/>
    <w:rsid w:val="001F1168"/>
    <w:rsid w:val="001F2ACB"/>
    <w:rsid w:val="001F6EA6"/>
    <w:rsid w:val="002017D0"/>
    <w:rsid w:val="00205B24"/>
    <w:rsid w:val="00206E24"/>
    <w:rsid w:val="0021029F"/>
    <w:rsid w:val="00211EDA"/>
    <w:rsid w:val="0021231F"/>
    <w:rsid w:val="00216BFA"/>
    <w:rsid w:val="00216CB1"/>
    <w:rsid w:val="002255AC"/>
    <w:rsid w:val="00226416"/>
    <w:rsid w:val="00234392"/>
    <w:rsid w:val="00237A1F"/>
    <w:rsid w:val="0024137A"/>
    <w:rsid w:val="00242C2A"/>
    <w:rsid w:val="00247330"/>
    <w:rsid w:val="0025085A"/>
    <w:rsid w:val="00254891"/>
    <w:rsid w:val="00256EC5"/>
    <w:rsid w:val="00257D46"/>
    <w:rsid w:val="00262AD2"/>
    <w:rsid w:val="00263D2B"/>
    <w:rsid w:val="00264D70"/>
    <w:rsid w:val="00264E65"/>
    <w:rsid w:val="0026504D"/>
    <w:rsid w:val="00271922"/>
    <w:rsid w:val="0027376D"/>
    <w:rsid w:val="00283D9E"/>
    <w:rsid w:val="00290218"/>
    <w:rsid w:val="00291516"/>
    <w:rsid w:val="00293991"/>
    <w:rsid w:val="002A27EE"/>
    <w:rsid w:val="002A7AC1"/>
    <w:rsid w:val="002B1971"/>
    <w:rsid w:val="002D075C"/>
    <w:rsid w:val="002D1130"/>
    <w:rsid w:val="002D2A46"/>
    <w:rsid w:val="002D327D"/>
    <w:rsid w:val="002D37BA"/>
    <w:rsid w:val="002E0156"/>
    <w:rsid w:val="002E1CB3"/>
    <w:rsid w:val="002E3EF9"/>
    <w:rsid w:val="002F0FF5"/>
    <w:rsid w:val="002F4850"/>
    <w:rsid w:val="00300D19"/>
    <w:rsid w:val="003010C0"/>
    <w:rsid w:val="003025B6"/>
    <w:rsid w:val="003032AC"/>
    <w:rsid w:val="00307F5D"/>
    <w:rsid w:val="00311AE0"/>
    <w:rsid w:val="0031254E"/>
    <w:rsid w:val="003237E7"/>
    <w:rsid w:val="00325523"/>
    <w:rsid w:val="003260B3"/>
    <w:rsid w:val="00326FBB"/>
    <w:rsid w:val="0033089B"/>
    <w:rsid w:val="00331F18"/>
    <w:rsid w:val="00332A97"/>
    <w:rsid w:val="00337CB4"/>
    <w:rsid w:val="003433CA"/>
    <w:rsid w:val="003500E7"/>
    <w:rsid w:val="00350C00"/>
    <w:rsid w:val="00352161"/>
    <w:rsid w:val="00355BB7"/>
    <w:rsid w:val="003575E8"/>
    <w:rsid w:val="00365B99"/>
    <w:rsid w:val="00366113"/>
    <w:rsid w:val="003731D0"/>
    <w:rsid w:val="00374CE3"/>
    <w:rsid w:val="00385577"/>
    <w:rsid w:val="0038660B"/>
    <w:rsid w:val="0039061F"/>
    <w:rsid w:val="00393111"/>
    <w:rsid w:val="0039385A"/>
    <w:rsid w:val="0039478A"/>
    <w:rsid w:val="00397DDA"/>
    <w:rsid w:val="003A0E49"/>
    <w:rsid w:val="003A5C5F"/>
    <w:rsid w:val="003B37B2"/>
    <w:rsid w:val="003B4DC7"/>
    <w:rsid w:val="003B59F7"/>
    <w:rsid w:val="003B6C50"/>
    <w:rsid w:val="003C18FF"/>
    <w:rsid w:val="003C270C"/>
    <w:rsid w:val="003C4812"/>
    <w:rsid w:val="003D0994"/>
    <w:rsid w:val="003D5450"/>
    <w:rsid w:val="003D5E73"/>
    <w:rsid w:val="003D667C"/>
    <w:rsid w:val="003E41B8"/>
    <w:rsid w:val="003F059D"/>
    <w:rsid w:val="003F07FB"/>
    <w:rsid w:val="003F251A"/>
    <w:rsid w:val="003F3E8B"/>
    <w:rsid w:val="00401817"/>
    <w:rsid w:val="00405DA1"/>
    <w:rsid w:val="004143E5"/>
    <w:rsid w:val="00414F62"/>
    <w:rsid w:val="00416E6E"/>
    <w:rsid w:val="00420A10"/>
    <w:rsid w:val="004217B7"/>
    <w:rsid w:val="00423712"/>
    <w:rsid w:val="00423824"/>
    <w:rsid w:val="00430DF4"/>
    <w:rsid w:val="0043567D"/>
    <w:rsid w:val="0043734D"/>
    <w:rsid w:val="004379D6"/>
    <w:rsid w:val="004441B4"/>
    <w:rsid w:val="00447A21"/>
    <w:rsid w:val="00454012"/>
    <w:rsid w:val="00454401"/>
    <w:rsid w:val="00455AEB"/>
    <w:rsid w:val="004577DA"/>
    <w:rsid w:val="00461856"/>
    <w:rsid w:val="004716C8"/>
    <w:rsid w:val="004721CB"/>
    <w:rsid w:val="00472270"/>
    <w:rsid w:val="004748C5"/>
    <w:rsid w:val="004765E1"/>
    <w:rsid w:val="004843B3"/>
    <w:rsid w:val="00487465"/>
    <w:rsid w:val="00491063"/>
    <w:rsid w:val="004912C1"/>
    <w:rsid w:val="004917C6"/>
    <w:rsid w:val="00491E6B"/>
    <w:rsid w:val="00492CA3"/>
    <w:rsid w:val="0049523D"/>
    <w:rsid w:val="004A035B"/>
    <w:rsid w:val="004A1433"/>
    <w:rsid w:val="004A4EA8"/>
    <w:rsid w:val="004A5726"/>
    <w:rsid w:val="004B0125"/>
    <w:rsid w:val="004B68FC"/>
    <w:rsid w:val="004B6FDD"/>
    <w:rsid w:val="004B7B90"/>
    <w:rsid w:val="004C757E"/>
    <w:rsid w:val="004D0E77"/>
    <w:rsid w:val="004D0FEB"/>
    <w:rsid w:val="004D4D10"/>
    <w:rsid w:val="004D518C"/>
    <w:rsid w:val="004E0D5B"/>
    <w:rsid w:val="004E2C19"/>
    <w:rsid w:val="004E65BA"/>
    <w:rsid w:val="004E71C5"/>
    <w:rsid w:val="004E74EE"/>
    <w:rsid w:val="005110F3"/>
    <w:rsid w:val="00521A04"/>
    <w:rsid w:val="00521D38"/>
    <w:rsid w:val="00524239"/>
    <w:rsid w:val="00524F30"/>
    <w:rsid w:val="005254A9"/>
    <w:rsid w:val="005339EC"/>
    <w:rsid w:val="00534DB6"/>
    <w:rsid w:val="00535F9D"/>
    <w:rsid w:val="00540CDA"/>
    <w:rsid w:val="00544125"/>
    <w:rsid w:val="005463BF"/>
    <w:rsid w:val="0055685E"/>
    <w:rsid w:val="00556FAD"/>
    <w:rsid w:val="005623D5"/>
    <w:rsid w:val="005673BA"/>
    <w:rsid w:val="00572442"/>
    <w:rsid w:val="00573AA9"/>
    <w:rsid w:val="00574036"/>
    <w:rsid w:val="005803F0"/>
    <w:rsid w:val="0058426D"/>
    <w:rsid w:val="00586C52"/>
    <w:rsid w:val="005905A1"/>
    <w:rsid w:val="005A1101"/>
    <w:rsid w:val="005A4C5A"/>
    <w:rsid w:val="005A5C37"/>
    <w:rsid w:val="005A6E7E"/>
    <w:rsid w:val="005B2DD7"/>
    <w:rsid w:val="005C3E9D"/>
    <w:rsid w:val="005C6F7A"/>
    <w:rsid w:val="005C77FE"/>
    <w:rsid w:val="005D284C"/>
    <w:rsid w:val="005D3682"/>
    <w:rsid w:val="005D46DA"/>
    <w:rsid w:val="005D6DB0"/>
    <w:rsid w:val="005E0A3C"/>
    <w:rsid w:val="005E3A48"/>
    <w:rsid w:val="00604512"/>
    <w:rsid w:val="00604E7C"/>
    <w:rsid w:val="0060784C"/>
    <w:rsid w:val="006103FE"/>
    <w:rsid w:val="00616C39"/>
    <w:rsid w:val="0062030A"/>
    <w:rsid w:val="00621324"/>
    <w:rsid w:val="006232D3"/>
    <w:rsid w:val="00627171"/>
    <w:rsid w:val="00630CA8"/>
    <w:rsid w:val="00633E23"/>
    <w:rsid w:val="00634F93"/>
    <w:rsid w:val="006362DC"/>
    <w:rsid w:val="006438BF"/>
    <w:rsid w:val="00650DF6"/>
    <w:rsid w:val="006510FD"/>
    <w:rsid w:val="00654C79"/>
    <w:rsid w:val="00656DFD"/>
    <w:rsid w:val="00665FAE"/>
    <w:rsid w:val="006662D5"/>
    <w:rsid w:val="00666B32"/>
    <w:rsid w:val="00670918"/>
    <w:rsid w:val="00673255"/>
    <w:rsid w:val="00673309"/>
    <w:rsid w:val="00673B94"/>
    <w:rsid w:val="00680AC6"/>
    <w:rsid w:val="006835D8"/>
    <w:rsid w:val="00692B26"/>
    <w:rsid w:val="006A34CF"/>
    <w:rsid w:val="006B7EB3"/>
    <w:rsid w:val="006C2A47"/>
    <w:rsid w:val="006C316E"/>
    <w:rsid w:val="006C3268"/>
    <w:rsid w:val="006D0F7C"/>
    <w:rsid w:val="006D28E6"/>
    <w:rsid w:val="006D2DD5"/>
    <w:rsid w:val="006E6699"/>
    <w:rsid w:val="006F040A"/>
    <w:rsid w:val="006F0774"/>
    <w:rsid w:val="006F25A1"/>
    <w:rsid w:val="006F2AB2"/>
    <w:rsid w:val="006F7B68"/>
    <w:rsid w:val="007018D4"/>
    <w:rsid w:val="007022B6"/>
    <w:rsid w:val="007077D1"/>
    <w:rsid w:val="007135F1"/>
    <w:rsid w:val="00725B2F"/>
    <w:rsid w:val="007269C4"/>
    <w:rsid w:val="007321EA"/>
    <w:rsid w:val="00734BBB"/>
    <w:rsid w:val="0074209E"/>
    <w:rsid w:val="00745349"/>
    <w:rsid w:val="00752F4C"/>
    <w:rsid w:val="00756CC9"/>
    <w:rsid w:val="00764646"/>
    <w:rsid w:val="007646FB"/>
    <w:rsid w:val="00765A84"/>
    <w:rsid w:val="00770425"/>
    <w:rsid w:val="007708CB"/>
    <w:rsid w:val="00770AB9"/>
    <w:rsid w:val="00777041"/>
    <w:rsid w:val="0078040C"/>
    <w:rsid w:val="007806AD"/>
    <w:rsid w:val="0078173A"/>
    <w:rsid w:val="007836A3"/>
    <w:rsid w:val="00784550"/>
    <w:rsid w:val="0078714C"/>
    <w:rsid w:val="00792611"/>
    <w:rsid w:val="0079766E"/>
    <w:rsid w:val="007A0F3D"/>
    <w:rsid w:val="007A2993"/>
    <w:rsid w:val="007A60D6"/>
    <w:rsid w:val="007A734D"/>
    <w:rsid w:val="007B1A81"/>
    <w:rsid w:val="007C1FE1"/>
    <w:rsid w:val="007C3BAA"/>
    <w:rsid w:val="007C7257"/>
    <w:rsid w:val="007E21CE"/>
    <w:rsid w:val="007E6B55"/>
    <w:rsid w:val="007E78EB"/>
    <w:rsid w:val="007F086D"/>
    <w:rsid w:val="007F2CA8"/>
    <w:rsid w:val="007F7161"/>
    <w:rsid w:val="007F7A9A"/>
    <w:rsid w:val="00800200"/>
    <w:rsid w:val="00801E4E"/>
    <w:rsid w:val="0081448B"/>
    <w:rsid w:val="008168EE"/>
    <w:rsid w:val="0082506C"/>
    <w:rsid w:val="00826B43"/>
    <w:rsid w:val="00827F9B"/>
    <w:rsid w:val="008322B3"/>
    <w:rsid w:val="008327EA"/>
    <w:rsid w:val="00833A83"/>
    <w:rsid w:val="008345F6"/>
    <w:rsid w:val="00841E0D"/>
    <w:rsid w:val="00843950"/>
    <w:rsid w:val="008506E7"/>
    <w:rsid w:val="008509D8"/>
    <w:rsid w:val="0085133E"/>
    <w:rsid w:val="00852C92"/>
    <w:rsid w:val="00855513"/>
    <w:rsid w:val="0085559E"/>
    <w:rsid w:val="00856638"/>
    <w:rsid w:val="008567CE"/>
    <w:rsid w:val="00856A1C"/>
    <w:rsid w:val="00857C4A"/>
    <w:rsid w:val="0086035C"/>
    <w:rsid w:val="00860590"/>
    <w:rsid w:val="008605C8"/>
    <w:rsid w:val="008672A3"/>
    <w:rsid w:val="00871063"/>
    <w:rsid w:val="008711FC"/>
    <w:rsid w:val="00873DD4"/>
    <w:rsid w:val="00874F87"/>
    <w:rsid w:val="00875D0B"/>
    <w:rsid w:val="0087653B"/>
    <w:rsid w:val="008767C5"/>
    <w:rsid w:val="008809FA"/>
    <w:rsid w:val="00890F9A"/>
    <w:rsid w:val="0089158A"/>
    <w:rsid w:val="008920DE"/>
    <w:rsid w:val="0089301B"/>
    <w:rsid w:val="008939BB"/>
    <w:rsid w:val="00893AEB"/>
    <w:rsid w:val="00895724"/>
    <w:rsid w:val="00895827"/>
    <w:rsid w:val="00896B1B"/>
    <w:rsid w:val="008A1D5B"/>
    <w:rsid w:val="008A4D12"/>
    <w:rsid w:val="008B4F15"/>
    <w:rsid w:val="008B545F"/>
    <w:rsid w:val="008B681E"/>
    <w:rsid w:val="008C3D8B"/>
    <w:rsid w:val="008C4120"/>
    <w:rsid w:val="008C5552"/>
    <w:rsid w:val="008C7B3E"/>
    <w:rsid w:val="008D25E0"/>
    <w:rsid w:val="008D46B8"/>
    <w:rsid w:val="008D504A"/>
    <w:rsid w:val="008E0EC4"/>
    <w:rsid w:val="008E1336"/>
    <w:rsid w:val="008E2231"/>
    <w:rsid w:val="008E25D0"/>
    <w:rsid w:val="008E559E"/>
    <w:rsid w:val="008E6581"/>
    <w:rsid w:val="008F0E63"/>
    <w:rsid w:val="008F14EE"/>
    <w:rsid w:val="008F340E"/>
    <w:rsid w:val="008F596D"/>
    <w:rsid w:val="008F62D6"/>
    <w:rsid w:val="008F7348"/>
    <w:rsid w:val="00902D41"/>
    <w:rsid w:val="009038ED"/>
    <w:rsid w:val="00905135"/>
    <w:rsid w:val="00912A82"/>
    <w:rsid w:val="00913994"/>
    <w:rsid w:val="00916080"/>
    <w:rsid w:val="00921A68"/>
    <w:rsid w:val="009228AB"/>
    <w:rsid w:val="00925C85"/>
    <w:rsid w:val="00926DF2"/>
    <w:rsid w:val="0093214B"/>
    <w:rsid w:val="0093304B"/>
    <w:rsid w:val="00935301"/>
    <w:rsid w:val="00941C76"/>
    <w:rsid w:val="00944303"/>
    <w:rsid w:val="0094511F"/>
    <w:rsid w:val="009454BA"/>
    <w:rsid w:val="00945C3D"/>
    <w:rsid w:val="00946F27"/>
    <w:rsid w:val="0095202E"/>
    <w:rsid w:val="00954F18"/>
    <w:rsid w:val="00954F55"/>
    <w:rsid w:val="009565CC"/>
    <w:rsid w:val="009633E0"/>
    <w:rsid w:val="009637AE"/>
    <w:rsid w:val="00984E1D"/>
    <w:rsid w:val="00985E01"/>
    <w:rsid w:val="00986C6E"/>
    <w:rsid w:val="00987D2E"/>
    <w:rsid w:val="00994A89"/>
    <w:rsid w:val="009967A9"/>
    <w:rsid w:val="009A1317"/>
    <w:rsid w:val="009B0702"/>
    <w:rsid w:val="009B161E"/>
    <w:rsid w:val="009B18EE"/>
    <w:rsid w:val="009B4B39"/>
    <w:rsid w:val="009B7E73"/>
    <w:rsid w:val="009C1038"/>
    <w:rsid w:val="009D077E"/>
    <w:rsid w:val="009D2710"/>
    <w:rsid w:val="009D54B6"/>
    <w:rsid w:val="009D70E0"/>
    <w:rsid w:val="009E1DA7"/>
    <w:rsid w:val="009E6737"/>
    <w:rsid w:val="009F1C52"/>
    <w:rsid w:val="009F2019"/>
    <w:rsid w:val="009F527A"/>
    <w:rsid w:val="009F5313"/>
    <w:rsid w:val="009F61CF"/>
    <w:rsid w:val="009F74A3"/>
    <w:rsid w:val="009F7BF2"/>
    <w:rsid w:val="00A015C4"/>
    <w:rsid w:val="00A0213F"/>
    <w:rsid w:val="00A02BD7"/>
    <w:rsid w:val="00A14A14"/>
    <w:rsid w:val="00A15172"/>
    <w:rsid w:val="00A157C7"/>
    <w:rsid w:val="00A1689E"/>
    <w:rsid w:val="00A22659"/>
    <w:rsid w:val="00A25F56"/>
    <w:rsid w:val="00A276A0"/>
    <w:rsid w:val="00A33537"/>
    <w:rsid w:val="00A335C0"/>
    <w:rsid w:val="00A4711B"/>
    <w:rsid w:val="00A53BDD"/>
    <w:rsid w:val="00A54EEE"/>
    <w:rsid w:val="00A57BFF"/>
    <w:rsid w:val="00A63811"/>
    <w:rsid w:val="00A66EC6"/>
    <w:rsid w:val="00A7236F"/>
    <w:rsid w:val="00A75A1D"/>
    <w:rsid w:val="00A75C5C"/>
    <w:rsid w:val="00A75EB9"/>
    <w:rsid w:val="00A8691F"/>
    <w:rsid w:val="00A90DF0"/>
    <w:rsid w:val="00A916A9"/>
    <w:rsid w:val="00A918FB"/>
    <w:rsid w:val="00A944D6"/>
    <w:rsid w:val="00AA505D"/>
    <w:rsid w:val="00AA55EF"/>
    <w:rsid w:val="00AB3541"/>
    <w:rsid w:val="00AB3AA7"/>
    <w:rsid w:val="00AB48EC"/>
    <w:rsid w:val="00AB708D"/>
    <w:rsid w:val="00AB7548"/>
    <w:rsid w:val="00AC025B"/>
    <w:rsid w:val="00AC0EE2"/>
    <w:rsid w:val="00AD4D60"/>
    <w:rsid w:val="00AD7213"/>
    <w:rsid w:val="00AF4A68"/>
    <w:rsid w:val="00AF61F6"/>
    <w:rsid w:val="00AF7E1A"/>
    <w:rsid w:val="00B147EA"/>
    <w:rsid w:val="00B1618B"/>
    <w:rsid w:val="00B21001"/>
    <w:rsid w:val="00B22DC7"/>
    <w:rsid w:val="00B25902"/>
    <w:rsid w:val="00B268A9"/>
    <w:rsid w:val="00B31A9E"/>
    <w:rsid w:val="00B324EF"/>
    <w:rsid w:val="00B34DE9"/>
    <w:rsid w:val="00B43474"/>
    <w:rsid w:val="00B468B2"/>
    <w:rsid w:val="00B5080A"/>
    <w:rsid w:val="00B52EFC"/>
    <w:rsid w:val="00B5587B"/>
    <w:rsid w:val="00B559CF"/>
    <w:rsid w:val="00B56E99"/>
    <w:rsid w:val="00B60242"/>
    <w:rsid w:val="00B72A38"/>
    <w:rsid w:val="00B76C20"/>
    <w:rsid w:val="00B76E5C"/>
    <w:rsid w:val="00B935AD"/>
    <w:rsid w:val="00B943AE"/>
    <w:rsid w:val="00B950ED"/>
    <w:rsid w:val="00BA0332"/>
    <w:rsid w:val="00BA18F3"/>
    <w:rsid w:val="00BA5CB4"/>
    <w:rsid w:val="00BA7379"/>
    <w:rsid w:val="00BB4E47"/>
    <w:rsid w:val="00BB5EAA"/>
    <w:rsid w:val="00BC0D9B"/>
    <w:rsid w:val="00BC48F1"/>
    <w:rsid w:val="00BC52FA"/>
    <w:rsid w:val="00BC62B6"/>
    <w:rsid w:val="00BD2272"/>
    <w:rsid w:val="00BD5655"/>
    <w:rsid w:val="00BD5DC9"/>
    <w:rsid w:val="00BD706C"/>
    <w:rsid w:val="00BD7258"/>
    <w:rsid w:val="00BE5C6B"/>
    <w:rsid w:val="00BE5D86"/>
    <w:rsid w:val="00BE6784"/>
    <w:rsid w:val="00BF3290"/>
    <w:rsid w:val="00BF3F2E"/>
    <w:rsid w:val="00C05358"/>
    <w:rsid w:val="00C0598D"/>
    <w:rsid w:val="00C05D2C"/>
    <w:rsid w:val="00C065B3"/>
    <w:rsid w:val="00C11956"/>
    <w:rsid w:val="00C16D0E"/>
    <w:rsid w:val="00C2170D"/>
    <w:rsid w:val="00C44D58"/>
    <w:rsid w:val="00C50EE3"/>
    <w:rsid w:val="00C5179D"/>
    <w:rsid w:val="00C5401B"/>
    <w:rsid w:val="00C55285"/>
    <w:rsid w:val="00C602E5"/>
    <w:rsid w:val="00C60568"/>
    <w:rsid w:val="00C60A57"/>
    <w:rsid w:val="00C60E01"/>
    <w:rsid w:val="00C665FF"/>
    <w:rsid w:val="00C748FD"/>
    <w:rsid w:val="00C77935"/>
    <w:rsid w:val="00C80A6A"/>
    <w:rsid w:val="00C817A7"/>
    <w:rsid w:val="00C847A1"/>
    <w:rsid w:val="00C9243A"/>
    <w:rsid w:val="00C948DA"/>
    <w:rsid w:val="00C95B64"/>
    <w:rsid w:val="00C9785C"/>
    <w:rsid w:val="00CC0F8E"/>
    <w:rsid w:val="00CC1E57"/>
    <w:rsid w:val="00CC52E5"/>
    <w:rsid w:val="00CC729A"/>
    <w:rsid w:val="00CD13B7"/>
    <w:rsid w:val="00CD55D0"/>
    <w:rsid w:val="00CD7661"/>
    <w:rsid w:val="00CE231A"/>
    <w:rsid w:val="00CE42D7"/>
    <w:rsid w:val="00CE7018"/>
    <w:rsid w:val="00D01AB3"/>
    <w:rsid w:val="00D101D9"/>
    <w:rsid w:val="00D12D4F"/>
    <w:rsid w:val="00D14869"/>
    <w:rsid w:val="00D14A9F"/>
    <w:rsid w:val="00D17B85"/>
    <w:rsid w:val="00D20684"/>
    <w:rsid w:val="00D2493D"/>
    <w:rsid w:val="00D26E23"/>
    <w:rsid w:val="00D271BE"/>
    <w:rsid w:val="00D31F4F"/>
    <w:rsid w:val="00D324FF"/>
    <w:rsid w:val="00D352EB"/>
    <w:rsid w:val="00D37C8F"/>
    <w:rsid w:val="00D4046E"/>
    <w:rsid w:val="00D41208"/>
    <w:rsid w:val="00D4362F"/>
    <w:rsid w:val="00D45757"/>
    <w:rsid w:val="00D51C33"/>
    <w:rsid w:val="00D56EF8"/>
    <w:rsid w:val="00D61AB8"/>
    <w:rsid w:val="00D62F8F"/>
    <w:rsid w:val="00D66848"/>
    <w:rsid w:val="00D71498"/>
    <w:rsid w:val="00D72F5B"/>
    <w:rsid w:val="00D75A57"/>
    <w:rsid w:val="00D8263A"/>
    <w:rsid w:val="00D82656"/>
    <w:rsid w:val="00D8744A"/>
    <w:rsid w:val="00D91539"/>
    <w:rsid w:val="00D94413"/>
    <w:rsid w:val="00D94897"/>
    <w:rsid w:val="00DA03BD"/>
    <w:rsid w:val="00DA0E8B"/>
    <w:rsid w:val="00DA4AFA"/>
    <w:rsid w:val="00DA74C5"/>
    <w:rsid w:val="00DA789F"/>
    <w:rsid w:val="00DB23E2"/>
    <w:rsid w:val="00DB4A3F"/>
    <w:rsid w:val="00DB79DE"/>
    <w:rsid w:val="00DC31CD"/>
    <w:rsid w:val="00DC3C11"/>
    <w:rsid w:val="00DC5BB2"/>
    <w:rsid w:val="00DD1059"/>
    <w:rsid w:val="00DD4739"/>
    <w:rsid w:val="00DD7186"/>
    <w:rsid w:val="00DE1556"/>
    <w:rsid w:val="00DE2F0D"/>
    <w:rsid w:val="00DE305E"/>
    <w:rsid w:val="00DE5F33"/>
    <w:rsid w:val="00DE7315"/>
    <w:rsid w:val="00DE7B55"/>
    <w:rsid w:val="00DF21EB"/>
    <w:rsid w:val="00DF3308"/>
    <w:rsid w:val="00E01B93"/>
    <w:rsid w:val="00E07B54"/>
    <w:rsid w:val="00E11F78"/>
    <w:rsid w:val="00E12A1E"/>
    <w:rsid w:val="00E13D2F"/>
    <w:rsid w:val="00E2361D"/>
    <w:rsid w:val="00E34A71"/>
    <w:rsid w:val="00E37D15"/>
    <w:rsid w:val="00E505E3"/>
    <w:rsid w:val="00E621E1"/>
    <w:rsid w:val="00E6590A"/>
    <w:rsid w:val="00E65CA7"/>
    <w:rsid w:val="00E709A0"/>
    <w:rsid w:val="00E711D8"/>
    <w:rsid w:val="00E720E3"/>
    <w:rsid w:val="00E721AD"/>
    <w:rsid w:val="00E72217"/>
    <w:rsid w:val="00E7249F"/>
    <w:rsid w:val="00E732A7"/>
    <w:rsid w:val="00E76757"/>
    <w:rsid w:val="00E82BBC"/>
    <w:rsid w:val="00E830B7"/>
    <w:rsid w:val="00E85967"/>
    <w:rsid w:val="00E92C91"/>
    <w:rsid w:val="00E948BB"/>
    <w:rsid w:val="00E9538E"/>
    <w:rsid w:val="00E9596F"/>
    <w:rsid w:val="00EA44BD"/>
    <w:rsid w:val="00EA481D"/>
    <w:rsid w:val="00EA4B85"/>
    <w:rsid w:val="00EB0B5C"/>
    <w:rsid w:val="00EB2E23"/>
    <w:rsid w:val="00EB3209"/>
    <w:rsid w:val="00EB5A0B"/>
    <w:rsid w:val="00EB5F07"/>
    <w:rsid w:val="00EC55B3"/>
    <w:rsid w:val="00EC729B"/>
    <w:rsid w:val="00EC75BA"/>
    <w:rsid w:val="00ED2809"/>
    <w:rsid w:val="00ED33E4"/>
    <w:rsid w:val="00ED58BD"/>
    <w:rsid w:val="00EE5D45"/>
    <w:rsid w:val="00EE6681"/>
    <w:rsid w:val="00EF2F37"/>
    <w:rsid w:val="00EF7F48"/>
    <w:rsid w:val="00F01115"/>
    <w:rsid w:val="00F02BEA"/>
    <w:rsid w:val="00F0616F"/>
    <w:rsid w:val="00F1270E"/>
    <w:rsid w:val="00F144A1"/>
    <w:rsid w:val="00F146D3"/>
    <w:rsid w:val="00F17EC1"/>
    <w:rsid w:val="00F221A7"/>
    <w:rsid w:val="00F3650E"/>
    <w:rsid w:val="00F366A9"/>
    <w:rsid w:val="00F4241B"/>
    <w:rsid w:val="00F43A43"/>
    <w:rsid w:val="00F44FE3"/>
    <w:rsid w:val="00F47FD8"/>
    <w:rsid w:val="00F502F7"/>
    <w:rsid w:val="00F52253"/>
    <w:rsid w:val="00F5228C"/>
    <w:rsid w:val="00F55959"/>
    <w:rsid w:val="00F57BAA"/>
    <w:rsid w:val="00F61462"/>
    <w:rsid w:val="00F62B74"/>
    <w:rsid w:val="00F63BA5"/>
    <w:rsid w:val="00F65379"/>
    <w:rsid w:val="00F76404"/>
    <w:rsid w:val="00F76C43"/>
    <w:rsid w:val="00F81911"/>
    <w:rsid w:val="00F85464"/>
    <w:rsid w:val="00F96FB2"/>
    <w:rsid w:val="00FA1C55"/>
    <w:rsid w:val="00FB286E"/>
    <w:rsid w:val="00FB51D8"/>
    <w:rsid w:val="00FB5CDE"/>
    <w:rsid w:val="00FB6768"/>
    <w:rsid w:val="00FB7512"/>
    <w:rsid w:val="00FC2B18"/>
    <w:rsid w:val="00FC46B5"/>
    <w:rsid w:val="00FC51AB"/>
    <w:rsid w:val="00FC6A16"/>
    <w:rsid w:val="00FD08E8"/>
    <w:rsid w:val="00FD5182"/>
    <w:rsid w:val="00FE1F6C"/>
    <w:rsid w:val="00FE36F9"/>
    <w:rsid w:val="00FE44D7"/>
    <w:rsid w:val="00FF12A0"/>
    <w:rsid w:val="00FF1BD7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8843B"/>
  <w15:chartTrackingRefBased/>
  <w15:docId w15:val="{BE4E86A9-343E-490E-8358-5FDA100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F05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33A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3A83"/>
  </w:style>
  <w:style w:type="character" w:styleId="FootnoteReference">
    <w:name w:val="footnote reference"/>
    <w:rsid w:val="00833A83"/>
    <w:rPr>
      <w:vertAlign w:val="superscript"/>
    </w:rPr>
  </w:style>
  <w:style w:type="character" w:styleId="FollowedHyperlink">
    <w:name w:val="FollowedHyperlink"/>
    <w:basedOn w:val="DefaultParagraphFont"/>
    <w:rsid w:val="000B6A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l.barnes@nrg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cot.com/files/docs/2026/04/13/11.1-Strategic-Discussion-on-Resource-Adequacy-and-the-Role-of-Demand-Response.pdf" TargetMode="External"/><Relationship Id="rId2" Type="http://schemas.openxmlformats.org/officeDocument/2006/relationships/hyperlink" Target="https://www.ercot.com/files/docs/2026/01/16/1296NPRR-14b-Joint-Sponsors-Comments-011626.pdf" TargetMode="External"/><Relationship Id="rId1" Type="http://schemas.openxmlformats.org/officeDocument/2006/relationships/hyperlink" Target="https://www.ercot.com/files/docs/2025/09/26/1296NPRR-06-Reliant-Comments-0926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1EE0-9174-4829-83BB-0B44CCB9A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952</Words>
  <Characters>5561</Characters>
  <Application>Microsoft Office Word</Application>
  <DocSecurity>0</DocSecurity>
  <Lines>158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2001-06-20T16:28:00Z</cp:lastPrinted>
  <dcterms:created xsi:type="dcterms:W3CDTF">2026-05-27T17:23:00Z</dcterms:created>
  <dcterms:modified xsi:type="dcterms:W3CDTF">2026-05-27T17:29:00Z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2026-05-27T17:23:20Z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f23f1361-1630-4b05-9ca7-a420a7c7104c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