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48A1CC" w14:textId="77777777" w:rsidR="00E7403D" w:rsidRDefault="00A2446E" w:rsidP="00E7403D">
            <w:pPr>
              <w:pStyle w:val="Header"/>
            </w:pPr>
            <w:r>
              <w:t>PGRR</w:t>
            </w:r>
          </w:p>
          <w:p w14:paraId="0F247702" w14:textId="6F9961C4" w:rsidR="00E7403D" w:rsidRPr="00C97799" w:rsidRDefault="007A4799" w:rsidP="00E7403D">
            <w:pPr>
              <w:pStyle w:val="Header"/>
            </w:pPr>
            <w:r w:rsidRPr="00C97799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4422AC40" w:rsidR="007A4799" w:rsidRPr="00C97799" w:rsidRDefault="00BD4258" w:rsidP="00C9779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BD4258">
                <w:rPr>
                  <w:rStyle w:val="Hyperlink"/>
                </w:rPr>
                <w:t>146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F23F0F" w14:textId="77777777" w:rsidR="00A2446E" w:rsidRDefault="00A2446E" w:rsidP="00707297">
            <w:pPr>
              <w:pStyle w:val="Header"/>
            </w:pPr>
            <w:r>
              <w:t>PGRR</w:t>
            </w:r>
          </w:p>
          <w:p w14:paraId="7591E854" w14:textId="34D67278" w:rsidR="007A4799" w:rsidRPr="00C97799" w:rsidRDefault="007A4799" w:rsidP="00707297">
            <w:pPr>
              <w:pStyle w:val="Header"/>
            </w:pPr>
            <w:r w:rsidRPr="00C97799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37A64CF4" w:rsidR="007A4799" w:rsidRPr="00C97799" w:rsidRDefault="00A2446E" w:rsidP="00707297">
            <w:pPr>
              <w:pStyle w:val="Header"/>
              <w:tabs>
                <w:tab w:val="clear" w:pos="4320"/>
                <w:tab w:val="clear" w:pos="8640"/>
              </w:tabs>
            </w:pPr>
            <w:r>
              <w:t>Rename Quarterly Stability Assessment and Modify the Assessment Schedule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01B95D82" w:rsidR="007A4799" w:rsidRPr="00C97799" w:rsidRDefault="00A2446E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BD4258">
              <w:rPr>
                <w:rFonts w:ascii="Arial" w:hAnsi="Arial" w:cs="Arial"/>
                <w:sz w:val="24"/>
                <w:szCs w:val="24"/>
              </w:rPr>
              <w:t>20</w:t>
            </w:r>
            <w:r w:rsidR="00544CAC">
              <w:rPr>
                <w:rFonts w:ascii="Arial" w:hAnsi="Arial" w:cs="Arial"/>
                <w:sz w:val="24"/>
                <w:szCs w:val="24"/>
              </w:rPr>
              <w:t>, 2026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6A3F93BB" w:rsidR="007A4799" w:rsidRPr="00C97799" w:rsidRDefault="00422F72" w:rsidP="00422F72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 xml:space="preserve">No project required.  This </w:t>
            </w:r>
            <w:r w:rsidR="00A2446E">
              <w:rPr>
                <w:rFonts w:cs="Arial"/>
              </w:rPr>
              <w:t>Planning Guide</w:t>
            </w:r>
            <w:r w:rsidRPr="00C97799">
              <w:rPr>
                <w:rFonts w:cs="Arial"/>
              </w:rPr>
              <w:t xml:space="preserve"> Revision Request (</w:t>
            </w:r>
            <w:r w:rsidR="00A2446E">
              <w:rPr>
                <w:rFonts w:cs="Arial"/>
              </w:rPr>
              <w:t>PG</w:t>
            </w:r>
            <w:r w:rsidRPr="00C97799">
              <w:rPr>
                <w:rFonts w:cs="Arial"/>
              </w:rPr>
              <w:t xml:space="preserve">RR) can take effect </w:t>
            </w:r>
            <w:r w:rsidR="00587ABB" w:rsidRPr="00C97799">
              <w:rPr>
                <w:rFonts w:cs="Arial"/>
              </w:rPr>
              <w:t>following</w:t>
            </w:r>
            <w:r w:rsidRPr="00C97799">
              <w:rPr>
                <w:rFonts w:cs="Arial"/>
              </w:rPr>
              <w:t xml:space="preserve"> Public Utility Commission of Texas (PUCT) approval.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99D3" w14:textId="77777777" w:rsidR="00354C22" w:rsidRDefault="00354C22" w:rsidP="007A4799">
      <w:pPr>
        <w:spacing w:after="0" w:line="240" w:lineRule="auto"/>
      </w:pPr>
      <w:r>
        <w:separator/>
      </w:r>
    </w:p>
  </w:endnote>
  <w:endnote w:type="continuationSeparator" w:id="0">
    <w:p w14:paraId="4E3A1A6E" w14:textId="77777777" w:rsidR="00354C22" w:rsidRDefault="00354C22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7EA27717" w:rsidR="004438A2" w:rsidRDefault="00BD4258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146</w:t>
    </w:r>
    <w:r w:rsidR="00870460">
      <w:rPr>
        <w:rFonts w:ascii="Arial" w:hAnsi="Arial"/>
        <w:sz w:val="18"/>
      </w:rPr>
      <w:t>PGRR-02 Impact Analysis</w:t>
    </w:r>
    <w:r w:rsidR="00E7403D">
      <w:rPr>
        <w:rFonts w:ascii="Arial" w:hAnsi="Arial"/>
        <w:sz w:val="18"/>
      </w:rPr>
      <w:t xml:space="preserve"> 05</w:t>
    </w:r>
    <w:r>
      <w:rPr>
        <w:rFonts w:ascii="Arial" w:hAnsi="Arial"/>
        <w:sz w:val="18"/>
      </w:rPr>
      <w:t>20</w:t>
    </w:r>
    <w:r w:rsidR="00E7403D">
      <w:rPr>
        <w:rFonts w:ascii="Arial" w:hAnsi="Arial"/>
        <w:sz w:val="18"/>
      </w:rPr>
      <w:t>26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4438A2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CBD6" w14:textId="77777777" w:rsidR="00354C22" w:rsidRDefault="00354C22" w:rsidP="007A4799">
      <w:pPr>
        <w:spacing w:after="0" w:line="240" w:lineRule="auto"/>
      </w:pPr>
      <w:r>
        <w:separator/>
      </w:r>
    </w:p>
  </w:footnote>
  <w:footnote w:type="continuationSeparator" w:id="0">
    <w:p w14:paraId="3CC393F1" w14:textId="77777777" w:rsidR="00354C22" w:rsidRDefault="00354C22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4438A2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F3858"/>
    <w:rsid w:val="00101C18"/>
    <w:rsid w:val="00350265"/>
    <w:rsid w:val="00354C22"/>
    <w:rsid w:val="00422F72"/>
    <w:rsid w:val="004438A2"/>
    <w:rsid w:val="00444E94"/>
    <w:rsid w:val="00544CAC"/>
    <w:rsid w:val="00551EA6"/>
    <w:rsid w:val="00587ABB"/>
    <w:rsid w:val="006B79D1"/>
    <w:rsid w:val="007A4799"/>
    <w:rsid w:val="0083799F"/>
    <w:rsid w:val="00861F82"/>
    <w:rsid w:val="00870460"/>
    <w:rsid w:val="009E1239"/>
    <w:rsid w:val="00A2446E"/>
    <w:rsid w:val="00B8045C"/>
    <w:rsid w:val="00B824BC"/>
    <w:rsid w:val="00BA2B92"/>
    <w:rsid w:val="00BD4258"/>
    <w:rsid w:val="00C5524C"/>
    <w:rsid w:val="00C97799"/>
    <w:rsid w:val="00E7403D"/>
    <w:rsid w:val="00F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42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PGRR1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739</Characters>
  <Application>Microsoft Office Word</Application>
  <DocSecurity>4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2</cp:revision>
  <dcterms:created xsi:type="dcterms:W3CDTF">2026-05-20T18:26:00Z</dcterms:created>
  <dcterms:modified xsi:type="dcterms:W3CDTF">2026-05-20T18:26:00Z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2026-04-17T15:02:19Z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4972498a-1693-4ba1-a074-c558f748f912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