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C10F7E" w14:paraId="3BAAD3F7" w14:textId="77777777">
        <w:tblPrEx>
          <w:tblCellMar>
            <w:top w:w="0" w:type="dxa"/>
            <w:bottom w:w="0" w:type="dxa"/>
          </w:tblCellMar>
        </w:tblPrEx>
        <w:tc>
          <w:tcPr>
            <w:tcW w:w="1620" w:type="dxa"/>
            <w:tcBorders>
              <w:bottom w:val="single" w:sz="4" w:space="0" w:color="auto"/>
            </w:tcBorders>
            <w:shd w:val="clear" w:color="auto" w:fill="FFFFFF"/>
            <w:vAlign w:val="center"/>
          </w:tcPr>
          <w:p w14:paraId="6990272F" w14:textId="77777777" w:rsidR="00C10F7E" w:rsidRDefault="00C10F7E" w:rsidP="00C10F7E">
            <w:pPr>
              <w:pStyle w:val="Header"/>
              <w:rPr>
                <w:rFonts w:ascii="Verdana" w:hAnsi="Verdana"/>
                <w:sz w:val="22"/>
              </w:rPr>
            </w:pPr>
            <w:r>
              <w:t>PGRR Number</w:t>
            </w:r>
          </w:p>
        </w:tc>
        <w:tc>
          <w:tcPr>
            <w:tcW w:w="1260" w:type="dxa"/>
            <w:tcBorders>
              <w:bottom w:val="single" w:sz="4" w:space="0" w:color="auto"/>
            </w:tcBorders>
            <w:vAlign w:val="center"/>
          </w:tcPr>
          <w:p w14:paraId="5A3C2AD0" w14:textId="77777777" w:rsidR="00C10F7E" w:rsidRDefault="00C10F7E" w:rsidP="00C10F7E">
            <w:pPr>
              <w:pStyle w:val="Header"/>
            </w:pPr>
            <w:hyperlink r:id="rId8" w:history="1">
              <w:r w:rsidRPr="00180821">
                <w:rPr>
                  <w:rStyle w:val="Hyperlink"/>
                </w:rPr>
                <w:t>145</w:t>
              </w:r>
            </w:hyperlink>
          </w:p>
        </w:tc>
        <w:tc>
          <w:tcPr>
            <w:tcW w:w="1440" w:type="dxa"/>
            <w:tcBorders>
              <w:bottom w:val="single" w:sz="4" w:space="0" w:color="auto"/>
            </w:tcBorders>
            <w:shd w:val="clear" w:color="auto" w:fill="FFFFFF"/>
            <w:vAlign w:val="center"/>
          </w:tcPr>
          <w:p w14:paraId="51434740" w14:textId="77777777" w:rsidR="00C10F7E" w:rsidRDefault="00C10F7E" w:rsidP="00C10F7E">
            <w:pPr>
              <w:pStyle w:val="Header"/>
            </w:pPr>
            <w:r>
              <w:t>PGRR Title</w:t>
            </w:r>
          </w:p>
        </w:tc>
        <w:tc>
          <w:tcPr>
            <w:tcW w:w="6120" w:type="dxa"/>
            <w:tcBorders>
              <w:bottom w:val="single" w:sz="4" w:space="0" w:color="auto"/>
            </w:tcBorders>
            <w:vAlign w:val="center"/>
          </w:tcPr>
          <w:p w14:paraId="1D114C5A" w14:textId="77777777" w:rsidR="00C10F7E" w:rsidRDefault="00C10F7E" w:rsidP="00C10F7E">
            <w:pPr>
              <w:pStyle w:val="Header"/>
            </w:pPr>
            <w:r w:rsidRPr="000051C6">
              <w:t>Batch Zero</w:t>
            </w:r>
            <w:r>
              <w:t xml:space="preserve"> Process for Large Load Interconnections</w:t>
            </w:r>
          </w:p>
        </w:tc>
      </w:tr>
    </w:tbl>
    <w:p w14:paraId="23927835"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7BC230FE" w14:textId="77777777">
        <w:tblPrEx>
          <w:tblCellMar>
            <w:top w:w="0" w:type="dxa"/>
            <w:bottom w:w="0" w:type="dxa"/>
          </w:tblCellMar>
        </w:tblPrEx>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451A5C0D"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1F4A2D8D" w14:textId="77777777" w:rsidR="00152993" w:rsidRDefault="00C10F7E">
            <w:pPr>
              <w:pStyle w:val="NormalArial"/>
            </w:pPr>
            <w:r>
              <w:t>May 18, 2026</w:t>
            </w:r>
          </w:p>
        </w:tc>
      </w:tr>
    </w:tbl>
    <w:p w14:paraId="63DE7802"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145880C3" w14:textId="77777777">
        <w:tblPrEx>
          <w:tblCellMar>
            <w:top w:w="0" w:type="dxa"/>
            <w:bottom w:w="0" w:type="dxa"/>
          </w:tblCellMar>
        </w:tblPrEx>
        <w:trPr>
          <w:trHeight w:val="440"/>
        </w:trPr>
        <w:tc>
          <w:tcPr>
            <w:tcW w:w="10440" w:type="dxa"/>
            <w:gridSpan w:val="2"/>
            <w:tcBorders>
              <w:top w:val="single" w:sz="4" w:space="0" w:color="auto"/>
            </w:tcBorders>
            <w:shd w:val="clear" w:color="auto" w:fill="FFFFFF"/>
            <w:vAlign w:val="center"/>
          </w:tcPr>
          <w:p w14:paraId="68AEC8C1" w14:textId="77777777" w:rsidR="00152993" w:rsidRDefault="00152993">
            <w:pPr>
              <w:pStyle w:val="Header"/>
              <w:jc w:val="center"/>
            </w:pPr>
            <w:r>
              <w:t>Submitter’s Information</w:t>
            </w:r>
          </w:p>
        </w:tc>
      </w:tr>
      <w:tr w:rsidR="00152993" w14:paraId="1DBCA443" w14:textId="77777777">
        <w:tblPrEx>
          <w:tblCellMar>
            <w:top w:w="0" w:type="dxa"/>
            <w:bottom w:w="0" w:type="dxa"/>
          </w:tblCellMar>
        </w:tblPrEx>
        <w:trPr>
          <w:trHeight w:val="350"/>
        </w:trPr>
        <w:tc>
          <w:tcPr>
            <w:tcW w:w="2880" w:type="dxa"/>
            <w:shd w:val="clear" w:color="auto" w:fill="FFFFFF"/>
            <w:vAlign w:val="center"/>
          </w:tcPr>
          <w:p w14:paraId="22507ADB" w14:textId="77777777" w:rsidR="00152993" w:rsidRPr="00EC55B3" w:rsidRDefault="00152993" w:rsidP="00EC55B3">
            <w:pPr>
              <w:pStyle w:val="Header"/>
            </w:pPr>
            <w:r w:rsidRPr="00EC55B3">
              <w:t>Name</w:t>
            </w:r>
          </w:p>
        </w:tc>
        <w:tc>
          <w:tcPr>
            <w:tcW w:w="7560" w:type="dxa"/>
            <w:vAlign w:val="center"/>
          </w:tcPr>
          <w:p w14:paraId="0485D803" w14:textId="77777777" w:rsidR="00152993" w:rsidRDefault="00E011FC">
            <w:pPr>
              <w:pStyle w:val="NormalArial"/>
            </w:pPr>
            <w:r>
              <w:t>Mark Gipson</w:t>
            </w:r>
          </w:p>
        </w:tc>
      </w:tr>
      <w:tr w:rsidR="00152993" w14:paraId="3EE86BD8" w14:textId="77777777">
        <w:tblPrEx>
          <w:tblCellMar>
            <w:top w:w="0" w:type="dxa"/>
            <w:bottom w:w="0" w:type="dxa"/>
          </w:tblCellMar>
        </w:tblPrEx>
        <w:trPr>
          <w:trHeight w:val="350"/>
        </w:trPr>
        <w:tc>
          <w:tcPr>
            <w:tcW w:w="2880" w:type="dxa"/>
            <w:shd w:val="clear" w:color="auto" w:fill="FFFFFF"/>
            <w:vAlign w:val="center"/>
          </w:tcPr>
          <w:p w14:paraId="68F66884" w14:textId="77777777" w:rsidR="00152993" w:rsidRPr="00EC55B3" w:rsidRDefault="00152993" w:rsidP="00EC55B3">
            <w:pPr>
              <w:pStyle w:val="Header"/>
            </w:pPr>
            <w:r w:rsidRPr="00EC55B3">
              <w:t>E-mail Address</w:t>
            </w:r>
          </w:p>
        </w:tc>
        <w:tc>
          <w:tcPr>
            <w:tcW w:w="7560" w:type="dxa"/>
            <w:vAlign w:val="center"/>
          </w:tcPr>
          <w:p w14:paraId="50148969" w14:textId="77777777" w:rsidR="00152993" w:rsidRDefault="00E011FC">
            <w:pPr>
              <w:pStyle w:val="NormalArial"/>
            </w:pPr>
            <w:hyperlink r:id="rId9" w:history="1">
              <w:r w:rsidRPr="00E011FC">
                <w:rPr>
                  <w:rStyle w:val="Hyperlink"/>
                </w:rPr>
                <w:t>MarkGipson@bkvcorp.com</w:t>
              </w:r>
            </w:hyperlink>
          </w:p>
        </w:tc>
      </w:tr>
      <w:tr w:rsidR="00152993" w14:paraId="4B92604B" w14:textId="77777777">
        <w:tblPrEx>
          <w:tblCellMar>
            <w:top w:w="0" w:type="dxa"/>
            <w:bottom w:w="0" w:type="dxa"/>
          </w:tblCellMar>
        </w:tblPrEx>
        <w:trPr>
          <w:trHeight w:val="350"/>
        </w:trPr>
        <w:tc>
          <w:tcPr>
            <w:tcW w:w="2880" w:type="dxa"/>
            <w:shd w:val="clear" w:color="auto" w:fill="FFFFFF"/>
            <w:vAlign w:val="center"/>
          </w:tcPr>
          <w:p w14:paraId="757E0A1E" w14:textId="77777777" w:rsidR="00152993" w:rsidRPr="00EC55B3" w:rsidRDefault="00152993" w:rsidP="00EC55B3">
            <w:pPr>
              <w:pStyle w:val="Header"/>
            </w:pPr>
            <w:r w:rsidRPr="00EC55B3">
              <w:t>Company</w:t>
            </w:r>
          </w:p>
        </w:tc>
        <w:tc>
          <w:tcPr>
            <w:tcW w:w="7560" w:type="dxa"/>
            <w:vAlign w:val="center"/>
          </w:tcPr>
          <w:p w14:paraId="7F571A21" w14:textId="77777777" w:rsidR="00152993" w:rsidRDefault="00C10F7E">
            <w:pPr>
              <w:pStyle w:val="NormalArial"/>
            </w:pPr>
            <w:r>
              <w:t>BKV Corporation</w:t>
            </w:r>
          </w:p>
        </w:tc>
      </w:tr>
      <w:tr w:rsidR="00152993" w14:paraId="517897E7" w14:textId="77777777">
        <w:tblPrEx>
          <w:tblCellMar>
            <w:top w:w="0" w:type="dxa"/>
            <w:bottom w:w="0" w:type="dxa"/>
          </w:tblCellMar>
        </w:tblPrEx>
        <w:trPr>
          <w:trHeight w:val="350"/>
        </w:trPr>
        <w:tc>
          <w:tcPr>
            <w:tcW w:w="2880" w:type="dxa"/>
            <w:tcBorders>
              <w:bottom w:val="single" w:sz="4" w:space="0" w:color="auto"/>
            </w:tcBorders>
            <w:shd w:val="clear" w:color="auto" w:fill="FFFFFF"/>
            <w:vAlign w:val="center"/>
          </w:tcPr>
          <w:p w14:paraId="49850446" w14:textId="77777777" w:rsidR="00152993" w:rsidRPr="00EC55B3" w:rsidRDefault="00152993" w:rsidP="00EC55B3">
            <w:pPr>
              <w:pStyle w:val="Header"/>
            </w:pPr>
            <w:r w:rsidRPr="00EC55B3">
              <w:t>Phone Number</w:t>
            </w:r>
          </w:p>
        </w:tc>
        <w:tc>
          <w:tcPr>
            <w:tcW w:w="7560" w:type="dxa"/>
            <w:tcBorders>
              <w:bottom w:val="single" w:sz="4" w:space="0" w:color="auto"/>
            </w:tcBorders>
            <w:vAlign w:val="center"/>
          </w:tcPr>
          <w:p w14:paraId="0F01C1E8" w14:textId="77777777" w:rsidR="00152993" w:rsidRDefault="00E011FC">
            <w:pPr>
              <w:pStyle w:val="NormalArial"/>
            </w:pPr>
            <w:r>
              <w:t>817-897-2098</w:t>
            </w:r>
          </w:p>
        </w:tc>
      </w:tr>
      <w:tr w:rsidR="00152993" w14:paraId="602ADBE7" w14:textId="77777777">
        <w:tblPrEx>
          <w:tblCellMar>
            <w:top w:w="0" w:type="dxa"/>
            <w:bottom w:w="0" w:type="dxa"/>
          </w:tblCellMar>
        </w:tblPrEx>
        <w:trPr>
          <w:trHeight w:val="350"/>
        </w:trPr>
        <w:tc>
          <w:tcPr>
            <w:tcW w:w="2880" w:type="dxa"/>
            <w:shd w:val="clear" w:color="auto" w:fill="FFFFFF"/>
            <w:vAlign w:val="center"/>
          </w:tcPr>
          <w:p w14:paraId="1A6862B8" w14:textId="77777777" w:rsidR="00152993" w:rsidRPr="00EC55B3" w:rsidRDefault="00075A94" w:rsidP="00EC55B3">
            <w:pPr>
              <w:pStyle w:val="Header"/>
            </w:pPr>
            <w:r>
              <w:t>Cell</w:t>
            </w:r>
            <w:r w:rsidRPr="00EC55B3">
              <w:t xml:space="preserve"> </w:t>
            </w:r>
            <w:r w:rsidR="00152993" w:rsidRPr="00EC55B3">
              <w:t>Number</w:t>
            </w:r>
          </w:p>
        </w:tc>
        <w:tc>
          <w:tcPr>
            <w:tcW w:w="7560" w:type="dxa"/>
            <w:vAlign w:val="center"/>
          </w:tcPr>
          <w:p w14:paraId="319FF29A" w14:textId="77777777" w:rsidR="00152993" w:rsidRDefault="00152993">
            <w:pPr>
              <w:pStyle w:val="NormalArial"/>
            </w:pPr>
          </w:p>
        </w:tc>
      </w:tr>
      <w:tr w:rsidR="00075A94" w14:paraId="2BA8B5AE" w14:textId="77777777">
        <w:tblPrEx>
          <w:tblCellMar>
            <w:top w:w="0" w:type="dxa"/>
            <w:bottom w:w="0" w:type="dxa"/>
          </w:tblCellMar>
        </w:tblPrEx>
        <w:trPr>
          <w:trHeight w:val="350"/>
        </w:trPr>
        <w:tc>
          <w:tcPr>
            <w:tcW w:w="2880" w:type="dxa"/>
            <w:tcBorders>
              <w:bottom w:val="single" w:sz="4" w:space="0" w:color="auto"/>
            </w:tcBorders>
            <w:shd w:val="clear" w:color="auto" w:fill="FFFFFF"/>
            <w:vAlign w:val="center"/>
          </w:tcPr>
          <w:p w14:paraId="67432494" w14:textId="77777777" w:rsidR="00075A94" w:rsidRPr="00EC55B3" w:rsidDel="00075A94" w:rsidRDefault="00075A94" w:rsidP="00EC55B3">
            <w:pPr>
              <w:pStyle w:val="Header"/>
            </w:pPr>
            <w:r>
              <w:t>Market Segment</w:t>
            </w:r>
          </w:p>
        </w:tc>
        <w:tc>
          <w:tcPr>
            <w:tcW w:w="7560" w:type="dxa"/>
            <w:tcBorders>
              <w:bottom w:val="single" w:sz="4" w:space="0" w:color="auto"/>
            </w:tcBorders>
            <w:vAlign w:val="center"/>
          </w:tcPr>
          <w:p w14:paraId="15DF1EAE" w14:textId="77777777" w:rsidR="00075A94" w:rsidRDefault="002266CF">
            <w:pPr>
              <w:pStyle w:val="NormalArial"/>
            </w:pPr>
            <w:r>
              <w:t>Independent Generator</w:t>
            </w:r>
          </w:p>
        </w:tc>
      </w:tr>
    </w:tbl>
    <w:p w14:paraId="024E9E18" w14:textId="77777777" w:rsidR="00152993" w:rsidRDefault="00152993">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F038EC" w14:paraId="1837B360" w14:textId="77777777" w:rsidTr="00F038EC">
        <w:trPr>
          <w:trHeight w:val="422"/>
          <w:jc w:val="center"/>
        </w:trPr>
        <w:tc>
          <w:tcPr>
            <w:tcW w:w="10440" w:type="dxa"/>
            <w:vAlign w:val="center"/>
          </w:tcPr>
          <w:p w14:paraId="1D13B5F2" w14:textId="77777777" w:rsidR="00075A94" w:rsidRPr="00075A94" w:rsidRDefault="00075A94" w:rsidP="00F038EC">
            <w:pPr>
              <w:pStyle w:val="Header"/>
              <w:jc w:val="center"/>
            </w:pPr>
            <w:r w:rsidRPr="00075A94">
              <w:t>Comments</w:t>
            </w:r>
          </w:p>
        </w:tc>
      </w:tr>
    </w:tbl>
    <w:p w14:paraId="2BE925AB" w14:textId="77777777" w:rsidR="00152993" w:rsidRPr="00C70464" w:rsidRDefault="00DB2D0F" w:rsidP="00587E52">
      <w:pPr>
        <w:pStyle w:val="NormalArial"/>
        <w:spacing w:before="120" w:after="120"/>
        <w:jc w:val="center"/>
        <w:rPr>
          <w:rFonts w:cs="Arial"/>
          <w:b/>
          <w:bCs/>
        </w:rPr>
      </w:pPr>
      <w:r w:rsidRPr="00202487">
        <w:rPr>
          <w:rFonts w:cs="Arial"/>
          <w:b/>
          <w:bCs/>
        </w:rPr>
        <w:t xml:space="preserve">I. </w:t>
      </w:r>
      <w:r>
        <w:rPr>
          <w:rFonts w:cs="Arial"/>
          <w:b/>
          <w:bCs/>
        </w:rPr>
        <w:tab/>
      </w:r>
      <w:r w:rsidRPr="00202487">
        <w:rPr>
          <w:rFonts w:cs="Arial"/>
          <w:b/>
          <w:bCs/>
        </w:rPr>
        <w:t>Introduction</w:t>
      </w:r>
    </w:p>
    <w:p w14:paraId="2A56E903" w14:textId="77777777" w:rsidR="00202487" w:rsidRPr="00202487" w:rsidRDefault="001F3CA0" w:rsidP="00587E52">
      <w:pPr>
        <w:pStyle w:val="NormalArial"/>
        <w:spacing w:before="120" w:after="120"/>
        <w:jc w:val="both"/>
        <w:rPr>
          <w:rFonts w:cs="Arial"/>
        </w:rPr>
      </w:pPr>
      <w:r w:rsidRPr="001F3CA0">
        <w:rPr>
          <w:rFonts w:cs="Arial"/>
        </w:rPr>
        <w:t xml:space="preserve">BKV </w:t>
      </w:r>
      <w:r>
        <w:rPr>
          <w:rFonts w:cs="Arial"/>
        </w:rPr>
        <w:t xml:space="preserve">Corporation (BKV) </w:t>
      </w:r>
      <w:r w:rsidR="00202487" w:rsidRPr="00202487">
        <w:rPr>
          <w:rFonts w:cs="Arial"/>
        </w:rPr>
        <w:t>appreciates ERCOT’s continued work to refine the Batch Zero Process for Large Load Interconnections under Planning Guide Revision Request (PGRR) 145. These comments address a discrete statutory-alignment issue for a narrow class of net</w:t>
      </w:r>
      <w:r w:rsidR="00202487">
        <w:rPr>
          <w:rFonts w:cs="Arial"/>
        </w:rPr>
        <w:t>-</w:t>
      </w:r>
      <w:r w:rsidR="00202487" w:rsidRPr="00202487">
        <w:rPr>
          <w:rFonts w:cs="Arial"/>
        </w:rPr>
        <w:t>metering arrangements under Public Utility Regulatory Act (PURA) § 39.169</w:t>
      </w:r>
      <w:r w:rsidR="00504587">
        <w:rPr>
          <w:rFonts w:cs="Arial"/>
        </w:rPr>
        <w:t xml:space="preserve"> (</w:t>
      </w:r>
      <w:r w:rsidR="00504587" w:rsidRPr="00202487">
        <w:rPr>
          <w:rFonts w:cs="Arial"/>
        </w:rPr>
        <w:t>39.169 NMAs</w:t>
      </w:r>
      <w:r w:rsidR="00504587">
        <w:rPr>
          <w:rFonts w:cs="Arial"/>
        </w:rPr>
        <w:t>)</w:t>
      </w:r>
      <w:r w:rsidR="00202487" w:rsidRPr="00202487">
        <w:rPr>
          <w:rFonts w:cs="Arial"/>
        </w:rPr>
        <w:t>.</w:t>
      </w:r>
    </w:p>
    <w:p w14:paraId="6335F466" w14:textId="77777777" w:rsidR="00DB2D0F" w:rsidRPr="00202487" w:rsidRDefault="00DB2D0F" w:rsidP="00587E52">
      <w:pPr>
        <w:pStyle w:val="NormalArial"/>
        <w:spacing w:before="120" w:after="120"/>
        <w:jc w:val="both"/>
        <w:rPr>
          <w:rFonts w:cs="Arial"/>
        </w:rPr>
      </w:pPr>
      <w:r w:rsidRPr="00202487">
        <w:rPr>
          <w:rFonts w:cs="Arial"/>
        </w:rPr>
        <w:t xml:space="preserve">ERCOT’s May 11 and May 15, </w:t>
      </w:r>
      <w:proofErr w:type="gramStart"/>
      <w:r w:rsidRPr="00202487">
        <w:rPr>
          <w:rFonts w:cs="Arial"/>
        </w:rPr>
        <w:t>2026</w:t>
      </w:r>
      <w:proofErr w:type="gramEnd"/>
      <w:r w:rsidRPr="00202487">
        <w:rPr>
          <w:rFonts w:cs="Arial"/>
        </w:rPr>
        <w:t xml:space="preserve"> </w:t>
      </w:r>
      <w:r>
        <w:rPr>
          <w:rFonts w:cs="Arial"/>
        </w:rPr>
        <w:t xml:space="preserve">PGRR145 </w:t>
      </w:r>
      <w:r w:rsidRPr="00202487">
        <w:rPr>
          <w:rFonts w:cs="Arial"/>
        </w:rPr>
        <w:t xml:space="preserve">drafts generally move short-circuit work into the </w:t>
      </w:r>
      <w:r>
        <w:rPr>
          <w:rFonts w:cs="Arial"/>
        </w:rPr>
        <w:t>refinement</w:t>
      </w:r>
      <w:r w:rsidRPr="00202487">
        <w:rPr>
          <w:rFonts w:cs="Arial"/>
        </w:rPr>
        <w:t xml:space="preserve"> period and close the legacy LLIS path except for a narrow grandfathering category for </w:t>
      </w:r>
      <w:r>
        <w:rPr>
          <w:rFonts w:cs="Arial"/>
        </w:rPr>
        <w:t xml:space="preserve">five </w:t>
      </w:r>
      <w:r w:rsidRPr="00202487">
        <w:rPr>
          <w:rFonts w:cs="Arial"/>
        </w:rPr>
        <w:t xml:space="preserve">39.169 NMAs </w:t>
      </w:r>
      <w:r>
        <w:rPr>
          <w:rFonts w:cs="Arial"/>
        </w:rPr>
        <w:t xml:space="preserve">that </w:t>
      </w:r>
      <w:r w:rsidRPr="00202487">
        <w:rPr>
          <w:rFonts w:cs="Arial"/>
        </w:rPr>
        <w:t xml:space="preserve">filed with the Commission by March 4, 2026. Without inclusion in Batch Zero </w:t>
      </w:r>
      <w:r>
        <w:rPr>
          <w:rFonts w:cs="Arial"/>
        </w:rPr>
        <w:t>under the studied and allocated pathway</w:t>
      </w:r>
      <w:r w:rsidRPr="00202487">
        <w:rPr>
          <w:rFonts w:cs="Arial"/>
        </w:rPr>
        <w:t>, known 2028</w:t>
      </w:r>
      <w:r>
        <w:rPr>
          <w:rFonts w:cs="Arial"/>
        </w:rPr>
        <w:t xml:space="preserve"> </w:t>
      </w:r>
      <w:r w:rsidRPr="00202487">
        <w:rPr>
          <w:rFonts w:cs="Arial"/>
        </w:rPr>
        <w:t>39.169 NMA</w:t>
      </w:r>
      <w:r>
        <w:rPr>
          <w:rFonts w:cs="Arial"/>
        </w:rPr>
        <w:t>s</w:t>
      </w:r>
      <w:r w:rsidRPr="00202487">
        <w:rPr>
          <w:rFonts w:cs="Arial"/>
        </w:rPr>
        <w:t xml:space="preserve"> that are not grandfathered and not Base Load may be forced into Batch 1 and risk slipping to 2029 or later. That result would create a practical timing conflict with PURA § 39.169(d), which ties ERCOT’s system-impact study obligation to ERCOT’s receipt of required information regarding the arrangement, not to completion of a later Batch cycle.</w:t>
      </w:r>
    </w:p>
    <w:p w14:paraId="27EDE4DE" w14:textId="77777777" w:rsidR="00DA384D" w:rsidRDefault="000A7C66" w:rsidP="00587E52">
      <w:pPr>
        <w:pStyle w:val="NormalArial"/>
        <w:spacing w:before="120" w:after="120"/>
        <w:jc w:val="both"/>
        <w:rPr>
          <w:rFonts w:cs="Arial"/>
        </w:rPr>
      </w:pPr>
      <w:r>
        <w:rPr>
          <w:rFonts w:cs="Arial"/>
        </w:rPr>
        <w:t>BKV</w:t>
      </w:r>
      <w:r w:rsidR="00202487" w:rsidRPr="00202487">
        <w:rPr>
          <w:rFonts w:cs="Arial"/>
        </w:rPr>
        <w:t xml:space="preserve"> supports </w:t>
      </w:r>
      <w:r w:rsidR="002266CF">
        <w:rPr>
          <w:rFonts w:cs="Arial"/>
        </w:rPr>
        <w:t>the</w:t>
      </w:r>
      <w:r w:rsidR="00202487" w:rsidRPr="00202487">
        <w:rPr>
          <w:rFonts w:cs="Arial"/>
        </w:rPr>
        <w:t xml:space="preserve"> targeted </w:t>
      </w:r>
      <w:r w:rsidR="00B019E7">
        <w:rPr>
          <w:rFonts w:cs="Arial"/>
        </w:rPr>
        <w:t>refinement</w:t>
      </w:r>
      <w:r w:rsidR="00202487" w:rsidRPr="00202487">
        <w:rPr>
          <w:rFonts w:cs="Arial"/>
        </w:rPr>
        <w:t xml:space="preserve">s </w:t>
      </w:r>
      <w:r w:rsidR="002266CF">
        <w:rPr>
          <w:rFonts w:cs="Arial"/>
        </w:rPr>
        <w:t xml:space="preserve">proposed by </w:t>
      </w:r>
      <w:r w:rsidR="002266CF" w:rsidRPr="00A4176C">
        <w:t xml:space="preserve">Vistra Operations Company LLC (Vistra) </w:t>
      </w:r>
      <w:r w:rsidR="00202487" w:rsidRPr="00202487">
        <w:rPr>
          <w:rFonts w:cs="Arial"/>
        </w:rPr>
        <w:t xml:space="preserve">in its May 12, 2026 </w:t>
      </w:r>
      <w:hyperlink r:id="rId10" w:history="1">
        <w:r w:rsidR="00202487" w:rsidRPr="00202487">
          <w:rPr>
            <w:rStyle w:val="Hyperlink"/>
            <w:rFonts w:cs="Arial"/>
          </w:rPr>
          <w:t>comments</w:t>
        </w:r>
      </w:hyperlink>
      <w:r w:rsidR="00202487" w:rsidRPr="00202487">
        <w:rPr>
          <w:rFonts w:cs="Arial"/>
        </w:rPr>
        <w:t xml:space="preserve"> </w:t>
      </w:r>
      <w:r w:rsidR="00504587">
        <w:rPr>
          <w:rFonts w:cs="Arial"/>
        </w:rPr>
        <w:t xml:space="preserve">and May 17, 2026 </w:t>
      </w:r>
      <w:hyperlink r:id="rId11" w:history="1">
        <w:r w:rsidR="00504587" w:rsidRPr="0024251B">
          <w:rPr>
            <w:rStyle w:val="Hyperlink"/>
            <w:rFonts w:cs="Arial"/>
          </w:rPr>
          <w:t>comments</w:t>
        </w:r>
      </w:hyperlink>
      <w:r w:rsidR="00504587">
        <w:rPr>
          <w:rFonts w:cs="Arial"/>
        </w:rPr>
        <w:t xml:space="preserve"> </w:t>
      </w:r>
      <w:r w:rsidR="00202487" w:rsidRPr="00202487">
        <w:rPr>
          <w:rFonts w:cs="Arial"/>
        </w:rPr>
        <w:t xml:space="preserve">regarding treatment of 39.169 NMAs in Batch Zero. Specifically, </w:t>
      </w:r>
      <w:r>
        <w:rPr>
          <w:rFonts w:cs="Arial"/>
        </w:rPr>
        <w:t>BKV</w:t>
      </w:r>
      <w:r w:rsidR="00202487" w:rsidRPr="00202487">
        <w:rPr>
          <w:rFonts w:cs="Arial"/>
        </w:rPr>
        <w:t xml:space="preserve"> supports Vistra’s recommendation that known 39.169 NMAs with an assigned Large Load Interconnection number (</w:t>
      </w:r>
      <w:proofErr w:type="gramStart"/>
      <w:r w:rsidR="00202487" w:rsidRPr="00202487">
        <w:rPr>
          <w:rFonts w:cs="Arial"/>
        </w:rPr>
        <w:t>LLI#)</w:t>
      </w:r>
      <w:proofErr w:type="gramEnd"/>
      <w:r w:rsidR="00202487" w:rsidRPr="00202487">
        <w:rPr>
          <w:rFonts w:cs="Arial"/>
        </w:rPr>
        <w:t xml:space="preserve">, an initial energization date between January 1, </w:t>
      </w:r>
      <w:proofErr w:type="gramStart"/>
      <w:r w:rsidR="00202487" w:rsidRPr="00202487">
        <w:rPr>
          <w:rFonts w:cs="Arial"/>
        </w:rPr>
        <w:t>2028</w:t>
      </w:r>
      <w:proofErr w:type="gramEnd"/>
      <w:r w:rsidR="00202487" w:rsidRPr="00202487">
        <w:rPr>
          <w:rFonts w:cs="Arial"/>
        </w:rPr>
        <w:t xml:space="preserve"> and December 31, 2028, and no existing Base Load classification be included in Batch Zero as load subject to reliability assessment and allocation under proposed Planning Guide § 9.2.1.2. This approach appropriately reconciles ERCOT’s transition to a Batch framework with the statutory timing requirements in PURA § 39.169(d), the Commission’s rule in 16 TAC </w:t>
      </w:r>
      <w:r w:rsidR="00504587" w:rsidRPr="00202487">
        <w:rPr>
          <w:rFonts w:cs="Arial"/>
        </w:rPr>
        <w:t>§</w:t>
      </w:r>
      <w:r w:rsidR="00504587">
        <w:rPr>
          <w:rFonts w:cs="Arial"/>
        </w:rPr>
        <w:t> </w:t>
      </w:r>
      <w:r w:rsidR="00202487" w:rsidRPr="00202487">
        <w:rPr>
          <w:rFonts w:cs="Arial"/>
        </w:rPr>
        <w:t xml:space="preserve">25.205, and </w:t>
      </w:r>
      <w:r w:rsidR="00DA384D" w:rsidRPr="00DA384D">
        <w:rPr>
          <w:rFonts w:cs="Arial"/>
        </w:rPr>
        <w:t xml:space="preserve">ERCOT’s proposed framework for evaluating Batch Zero-eligible </w:t>
      </w:r>
      <w:r w:rsidR="00E02E73">
        <w:rPr>
          <w:rFonts w:cs="Arial"/>
        </w:rPr>
        <w:t>large load</w:t>
      </w:r>
      <w:r w:rsidR="00DA384D" w:rsidRPr="00DA384D">
        <w:rPr>
          <w:rFonts w:cs="Arial"/>
        </w:rPr>
        <w:t xml:space="preserve"> additions with initial energization beginning in 2028</w:t>
      </w:r>
      <w:r w:rsidR="00DA384D">
        <w:rPr>
          <w:rFonts w:cs="Arial"/>
        </w:rPr>
        <w:t>.</w:t>
      </w:r>
    </w:p>
    <w:p w14:paraId="6C71DD21" w14:textId="77777777" w:rsidR="00C70464" w:rsidRDefault="000A7C66" w:rsidP="00587E52">
      <w:pPr>
        <w:pStyle w:val="NormalArial"/>
        <w:spacing w:before="120" w:after="120"/>
        <w:jc w:val="both"/>
        <w:rPr>
          <w:rFonts w:cs="Arial"/>
        </w:rPr>
      </w:pPr>
      <w:r>
        <w:rPr>
          <w:rFonts w:cs="Arial"/>
        </w:rPr>
        <w:lastRenderedPageBreak/>
        <w:t>BKV</w:t>
      </w:r>
      <w:r w:rsidR="00202487" w:rsidRPr="00202487">
        <w:rPr>
          <w:rFonts w:cs="Arial"/>
        </w:rPr>
        <w:t xml:space="preserve"> is not proposing separate redlines in these comments. Rather, </w:t>
      </w:r>
      <w:r>
        <w:rPr>
          <w:rFonts w:cs="Arial"/>
        </w:rPr>
        <w:t>BKV</w:t>
      </w:r>
      <w:r w:rsidR="00202487" w:rsidRPr="00202487">
        <w:rPr>
          <w:rFonts w:cs="Arial"/>
        </w:rPr>
        <w:t xml:space="preserve"> </w:t>
      </w:r>
      <w:r w:rsidR="002266CF">
        <w:rPr>
          <w:rFonts w:cs="Arial"/>
        </w:rPr>
        <w:t>encourages ERCOT to adopt</w:t>
      </w:r>
      <w:r w:rsidR="00202487" w:rsidRPr="00202487">
        <w:rPr>
          <w:rFonts w:cs="Arial"/>
        </w:rPr>
        <w:t xml:space="preserve"> Vistra’s </w:t>
      </w:r>
      <w:r w:rsidR="002266CF">
        <w:rPr>
          <w:rFonts w:cs="Arial"/>
        </w:rPr>
        <w:t>proposed</w:t>
      </w:r>
      <w:r w:rsidR="00202487" w:rsidRPr="00202487">
        <w:rPr>
          <w:rFonts w:cs="Arial"/>
        </w:rPr>
        <w:t xml:space="preserve"> </w:t>
      </w:r>
      <w:r w:rsidR="00B019E7">
        <w:rPr>
          <w:rFonts w:cs="Arial"/>
        </w:rPr>
        <w:t>refinement</w:t>
      </w:r>
      <w:r w:rsidR="00202487" w:rsidRPr="00202487">
        <w:rPr>
          <w:rFonts w:cs="Arial"/>
        </w:rPr>
        <w:t>s as a narrow, administrable solution to a timing mismatch that could otherwise strand mature, non-speculative</w:t>
      </w:r>
      <w:r w:rsidR="008D248A">
        <w:rPr>
          <w:rFonts w:cs="Arial"/>
        </w:rPr>
        <w:t xml:space="preserve"> </w:t>
      </w:r>
      <w:r w:rsidR="00202487" w:rsidRPr="00202487">
        <w:rPr>
          <w:rFonts w:cs="Arial"/>
        </w:rPr>
        <w:t>39.169 NMA projects during the transition from the legacy Large Load Interconnection Study (LLIS) process to Batch Zero.</w:t>
      </w:r>
    </w:p>
    <w:p w14:paraId="673D3BF0" w14:textId="77777777" w:rsidR="00202487" w:rsidRPr="00202487" w:rsidRDefault="00202487" w:rsidP="00587E52">
      <w:pPr>
        <w:pStyle w:val="NormalArial"/>
        <w:spacing w:before="120" w:after="120"/>
        <w:jc w:val="center"/>
        <w:rPr>
          <w:rFonts w:cs="Arial"/>
          <w:b/>
          <w:bCs/>
        </w:rPr>
      </w:pPr>
      <w:r w:rsidRPr="00202487">
        <w:rPr>
          <w:rFonts w:cs="Arial"/>
          <w:b/>
          <w:bCs/>
        </w:rPr>
        <w:t xml:space="preserve">II. </w:t>
      </w:r>
      <w:r w:rsidR="003E2638">
        <w:rPr>
          <w:rFonts w:cs="Arial"/>
          <w:b/>
          <w:bCs/>
        </w:rPr>
        <w:tab/>
      </w:r>
      <w:r w:rsidRPr="00202487">
        <w:rPr>
          <w:rFonts w:cs="Arial"/>
          <w:b/>
          <w:bCs/>
        </w:rPr>
        <w:t>Statutory Alignment and Legal Risk Avoidance</w:t>
      </w:r>
    </w:p>
    <w:p w14:paraId="33315741" w14:textId="77777777" w:rsidR="00EE02D0" w:rsidRPr="00EE02D0" w:rsidRDefault="00EE02D0" w:rsidP="00587E52">
      <w:pPr>
        <w:pStyle w:val="NormalArial"/>
        <w:spacing w:before="120" w:after="120"/>
        <w:jc w:val="both"/>
        <w:rPr>
          <w:rFonts w:cs="Arial"/>
        </w:rPr>
      </w:pPr>
      <w:r w:rsidRPr="00EE02D0">
        <w:rPr>
          <w:rFonts w:cs="Arial"/>
        </w:rPr>
        <w:t xml:space="preserve">PURA § 39.169(d) establishes a specific statutory timing framework for ERCOT’s review of proposed </w:t>
      </w:r>
      <w:r>
        <w:rPr>
          <w:rFonts w:cs="Arial"/>
        </w:rPr>
        <w:t>NMAs</w:t>
      </w:r>
      <w:r w:rsidRPr="00EE02D0">
        <w:rPr>
          <w:rFonts w:cs="Arial"/>
        </w:rPr>
        <w:t xml:space="preserve">. Once ERCOT receives all information regarding the arrangement that ERCOT requires to conduct its review, ERCOT must study the system impacts of the proposed </w:t>
      </w:r>
      <w:r w:rsidR="003D56A5" w:rsidRPr="00EE02D0">
        <w:rPr>
          <w:rFonts w:cs="Arial"/>
        </w:rPr>
        <w:t>39.169</w:t>
      </w:r>
      <w:r w:rsidR="003D56A5">
        <w:rPr>
          <w:rFonts w:cs="Arial"/>
        </w:rPr>
        <w:t xml:space="preserve"> </w:t>
      </w:r>
      <w:r w:rsidRPr="00EE02D0">
        <w:rPr>
          <w:rFonts w:cs="Arial"/>
        </w:rPr>
        <w:t>NMA</w:t>
      </w:r>
      <w:r w:rsidR="003D56A5">
        <w:rPr>
          <w:rFonts w:cs="Arial"/>
        </w:rPr>
        <w:t>s</w:t>
      </w:r>
      <w:r w:rsidRPr="00EE02D0">
        <w:rPr>
          <w:rFonts w:cs="Arial"/>
        </w:rPr>
        <w:t xml:space="preserve"> and submit the study results and any associated recommendations to the Commission within 120 days. The statutory trigger is therefore ERCOT’s receipt of required information regarding the arrangement. It is not </w:t>
      </w:r>
      <w:r w:rsidR="003D56A5">
        <w:rPr>
          <w:rFonts w:cs="Arial"/>
        </w:rPr>
        <w:t xml:space="preserve">the </w:t>
      </w:r>
      <w:r w:rsidRPr="00EE02D0">
        <w:rPr>
          <w:rFonts w:cs="Arial"/>
        </w:rPr>
        <w:t xml:space="preserve">completion of a separate Batch study, a future Batch cycle, or a </w:t>
      </w:r>
      <w:r w:rsidR="00B019E7">
        <w:rPr>
          <w:rFonts w:cs="Arial"/>
        </w:rPr>
        <w:t>refinement</w:t>
      </w:r>
      <w:r w:rsidRPr="00EE02D0">
        <w:rPr>
          <w:rFonts w:cs="Arial"/>
        </w:rPr>
        <w:t>-period deliverable.</w:t>
      </w:r>
    </w:p>
    <w:p w14:paraId="06ED3621" w14:textId="77777777" w:rsidR="00EE02D0" w:rsidRPr="00EE02D0" w:rsidRDefault="00EE02D0" w:rsidP="00587E52">
      <w:pPr>
        <w:pStyle w:val="NormalArial"/>
        <w:spacing w:before="120" w:after="120"/>
        <w:jc w:val="both"/>
        <w:rPr>
          <w:rFonts w:cs="Arial"/>
        </w:rPr>
      </w:pPr>
      <w:r w:rsidRPr="00EE02D0">
        <w:rPr>
          <w:rFonts w:cs="Arial"/>
        </w:rPr>
        <w:t xml:space="preserve">That distinction is critical here. </w:t>
      </w:r>
      <w:r w:rsidR="00E2423A">
        <w:rPr>
          <w:rFonts w:cs="Arial"/>
        </w:rPr>
        <w:t>There is</w:t>
      </w:r>
      <w:r w:rsidRPr="00EE02D0">
        <w:rPr>
          <w:rFonts w:cs="Arial"/>
        </w:rPr>
        <w:t xml:space="preserve"> a timing mismatch created by the interaction of PURA § 39.169(d), 16 TAC § 25.205, and PGRR145. </w:t>
      </w:r>
      <w:r>
        <w:rPr>
          <w:rFonts w:cs="Arial"/>
        </w:rPr>
        <w:t xml:space="preserve">Importantly, </w:t>
      </w:r>
      <w:r w:rsidRPr="00EE02D0">
        <w:rPr>
          <w:rFonts w:cs="Arial"/>
        </w:rPr>
        <w:t xml:space="preserve">16 TAC § 25.205 requires a completed </w:t>
      </w:r>
      <w:r w:rsidR="00DA384D">
        <w:rPr>
          <w:rFonts w:cs="Arial"/>
        </w:rPr>
        <w:t>large load interconnection study</w:t>
      </w:r>
      <w:r w:rsidRPr="00EE02D0">
        <w:rPr>
          <w:rFonts w:cs="Arial"/>
        </w:rPr>
        <w:t xml:space="preserve"> record as part of the filing framework, while PGRR145 transitions ERCOT away from the legacy LLIS process and into Batch Zero. ERCOT’s current </w:t>
      </w:r>
      <w:r>
        <w:rPr>
          <w:rFonts w:cs="Arial"/>
        </w:rPr>
        <w:t xml:space="preserve">PGRR145 proposal </w:t>
      </w:r>
      <w:r w:rsidRPr="00EE02D0">
        <w:rPr>
          <w:rFonts w:cs="Arial"/>
        </w:rPr>
        <w:t>preserve</w:t>
      </w:r>
      <w:r>
        <w:rPr>
          <w:rFonts w:cs="Arial"/>
        </w:rPr>
        <w:t>s</w:t>
      </w:r>
      <w:r w:rsidRPr="00EE02D0">
        <w:rPr>
          <w:rFonts w:cs="Arial"/>
        </w:rPr>
        <w:t xml:space="preserve"> the legacy LLIS path only for a narrow subset of 39.169 NMAs with Commission applications filed by March 4, 2026. </w:t>
      </w:r>
      <w:r w:rsidR="003D56A5">
        <w:rPr>
          <w:rFonts w:cs="Arial"/>
        </w:rPr>
        <w:t>This creates a procedural gap f</w:t>
      </w:r>
      <w:r w:rsidRPr="00EE02D0">
        <w:rPr>
          <w:rFonts w:cs="Arial"/>
        </w:rPr>
        <w:t>or known 39.169 NMAs</w:t>
      </w:r>
      <w:r>
        <w:rPr>
          <w:rFonts w:cs="Arial"/>
        </w:rPr>
        <w:t xml:space="preserve"> with planned energization in 2028</w:t>
      </w:r>
      <w:r w:rsidRPr="00EE02D0">
        <w:rPr>
          <w:rFonts w:cs="Arial"/>
        </w:rPr>
        <w:t xml:space="preserve"> that are already in ERCOT’s </w:t>
      </w:r>
      <w:r>
        <w:rPr>
          <w:rFonts w:cs="Arial"/>
        </w:rPr>
        <w:t>interconnection</w:t>
      </w:r>
      <w:r w:rsidRPr="00EE02D0">
        <w:rPr>
          <w:rFonts w:cs="Arial"/>
        </w:rPr>
        <w:t xml:space="preserve"> process and are not within that </w:t>
      </w:r>
      <w:proofErr w:type="gramStart"/>
      <w:r w:rsidRPr="00EE02D0">
        <w:rPr>
          <w:rFonts w:cs="Arial"/>
        </w:rPr>
        <w:t>narrow grandfathered</w:t>
      </w:r>
      <w:proofErr w:type="gramEnd"/>
      <w:r w:rsidRPr="00EE02D0">
        <w:rPr>
          <w:rFonts w:cs="Arial"/>
        </w:rPr>
        <w:t xml:space="preserve"> class</w:t>
      </w:r>
      <w:r w:rsidR="003D56A5">
        <w:rPr>
          <w:rFonts w:cs="Arial"/>
        </w:rPr>
        <w:t>—</w:t>
      </w:r>
      <w:r w:rsidRPr="00EE02D0">
        <w:rPr>
          <w:rFonts w:cs="Arial"/>
        </w:rPr>
        <w:t>the legacy path is closed, Batch Zero studied</w:t>
      </w:r>
      <w:r w:rsidR="00B019E7">
        <w:rPr>
          <w:rFonts w:cs="Arial"/>
        </w:rPr>
        <w:t xml:space="preserve"> and allocated load</w:t>
      </w:r>
      <w:r w:rsidRPr="00EE02D0">
        <w:rPr>
          <w:rFonts w:cs="Arial"/>
        </w:rPr>
        <w:t xml:space="preserve"> treatment is unavailable, and </w:t>
      </w:r>
      <w:r w:rsidR="00DA384D" w:rsidRPr="00DA384D">
        <w:rPr>
          <w:rFonts w:cs="Arial"/>
        </w:rPr>
        <w:t>a future Batch or interconnection study process may be too late to support 2028 energization</w:t>
      </w:r>
      <w:r w:rsidRPr="00EE02D0">
        <w:rPr>
          <w:rFonts w:cs="Arial"/>
        </w:rPr>
        <w:t>.</w:t>
      </w:r>
    </w:p>
    <w:p w14:paraId="55423779" w14:textId="77777777" w:rsidR="00EE02D0" w:rsidRPr="00EE02D0" w:rsidRDefault="00B019E7" w:rsidP="00587E52">
      <w:pPr>
        <w:pStyle w:val="NormalArial"/>
        <w:spacing w:before="120" w:after="120"/>
        <w:jc w:val="both"/>
        <w:rPr>
          <w:rFonts w:cs="Arial"/>
        </w:rPr>
      </w:pPr>
      <w:r>
        <w:rPr>
          <w:rFonts w:cs="Arial"/>
        </w:rPr>
        <w:t>This</w:t>
      </w:r>
      <w:r w:rsidR="00EE02D0" w:rsidRPr="00EE02D0">
        <w:rPr>
          <w:rFonts w:cs="Arial"/>
        </w:rPr>
        <w:t xml:space="preserve"> outcome creates legal and administrative risk without advancing reliability. If ERCOT has the information needed to evaluate the </w:t>
      </w:r>
      <w:r w:rsidR="008D248A" w:rsidRPr="00202487">
        <w:rPr>
          <w:rFonts w:cs="Arial"/>
        </w:rPr>
        <w:t>39.169 NMA</w:t>
      </w:r>
      <w:r w:rsidR="00DB2D0F" w:rsidRPr="00EE02D0" w:rsidDel="00DB2D0F">
        <w:rPr>
          <w:rFonts w:cs="Arial"/>
        </w:rPr>
        <w:t xml:space="preserve"> </w:t>
      </w:r>
      <w:r w:rsidR="00EE02D0" w:rsidRPr="00EE02D0">
        <w:rPr>
          <w:rFonts w:cs="Arial"/>
        </w:rPr>
        <w:t xml:space="preserve">-related load through the Batch Zero framework, but the project is excluded from Batch Zero and deferred to a later Batch cycle, ERCOT’s process risks converting an internal sequencing rule into a de facto condition precedent to the statutory review required by PURA § 39.169(d). The statute does not authorize that result. Nor does reliability require it. Inclusion in Batch Zero as </w:t>
      </w:r>
      <w:r>
        <w:rPr>
          <w:rFonts w:cs="Arial"/>
        </w:rPr>
        <w:t xml:space="preserve">studied and allocated </w:t>
      </w:r>
      <w:r w:rsidR="00EE02D0" w:rsidRPr="00EE02D0">
        <w:rPr>
          <w:rFonts w:cs="Arial"/>
        </w:rPr>
        <w:t xml:space="preserve">load would not exempt the project from ERCOT review, confer Base Load status, or guarantee energization. It would simply place the project into ERCOT’s preferred near-term reliability-assessment process so ERCOT can determine the amount of load that may be reliably served, identify any required upgrades, and coordinate the resulting study record with the Commission’s </w:t>
      </w:r>
      <w:r w:rsidR="008D248A">
        <w:rPr>
          <w:rFonts w:cs="Arial"/>
        </w:rPr>
        <w:t xml:space="preserve">PURA </w:t>
      </w:r>
      <w:r w:rsidR="00C00961" w:rsidRPr="00EE02D0">
        <w:rPr>
          <w:rFonts w:cs="Arial"/>
        </w:rPr>
        <w:t>§</w:t>
      </w:r>
      <w:r w:rsidR="00C00961">
        <w:rPr>
          <w:rFonts w:cs="Arial"/>
        </w:rPr>
        <w:t> </w:t>
      </w:r>
      <w:r w:rsidR="00EE02D0" w:rsidRPr="00EE02D0">
        <w:rPr>
          <w:rFonts w:cs="Arial"/>
        </w:rPr>
        <w:t>39.169 review process.</w:t>
      </w:r>
    </w:p>
    <w:p w14:paraId="68571298" w14:textId="77777777" w:rsidR="00C61D20" w:rsidRDefault="00B019E7" w:rsidP="00587E52">
      <w:pPr>
        <w:pStyle w:val="NormalArial"/>
        <w:spacing w:before="120" w:after="120"/>
        <w:jc w:val="both"/>
        <w:rPr>
          <w:rFonts w:cs="Arial"/>
        </w:rPr>
      </w:pPr>
      <w:r>
        <w:rPr>
          <w:rFonts w:cs="Arial"/>
        </w:rPr>
        <w:t>Accordingly</w:t>
      </w:r>
      <w:r w:rsidR="00EE02D0" w:rsidRPr="00EE02D0">
        <w:rPr>
          <w:rFonts w:cs="Arial"/>
        </w:rPr>
        <w:t xml:space="preserve">, </w:t>
      </w:r>
      <w:r w:rsidR="000A7C66">
        <w:rPr>
          <w:rFonts w:cs="Arial"/>
        </w:rPr>
        <w:t>BKV</w:t>
      </w:r>
      <w:r w:rsidR="00EE02D0" w:rsidRPr="00EE02D0">
        <w:rPr>
          <w:rFonts w:cs="Arial"/>
        </w:rPr>
        <w:t xml:space="preserve"> supports Vistra’s </w:t>
      </w:r>
      <w:r w:rsidR="00C00961">
        <w:rPr>
          <w:rFonts w:cs="Arial"/>
        </w:rPr>
        <w:t>suggested</w:t>
      </w:r>
      <w:r w:rsidR="00C00961" w:rsidRPr="00EE02D0">
        <w:rPr>
          <w:rFonts w:cs="Arial"/>
        </w:rPr>
        <w:t xml:space="preserve"> </w:t>
      </w:r>
      <w:r>
        <w:rPr>
          <w:rFonts w:cs="Arial"/>
        </w:rPr>
        <w:t>refinement</w:t>
      </w:r>
      <w:r w:rsidR="00EE02D0" w:rsidRPr="00EE02D0">
        <w:rPr>
          <w:rFonts w:cs="Arial"/>
        </w:rPr>
        <w:t xml:space="preserve"> as the most legally durable way to harmonize the governing regimes. Including </w:t>
      </w:r>
      <w:r w:rsidR="00717738">
        <w:rPr>
          <w:rFonts w:cs="Arial"/>
        </w:rPr>
        <w:t xml:space="preserve">these NMAs—i.e., </w:t>
      </w:r>
      <w:r w:rsidR="00EE02D0" w:rsidRPr="00EE02D0">
        <w:rPr>
          <w:rFonts w:cs="Arial"/>
        </w:rPr>
        <w:t xml:space="preserve">known 39.169 </w:t>
      </w:r>
      <w:r w:rsidR="008D248A">
        <w:rPr>
          <w:rFonts w:cs="Arial"/>
        </w:rPr>
        <w:t>NMAs</w:t>
      </w:r>
      <w:r w:rsidR="008D248A" w:rsidRPr="00EE02D0">
        <w:rPr>
          <w:rFonts w:cs="Arial"/>
        </w:rPr>
        <w:t xml:space="preserve"> </w:t>
      </w:r>
      <w:r w:rsidR="00EE02D0" w:rsidRPr="00EE02D0">
        <w:rPr>
          <w:rFonts w:cs="Arial"/>
        </w:rPr>
        <w:t>with</w:t>
      </w:r>
      <w:r>
        <w:rPr>
          <w:rFonts w:cs="Arial"/>
        </w:rPr>
        <w:t xml:space="preserve"> planned energization dates in 2028,</w:t>
      </w:r>
      <w:r w:rsidR="00EE02D0" w:rsidRPr="00EE02D0">
        <w:rPr>
          <w:rFonts w:cs="Arial"/>
        </w:rPr>
        <w:t xml:space="preserve"> assigned LLI#s</w:t>
      </w:r>
      <w:r>
        <w:rPr>
          <w:rFonts w:cs="Arial"/>
        </w:rPr>
        <w:t>,</w:t>
      </w:r>
      <w:r w:rsidR="00EE02D0" w:rsidRPr="00EE02D0">
        <w:rPr>
          <w:rFonts w:cs="Arial"/>
        </w:rPr>
        <w:t xml:space="preserve"> and no Base Load classification</w:t>
      </w:r>
      <w:r w:rsidR="00717738">
        <w:rPr>
          <w:rFonts w:cs="Arial"/>
        </w:rPr>
        <w:t>—</w:t>
      </w:r>
      <w:r w:rsidR="00EE02D0" w:rsidRPr="00EE02D0">
        <w:rPr>
          <w:rFonts w:cs="Arial"/>
        </w:rPr>
        <w:t xml:space="preserve">in Batch Zero as </w:t>
      </w:r>
      <w:r>
        <w:rPr>
          <w:rFonts w:cs="Arial"/>
        </w:rPr>
        <w:t xml:space="preserve">studied and allocated </w:t>
      </w:r>
      <w:r w:rsidR="00EE02D0" w:rsidRPr="00EE02D0">
        <w:rPr>
          <w:rFonts w:cs="Arial"/>
        </w:rPr>
        <w:t xml:space="preserve">load preserves ERCOT’s reliability authority, respects the filing </w:t>
      </w:r>
      <w:r w:rsidR="00717738">
        <w:rPr>
          <w:rFonts w:cs="Arial"/>
        </w:rPr>
        <w:t>requirements</w:t>
      </w:r>
      <w:r w:rsidR="00EE02D0" w:rsidRPr="00EE02D0">
        <w:rPr>
          <w:rFonts w:cs="Arial"/>
        </w:rPr>
        <w:t xml:space="preserve"> under 16 TAC § 25.205, and avoids </w:t>
      </w:r>
      <w:r w:rsidR="00EE02D0" w:rsidRPr="00EE02D0">
        <w:rPr>
          <w:rFonts w:cs="Arial"/>
        </w:rPr>
        <w:lastRenderedPageBreak/>
        <w:t xml:space="preserve">a transition design that could frustrate the statutory timing structure in PURA </w:t>
      </w:r>
      <w:r w:rsidR="00C00961" w:rsidRPr="00EE02D0">
        <w:rPr>
          <w:rFonts w:cs="Arial"/>
        </w:rPr>
        <w:t>§</w:t>
      </w:r>
      <w:r w:rsidR="00C00961">
        <w:rPr>
          <w:rFonts w:cs="Arial"/>
        </w:rPr>
        <w:t> </w:t>
      </w:r>
      <w:r w:rsidR="00EE02D0" w:rsidRPr="00EE02D0">
        <w:rPr>
          <w:rFonts w:cs="Arial"/>
        </w:rPr>
        <w:t xml:space="preserve">39.169(d). </w:t>
      </w:r>
    </w:p>
    <w:p w14:paraId="6F7131CC" w14:textId="77777777" w:rsidR="003863B8" w:rsidRPr="007D3276" w:rsidRDefault="007D3276" w:rsidP="00587E52">
      <w:pPr>
        <w:pStyle w:val="NormalArial"/>
        <w:spacing w:before="120" w:after="120"/>
        <w:jc w:val="both"/>
        <w:rPr>
          <w:rFonts w:cs="Arial"/>
        </w:rPr>
      </w:pPr>
      <w:r w:rsidRPr="007D3276">
        <w:rPr>
          <w:rFonts w:cs="Arial"/>
        </w:rPr>
        <w:t xml:space="preserve">The point is not to create a special exemption for NMAs; it is to avoid a transition structure that would disparately and unnecessarily strand a narrow, documentable class of mature 39.169 </w:t>
      </w:r>
      <w:r w:rsidR="00DB2D0F">
        <w:rPr>
          <w:rFonts w:cs="Arial"/>
        </w:rPr>
        <w:t>NMAs</w:t>
      </w:r>
      <w:r w:rsidR="00DB2D0F" w:rsidRPr="007D3276">
        <w:rPr>
          <w:rFonts w:cs="Arial"/>
        </w:rPr>
        <w:t xml:space="preserve"> </w:t>
      </w:r>
      <w:r w:rsidRPr="007D3276">
        <w:rPr>
          <w:rFonts w:cs="Arial"/>
        </w:rPr>
        <w:t>solely because ERCOT’s shift from legacy LLIS to Batch Zero otherwise leaves no timely study path. That outcome would be especially difficult to justify where 39.169 NMAs are designed around existing grid-facing generators, are subject to separate ERCOT and Commission reliability review, and can provide the long-term load commitment needed to support additional generation investment without abandoning ERCOT’s authority to preserve transmission security and resource adequacy.</w:t>
      </w:r>
      <w:r>
        <w:rPr>
          <w:rFonts w:cs="Arial"/>
        </w:rPr>
        <w:t xml:space="preserve"> </w:t>
      </w:r>
      <w:r w:rsidR="003863B8" w:rsidRPr="003863B8">
        <w:rPr>
          <w:rFonts w:cs="Arial"/>
        </w:rPr>
        <w:t>This is not preferential treatment; it is a reliability-preserving bridge between the load Texas is actively trying to attract and the dispatchable generation ERCOT needs. ERCOT and the Commission are being told this by the very investors and operators of the dispatchable generation the State is encouraging to remain online and expand. A transition rule that strands those projects</w:t>
      </w:r>
      <w:r w:rsidR="00C00961">
        <w:rPr>
          <w:rFonts w:cs="Arial"/>
        </w:rPr>
        <w:t>,</w:t>
      </w:r>
      <w:r w:rsidR="003863B8" w:rsidRPr="003863B8">
        <w:rPr>
          <w:rFonts w:cs="Arial"/>
        </w:rPr>
        <w:t xml:space="preserve"> despite their maturity, visibility, and reliability value</w:t>
      </w:r>
      <w:r w:rsidR="00C00961">
        <w:rPr>
          <w:rFonts w:cs="Arial"/>
        </w:rPr>
        <w:t>,</w:t>
      </w:r>
      <w:r w:rsidR="003863B8" w:rsidRPr="003863B8">
        <w:rPr>
          <w:rFonts w:cs="Arial"/>
        </w:rPr>
        <w:t xml:space="preserve"> sends</w:t>
      </w:r>
      <w:r w:rsidR="003863B8">
        <w:rPr>
          <w:rFonts w:cs="Arial"/>
        </w:rPr>
        <w:t xml:space="preserve"> </w:t>
      </w:r>
      <w:r w:rsidR="003863B8" w:rsidRPr="003863B8">
        <w:rPr>
          <w:rFonts w:cs="Arial"/>
        </w:rPr>
        <w:t>the wrong market signal: Texas should not invite dispatchable generation investment while allowing transition rules to strand the commercial structures that make that investment financeable</w:t>
      </w:r>
      <w:r w:rsidR="003863B8">
        <w:rPr>
          <w:rFonts w:cs="Arial"/>
        </w:rPr>
        <w:t>.</w:t>
      </w:r>
    </w:p>
    <w:p w14:paraId="6490647B" w14:textId="77777777" w:rsidR="00202487" w:rsidRPr="00202487" w:rsidRDefault="00202487" w:rsidP="00587E52">
      <w:pPr>
        <w:pStyle w:val="NormalArial"/>
        <w:spacing w:before="120" w:after="120"/>
        <w:jc w:val="center"/>
        <w:rPr>
          <w:rFonts w:cs="Arial"/>
          <w:b/>
          <w:bCs/>
        </w:rPr>
      </w:pPr>
      <w:r w:rsidRPr="00202487">
        <w:rPr>
          <w:rFonts w:cs="Arial"/>
          <w:b/>
          <w:bCs/>
        </w:rPr>
        <w:t xml:space="preserve">III. </w:t>
      </w:r>
      <w:r w:rsidR="00C61D20">
        <w:rPr>
          <w:rFonts w:cs="Arial"/>
          <w:b/>
          <w:bCs/>
        </w:rPr>
        <w:tab/>
      </w:r>
      <w:r w:rsidRPr="00202487">
        <w:rPr>
          <w:rFonts w:cs="Arial"/>
          <w:b/>
          <w:bCs/>
        </w:rPr>
        <w:t xml:space="preserve">Support for Vistra’s Narrow Eligibility </w:t>
      </w:r>
      <w:r w:rsidR="00B019E7">
        <w:rPr>
          <w:rFonts w:cs="Arial"/>
          <w:b/>
          <w:bCs/>
        </w:rPr>
        <w:t>Refinement</w:t>
      </w:r>
    </w:p>
    <w:p w14:paraId="126BA8D0" w14:textId="77777777" w:rsidR="0001077E" w:rsidRPr="0001077E" w:rsidRDefault="000A7C66" w:rsidP="00587E52">
      <w:pPr>
        <w:pStyle w:val="NormalArial"/>
        <w:spacing w:before="120" w:after="120"/>
        <w:jc w:val="both"/>
        <w:rPr>
          <w:rFonts w:cs="Arial"/>
        </w:rPr>
      </w:pPr>
      <w:r>
        <w:rPr>
          <w:rFonts w:cs="Arial"/>
        </w:rPr>
        <w:t>BKV</w:t>
      </w:r>
      <w:r w:rsidR="0001077E" w:rsidRPr="0001077E">
        <w:rPr>
          <w:rFonts w:cs="Arial"/>
        </w:rPr>
        <w:t xml:space="preserve"> supports Vistra’s </w:t>
      </w:r>
      <w:r w:rsidR="0001077E" w:rsidRPr="00202487">
        <w:rPr>
          <w:rFonts w:cs="Arial"/>
        </w:rPr>
        <w:t xml:space="preserve">proposed inclusion concept </w:t>
      </w:r>
      <w:r w:rsidR="0001077E" w:rsidRPr="0001077E">
        <w:rPr>
          <w:rFonts w:cs="Arial"/>
        </w:rPr>
        <w:t xml:space="preserve">because it is narrowly tailored, objective, and administrable. The supported class is not open-ended. It is limited to 39.169 NMAs with an assigned </w:t>
      </w:r>
      <w:proofErr w:type="gramStart"/>
      <w:r w:rsidR="0001077E" w:rsidRPr="0001077E">
        <w:rPr>
          <w:rFonts w:cs="Arial"/>
        </w:rPr>
        <w:t>LLI#,</w:t>
      </w:r>
      <w:proofErr w:type="gramEnd"/>
      <w:r w:rsidR="0001077E" w:rsidRPr="0001077E">
        <w:rPr>
          <w:rFonts w:cs="Arial"/>
        </w:rPr>
        <w:t xml:space="preserve"> an initial energization date between January 1, </w:t>
      </w:r>
      <w:proofErr w:type="gramStart"/>
      <w:r w:rsidR="0001077E" w:rsidRPr="0001077E">
        <w:rPr>
          <w:rFonts w:cs="Arial"/>
        </w:rPr>
        <w:t>2028</w:t>
      </w:r>
      <w:proofErr w:type="gramEnd"/>
      <w:r w:rsidR="0001077E" w:rsidRPr="0001077E">
        <w:rPr>
          <w:rFonts w:cs="Arial"/>
        </w:rPr>
        <w:t xml:space="preserve"> and December 31, 2028, and no existing Base Load classification. Those criteria do not invite speculative projects into Batch Zero. They identify a bounded set of known projects that are already in ERCOT’s intake process by the transition deadline and that fall squarely within the 2028 energization period Batch Zero is intended to address.</w:t>
      </w:r>
    </w:p>
    <w:p w14:paraId="4737FD24" w14:textId="77777777" w:rsidR="0001077E" w:rsidRPr="0001077E" w:rsidRDefault="0001077E" w:rsidP="00587E52">
      <w:pPr>
        <w:pStyle w:val="NormalArial"/>
        <w:spacing w:before="120" w:after="120"/>
        <w:jc w:val="both"/>
        <w:rPr>
          <w:rFonts w:cs="Arial"/>
        </w:rPr>
      </w:pPr>
      <w:r w:rsidRPr="0001077E">
        <w:rPr>
          <w:rFonts w:cs="Arial"/>
        </w:rPr>
        <w:t xml:space="preserve">This is materially different from a broad expansion of Batch Zero eligibility. </w:t>
      </w:r>
      <w:r w:rsidR="00727E22">
        <w:rPr>
          <w:rFonts w:cs="Arial"/>
        </w:rPr>
        <w:t>It</w:t>
      </w:r>
      <w:r w:rsidRPr="0001077E">
        <w:rPr>
          <w:rFonts w:cs="Arial"/>
        </w:rPr>
        <w:t xml:space="preserve"> is not asking ERCOT to include all co-located loads, all future </w:t>
      </w:r>
      <w:r w:rsidR="00C00961" w:rsidRPr="0001077E">
        <w:rPr>
          <w:rFonts w:cs="Arial"/>
        </w:rPr>
        <w:t xml:space="preserve">39.169 </w:t>
      </w:r>
      <w:r w:rsidRPr="0001077E">
        <w:rPr>
          <w:rFonts w:cs="Arial"/>
        </w:rPr>
        <w:t xml:space="preserve">NMAs, or any project that might later seek </w:t>
      </w:r>
      <w:r w:rsidR="00DB2D0F">
        <w:rPr>
          <w:rFonts w:cs="Arial"/>
        </w:rPr>
        <w:t xml:space="preserve">PURA </w:t>
      </w:r>
      <w:r w:rsidRPr="0001077E">
        <w:rPr>
          <w:rFonts w:cs="Arial"/>
        </w:rPr>
        <w:t xml:space="preserve">§ 39.169 treatment. Nor is </w:t>
      </w:r>
      <w:r w:rsidR="00727E22">
        <w:rPr>
          <w:rFonts w:cs="Arial"/>
        </w:rPr>
        <w:t xml:space="preserve">it </w:t>
      </w:r>
      <w:r w:rsidRPr="0001077E">
        <w:rPr>
          <w:rFonts w:cs="Arial"/>
        </w:rPr>
        <w:t xml:space="preserve">asking ERCOT to treat 39.169 </w:t>
      </w:r>
      <w:r w:rsidR="00DB2D0F">
        <w:rPr>
          <w:rFonts w:cs="Arial"/>
        </w:rPr>
        <w:t xml:space="preserve">NMA </w:t>
      </w:r>
      <w:r w:rsidRPr="0001077E">
        <w:rPr>
          <w:rFonts w:cs="Arial"/>
        </w:rPr>
        <w:t>status alone as sufficient for Base Load treatment or energization approval. The supported refinement applies only to a defined subset of known 2028 projects and leaves ERCOT’s reliability assessment fully intact.</w:t>
      </w:r>
    </w:p>
    <w:p w14:paraId="49F73627" w14:textId="77777777" w:rsidR="0001077E" w:rsidRPr="00202487" w:rsidRDefault="0001077E" w:rsidP="00587E52">
      <w:pPr>
        <w:pStyle w:val="NormalArial"/>
        <w:spacing w:before="120" w:after="120"/>
        <w:jc w:val="both"/>
        <w:rPr>
          <w:rFonts w:cs="Arial"/>
        </w:rPr>
      </w:pPr>
      <w:r w:rsidRPr="0001077E">
        <w:rPr>
          <w:rFonts w:cs="Arial"/>
        </w:rPr>
        <w:t>That distinction is important. Studied</w:t>
      </w:r>
      <w:r w:rsidR="00727E22">
        <w:rPr>
          <w:rFonts w:cs="Arial"/>
        </w:rPr>
        <w:t xml:space="preserve"> </w:t>
      </w:r>
      <w:r w:rsidRPr="0001077E">
        <w:rPr>
          <w:rFonts w:cs="Arial"/>
        </w:rPr>
        <w:t>and</w:t>
      </w:r>
      <w:r w:rsidR="00727E22">
        <w:rPr>
          <w:rFonts w:cs="Arial"/>
        </w:rPr>
        <w:t xml:space="preserve"> </w:t>
      </w:r>
      <w:r w:rsidRPr="0001077E">
        <w:rPr>
          <w:rFonts w:cs="Arial"/>
        </w:rPr>
        <w:t xml:space="preserve">allocated treatment </w:t>
      </w:r>
      <w:r w:rsidR="00727E22">
        <w:rPr>
          <w:rFonts w:cs="Arial"/>
        </w:rPr>
        <w:t xml:space="preserve">in Batch Zero </w:t>
      </w:r>
      <w:r w:rsidRPr="0001077E">
        <w:rPr>
          <w:rFonts w:cs="Arial"/>
        </w:rPr>
        <w:t xml:space="preserve">does not presume that the full requested MW can be served. ERCOT would still determine the amount of load that can be reliably served, identify any necessary transmission upgrades, establish or update the applicable Load Commissioning Plan, and enforce all commitment, modeling, and energization requirements. </w:t>
      </w:r>
      <w:r w:rsidR="00727E22">
        <w:rPr>
          <w:rFonts w:cs="Arial"/>
        </w:rPr>
        <w:t>Vistra’s proposal</w:t>
      </w:r>
      <w:r w:rsidRPr="0001077E">
        <w:rPr>
          <w:rFonts w:cs="Arial"/>
        </w:rPr>
        <w:t xml:space="preserve"> therefore preserves the core function of Batch Zero while avoiding an unnecessary transition gap for mature 39.169 </w:t>
      </w:r>
      <w:r w:rsidR="003051B2">
        <w:rPr>
          <w:rFonts w:cs="Arial"/>
        </w:rPr>
        <w:t>NMAs</w:t>
      </w:r>
      <w:r w:rsidRPr="0001077E">
        <w:rPr>
          <w:rFonts w:cs="Arial"/>
        </w:rPr>
        <w:t>.</w:t>
      </w:r>
    </w:p>
    <w:p w14:paraId="2BE55B79" w14:textId="77777777" w:rsidR="00202487" w:rsidRPr="00202487" w:rsidRDefault="00395243" w:rsidP="00587E52">
      <w:pPr>
        <w:pStyle w:val="NormalArial"/>
        <w:spacing w:before="120" w:after="120"/>
        <w:jc w:val="center"/>
        <w:rPr>
          <w:rFonts w:cs="Arial"/>
          <w:b/>
          <w:bCs/>
        </w:rPr>
      </w:pPr>
      <w:r>
        <w:rPr>
          <w:rFonts w:cs="Arial"/>
          <w:b/>
          <w:bCs/>
        </w:rPr>
        <w:t>I</w:t>
      </w:r>
      <w:r w:rsidR="00202487" w:rsidRPr="00202487">
        <w:rPr>
          <w:rFonts w:cs="Arial"/>
          <w:b/>
          <w:bCs/>
        </w:rPr>
        <w:t xml:space="preserve">V. </w:t>
      </w:r>
      <w:r w:rsidR="0001077E">
        <w:rPr>
          <w:rFonts w:cs="Arial"/>
          <w:b/>
          <w:bCs/>
        </w:rPr>
        <w:tab/>
      </w:r>
      <w:r w:rsidR="00202487" w:rsidRPr="00202487">
        <w:rPr>
          <w:rFonts w:cs="Arial"/>
          <w:b/>
          <w:bCs/>
        </w:rPr>
        <w:t>Avoiding Procedural Stranding of 2028 39.169 NMAs</w:t>
      </w:r>
    </w:p>
    <w:p w14:paraId="18F2FA9D" w14:textId="77777777" w:rsidR="007C4217" w:rsidRPr="007C4217" w:rsidRDefault="007C4217" w:rsidP="00587E52">
      <w:pPr>
        <w:pStyle w:val="NormalArial"/>
        <w:spacing w:before="120" w:after="120"/>
        <w:jc w:val="both"/>
        <w:rPr>
          <w:rFonts w:cs="Arial"/>
        </w:rPr>
      </w:pPr>
      <w:r w:rsidRPr="007C4217">
        <w:rPr>
          <w:rFonts w:cs="Arial"/>
        </w:rPr>
        <w:lastRenderedPageBreak/>
        <w:t xml:space="preserve">Absent Vistra’s refinement, a known 2028 39.169 NMA that is not Base Load and did not file a Commission application by March 4, </w:t>
      </w:r>
      <w:proofErr w:type="gramStart"/>
      <w:r w:rsidRPr="007C4217">
        <w:rPr>
          <w:rFonts w:cs="Arial"/>
        </w:rPr>
        <w:t>2026</w:t>
      </w:r>
      <w:proofErr w:type="gramEnd"/>
      <w:r w:rsidRPr="007C4217">
        <w:rPr>
          <w:rFonts w:cs="Arial"/>
        </w:rPr>
        <w:t xml:space="preserve"> could be left without a practical near-term study path. The legacy LLIS process would be closed except for narrowly grandfathered projects</w:t>
      </w:r>
      <w:r w:rsidR="005C3D0D">
        <w:rPr>
          <w:rFonts w:cs="Arial"/>
        </w:rPr>
        <w:t>, and</w:t>
      </w:r>
      <w:r w:rsidRPr="007C4217">
        <w:rPr>
          <w:rFonts w:cs="Arial"/>
        </w:rPr>
        <w:t xml:space="preserve"> Batch Zero would remain unavailable unless the project independently satisfies the existing § 9.2.1.2 criteria. The resulting path would be deferral to Batch </w:t>
      </w:r>
      <w:r>
        <w:rPr>
          <w:rFonts w:cs="Arial"/>
        </w:rPr>
        <w:t>One</w:t>
      </w:r>
      <w:r w:rsidRPr="007C4217">
        <w:rPr>
          <w:rFonts w:cs="Arial"/>
        </w:rPr>
        <w:t>, with a material risk that a 2028 project slips to 2029 or later.</w:t>
      </w:r>
    </w:p>
    <w:p w14:paraId="3C8521B7" w14:textId="77777777" w:rsidR="007C4217" w:rsidRPr="007C4217" w:rsidRDefault="007C4217" w:rsidP="00587E52">
      <w:pPr>
        <w:pStyle w:val="NormalArial"/>
        <w:spacing w:before="120" w:after="120"/>
        <w:jc w:val="both"/>
        <w:rPr>
          <w:rFonts w:cs="Arial"/>
        </w:rPr>
      </w:pPr>
      <w:r w:rsidRPr="007C4217">
        <w:rPr>
          <w:rFonts w:cs="Arial"/>
        </w:rPr>
        <w:t>That result is especially problematic because March 4</w:t>
      </w:r>
      <w:r>
        <w:rPr>
          <w:rFonts w:cs="Arial"/>
        </w:rPr>
        <w:t xml:space="preserve"> </w:t>
      </w:r>
      <w:r w:rsidRPr="007C4217">
        <w:rPr>
          <w:rFonts w:cs="Arial"/>
        </w:rPr>
        <w:t xml:space="preserve">does not reflect a statutory deadline, a Commission-adopted legal threshold, or a project-specific reliability milestone for 39.169 NMAs. Treating that date as the dividing line for whether a known 2028 NMA receives a workable transition path risks giving retroactive effect to an administrative cutoff developed after market participants </w:t>
      </w:r>
      <w:r w:rsidR="005C3D0D">
        <w:rPr>
          <w:rFonts w:cs="Arial"/>
        </w:rPr>
        <w:t>began</w:t>
      </w:r>
      <w:r w:rsidRPr="007C4217">
        <w:rPr>
          <w:rFonts w:cs="Arial"/>
        </w:rPr>
        <w:t xml:space="preserve"> </w:t>
      </w:r>
      <w:r w:rsidR="005C3D0D" w:rsidRPr="007C4217">
        <w:rPr>
          <w:rFonts w:cs="Arial"/>
        </w:rPr>
        <w:t>structur</w:t>
      </w:r>
      <w:r w:rsidR="005C3D0D">
        <w:rPr>
          <w:rFonts w:cs="Arial"/>
        </w:rPr>
        <w:t>ing</w:t>
      </w:r>
      <w:r w:rsidR="005C3D0D" w:rsidRPr="007C4217">
        <w:rPr>
          <w:rFonts w:cs="Arial"/>
        </w:rPr>
        <w:t xml:space="preserve"> </w:t>
      </w:r>
      <w:r w:rsidRPr="007C4217">
        <w:rPr>
          <w:rFonts w:cs="Arial"/>
        </w:rPr>
        <w:t xml:space="preserve">projects under the then-existing LLIS and </w:t>
      </w:r>
      <w:r w:rsidR="005C3D0D" w:rsidRPr="007C4217">
        <w:rPr>
          <w:rFonts w:cs="Arial"/>
        </w:rPr>
        <w:t xml:space="preserve">39.169 </w:t>
      </w:r>
      <w:r w:rsidRPr="007C4217">
        <w:rPr>
          <w:rFonts w:cs="Arial"/>
        </w:rPr>
        <w:t>NMA frameworks. In practical terms, the rule would not merely establish forward-looking process discipline; it would re-sort mature projects based on whether they happened to satisfy a newly selected filing milestone before the transition rule was proposed.</w:t>
      </w:r>
    </w:p>
    <w:p w14:paraId="5A6B4AA9" w14:textId="77777777" w:rsidR="007C4217" w:rsidRPr="007C4217" w:rsidRDefault="007C4217" w:rsidP="00587E52">
      <w:pPr>
        <w:pStyle w:val="NormalArial"/>
        <w:spacing w:before="120" w:after="120"/>
        <w:jc w:val="both"/>
        <w:rPr>
          <w:rFonts w:cs="Arial"/>
        </w:rPr>
      </w:pPr>
      <w:r w:rsidRPr="007C4217">
        <w:rPr>
          <w:rFonts w:cs="Arial"/>
        </w:rPr>
        <w:t>That is the core “picking winners and losers” concern</w:t>
      </w:r>
      <w:r w:rsidR="005C3D0D">
        <w:rPr>
          <w:rFonts w:cs="Arial"/>
        </w:rPr>
        <w:t xml:space="preserve"> with the current draft of PGRR145</w:t>
      </w:r>
      <w:r w:rsidRPr="007C4217">
        <w:rPr>
          <w:rFonts w:cs="Arial"/>
        </w:rPr>
        <w:t xml:space="preserve">. A transition framework should not </w:t>
      </w:r>
      <w:proofErr w:type="gramStart"/>
      <w:r w:rsidRPr="007C4217">
        <w:rPr>
          <w:rFonts w:cs="Arial"/>
        </w:rPr>
        <w:t>advantage</w:t>
      </w:r>
      <w:proofErr w:type="gramEnd"/>
      <w:r w:rsidRPr="007C4217">
        <w:rPr>
          <w:rFonts w:cs="Arial"/>
        </w:rPr>
        <w:t xml:space="preserve"> or </w:t>
      </w:r>
      <w:proofErr w:type="gramStart"/>
      <w:r w:rsidRPr="007C4217">
        <w:rPr>
          <w:rFonts w:cs="Arial"/>
        </w:rPr>
        <w:t>disadvantage</w:t>
      </w:r>
      <w:proofErr w:type="gramEnd"/>
      <w:r w:rsidRPr="007C4217">
        <w:rPr>
          <w:rFonts w:cs="Arial"/>
        </w:rPr>
        <w:t xml:space="preserve"> similarly mature projects based on an administrative </w:t>
      </w:r>
      <w:proofErr w:type="gramStart"/>
      <w:r w:rsidRPr="007C4217">
        <w:rPr>
          <w:rFonts w:cs="Arial"/>
        </w:rPr>
        <w:t>date</w:t>
      </w:r>
      <w:proofErr w:type="gramEnd"/>
      <w:r w:rsidRPr="007C4217">
        <w:rPr>
          <w:rFonts w:cs="Arial"/>
        </w:rPr>
        <w:t xml:space="preserve"> that does </w:t>
      </w:r>
      <w:proofErr w:type="gramStart"/>
      <w:r w:rsidRPr="007C4217">
        <w:rPr>
          <w:rFonts w:cs="Arial"/>
        </w:rPr>
        <w:t>not itself</w:t>
      </w:r>
      <w:proofErr w:type="gramEnd"/>
      <w:r w:rsidRPr="007C4217">
        <w:rPr>
          <w:rFonts w:cs="Arial"/>
        </w:rPr>
        <w:t xml:space="preserve"> measure reliability, readiness, or statutory entitlement. Nor should it force 39.169 NMAs into a worse position than other 2028 </w:t>
      </w:r>
      <w:r w:rsidR="00760692">
        <w:rPr>
          <w:rFonts w:cs="Arial"/>
        </w:rPr>
        <w:t>l</w:t>
      </w:r>
      <w:r w:rsidRPr="007C4217">
        <w:rPr>
          <w:rFonts w:cs="Arial"/>
        </w:rPr>
        <w:t xml:space="preserve">arge </w:t>
      </w:r>
      <w:r w:rsidR="00760692">
        <w:rPr>
          <w:rFonts w:cs="Arial"/>
        </w:rPr>
        <w:t>l</w:t>
      </w:r>
      <w:r w:rsidRPr="007C4217">
        <w:rPr>
          <w:rFonts w:cs="Arial"/>
        </w:rPr>
        <w:t xml:space="preserve">oads where the NMA project is already known to ERCOT, has an assigned </w:t>
      </w:r>
      <w:proofErr w:type="gramStart"/>
      <w:r w:rsidRPr="007C4217">
        <w:rPr>
          <w:rFonts w:cs="Arial"/>
        </w:rPr>
        <w:t>LLI#,</w:t>
      </w:r>
      <w:proofErr w:type="gramEnd"/>
      <w:r w:rsidRPr="007C4217">
        <w:rPr>
          <w:rFonts w:cs="Arial"/>
        </w:rPr>
        <w:t xml:space="preserve"> and is seeking only studied</w:t>
      </w:r>
      <w:r w:rsidR="00760692">
        <w:rPr>
          <w:rFonts w:cs="Arial"/>
        </w:rPr>
        <w:t xml:space="preserve"> </w:t>
      </w:r>
      <w:r w:rsidRPr="007C4217">
        <w:rPr>
          <w:rFonts w:cs="Arial"/>
        </w:rPr>
        <w:t>and</w:t>
      </w:r>
      <w:r w:rsidR="00760692">
        <w:rPr>
          <w:rFonts w:cs="Arial"/>
        </w:rPr>
        <w:t xml:space="preserve"> </w:t>
      </w:r>
      <w:r w:rsidRPr="007C4217">
        <w:rPr>
          <w:rFonts w:cs="Arial"/>
        </w:rPr>
        <w:t>allocated treatment. Vistra’s refinement avoids that concern by using objective, prospective, and reliability-neutral criteria: the project must be a 39.169 NMA, have an assigned LLI# by July 10, 2026, have a 2028 initial energization date, and not already be included as Base Load. That approach does not select winners. It prevents the transition rules themselves from arbitrarily selecting losers.</w:t>
      </w:r>
    </w:p>
    <w:p w14:paraId="611C25C9" w14:textId="77777777" w:rsidR="00202487" w:rsidRPr="00202487" w:rsidRDefault="00202487" w:rsidP="00587E52">
      <w:pPr>
        <w:pStyle w:val="NormalArial"/>
        <w:spacing w:before="120" w:after="120"/>
        <w:jc w:val="center"/>
        <w:rPr>
          <w:rFonts w:cs="Arial"/>
          <w:b/>
          <w:bCs/>
        </w:rPr>
      </w:pPr>
      <w:r w:rsidRPr="00202487">
        <w:rPr>
          <w:rFonts w:cs="Arial"/>
          <w:b/>
          <w:bCs/>
        </w:rPr>
        <w:t xml:space="preserve">V. </w:t>
      </w:r>
      <w:r w:rsidR="0001077E">
        <w:rPr>
          <w:rFonts w:cs="Arial"/>
          <w:b/>
          <w:bCs/>
        </w:rPr>
        <w:tab/>
      </w:r>
      <w:r w:rsidRPr="00202487">
        <w:rPr>
          <w:rFonts w:cs="Arial"/>
          <w:b/>
          <w:bCs/>
        </w:rPr>
        <w:t>Reliability Safeguards Are Preserved</w:t>
      </w:r>
    </w:p>
    <w:p w14:paraId="0FE27B8B" w14:textId="77777777" w:rsidR="00760692" w:rsidRPr="00760692" w:rsidRDefault="00760692" w:rsidP="00587E52">
      <w:pPr>
        <w:pStyle w:val="NormalArial"/>
        <w:spacing w:before="120" w:after="120"/>
        <w:jc w:val="both"/>
        <w:rPr>
          <w:rFonts w:cs="Arial"/>
        </w:rPr>
      </w:pPr>
      <w:r>
        <w:rPr>
          <w:rFonts w:cs="Arial"/>
        </w:rPr>
        <w:t>Supporting</w:t>
      </w:r>
      <w:r w:rsidRPr="00760692">
        <w:rPr>
          <w:rFonts w:cs="Arial"/>
        </w:rPr>
        <w:t xml:space="preserve"> Vistra’s refinement</w:t>
      </w:r>
      <w:r w:rsidR="00E2423A">
        <w:rPr>
          <w:rFonts w:cs="Arial"/>
        </w:rPr>
        <w:t>s</w:t>
      </w:r>
      <w:r w:rsidRPr="00760692">
        <w:rPr>
          <w:rFonts w:cs="Arial"/>
        </w:rPr>
        <w:t xml:space="preserve"> </w:t>
      </w:r>
      <w:proofErr w:type="gramStart"/>
      <w:r w:rsidRPr="00760692">
        <w:rPr>
          <w:rFonts w:cs="Arial"/>
        </w:rPr>
        <w:t>do</w:t>
      </w:r>
      <w:proofErr w:type="gramEnd"/>
      <w:r w:rsidRPr="00760692">
        <w:rPr>
          <w:rFonts w:cs="Arial"/>
        </w:rPr>
        <w:t xml:space="preserve"> not weaken ERCOT’s reliability protections. A 39.169 NMA included as studied</w:t>
      </w:r>
      <w:r>
        <w:rPr>
          <w:rFonts w:cs="Arial"/>
        </w:rPr>
        <w:t xml:space="preserve"> </w:t>
      </w:r>
      <w:r w:rsidRPr="00760692">
        <w:rPr>
          <w:rFonts w:cs="Arial"/>
        </w:rPr>
        <w:t>and</w:t>
      </w:r>
      <w:r>
        <w:rPr>
          <w:rFonts w:cs="Arial"/>
        </w:rPr>
        <w:t xml:space="preserve"> </w:t>
      </w:r>
      <w:r w:rsidRPr="00760692">
        <w:rPr>
          <w:rFonts w:cs="Arial"/>
        </w:rPr>
        <w:t>allocated load would remain subject to Batch Zero’s steady-state assessment, stability screening, year-by-year allocation methodology, commitment requirements, modeling requirements, and energization prerequisites. ERCOT would retain authority to allocate less than the requested MW, identify required transmission upgrades, condition later increases in load on completion of those upgrades, and require completion of all applicable studies before energization.</w:t>
      </w:r>
    </w:p>
    <w:p w14:paraId="7EAA5012" w14:textId="77777777" w:rsidR="00760692" w:rsidRPr="00760692" w:rsidRDefault="00760692" w:rsidP="00587E52">
      <w:pPr>
        <w:pStyle w:val="NormalArial"/>
        <w:spacing w:before="120" w:after="120"/>
        <w:jc w:val="both"/>
        <w:rPr>
          <w:rFonts w:cs="Arial"/>
        </w:rPr>
      </w:pPr>
      <w:r w:rsidRPr="00760692">
        <w:rPr>
          <w:rFonts w:cs="Arial"/>
        </w:rPr>
        <w:t xml:space="preserve">That is why </w:t>
      </w:r>
      <w:proofErr w:type="gramStart"/>
      <w:r w:rsidRPr="00760692">
        <w:rPr>
          <w:rFonts w:cs="Arial"/>
        </w:rPr>
        <w:t>studied</w:t>
      </w:r>
      <w:proofErr w:type="gramEnd"/>
      <w:r>
        <w:rPr>
          <w:rFonts w:cs="Arial"/>
        </w:rPr>
        <w:t xml:space="preserve"> </w:t>
      </w:r>
      <w:r w:rsidRPr="00760692">
        <w:rPr>
          <w:rFonts w:cs="Arial"/>
        </w:rPr>
        <w:t>and</w:t>
      </w:r>
      <w:r>
        <w:rPr>
          <w:rFonts w:cs="Arial"/>
        </w:rPr>
        <w:t xml:space="preserve"> </w:t>
      </w:r>
      <w:r w:rsidRPr="00760692">
        <w:rPr>
          <w:rFonts w:cs="Arial"/>
        </w:rPr>
        <w:t xml:space="preserve">allocated treatment </w:t>
      </w:r>
      <w:r w:rsidR="00697DD6">
        <w:rPr>
          <w:rFonts w:cs="Arial"/>
        </w:rPr>
        <w:t xml:space="preserve">in Batch Zero </w:t>
      </w:r>
      <w:r w:rsidRPr="00760692">
        <w:rPr>
          <w:rFonts w:cs="Arial"/>
        </w:rPr>
        <w:t>is the appropriate transition tool. It does not grant Base Load status. It does not guarantee the requested MW. It does not displace ERCOT’s reliability judgment. It simply ensures that the project is evaluated in the correct near-term study process, rather than deferred to a later Batch cycle for reasons unrelated to any demonstrated reliability deficiency.</w:t>
      </w:r>
    </w:p>
    <w:p w14:paraId="66CEB4CD" w14:textId="77777777" w:rsidR="00760692" w:rsidRPr="00202487" w:rsidRDefault="000A7C66" w:rsidP="00587E52">
      <w:pPr>
        <w:pStyle w:val="NormalArial"/>
        <w:spacing w:before="120" w:after="120"/>
        <w:jc w:val="both"/>
        <w:rPr>
          <w:rFonts w:cs="Arial"/>
        </w:rPr>
      </w:pPr>
      <w:r>
        <w:rPr>
          <w:rFonts w:cs="Arial"/>
        </w:rPr>
        <w:t>BKV</w:t>
      </w:r>
      <w:r w:rsidR="00760692" w:rsidRPr="00760692">
        <w:rPr>
          <w:rFonts w:cs="Arial"/>
        </w:rPr>
        <w:t xml:space="preserve"> also supports Vistra’s clarification that completion of the </w:t>
      </w:r>
      <w:r w:rsidR="00697DD6">
        <w:rPr>
          <w:rFonts w:cs="Arial"/>
        </w:rPr>
        <w:t>s</w:t>
      </w:r>
      <w:r w:rsidR="00760692" w:rsidRPr="00760692">
        <w:rPr>
          <w:rFonts w:cs="Arial"/>
        </w:rPr>
        <w:t xml:space="preserve">ystem </w:t>
      </w:r>
      <w:r w:rsidR="00697DD6">
        <w:rPr>
          <w:rFonts w:cs="Arial"/>
        </w:rPr>
        <w:t>p</w:t>
      </w:r>
      <w:r w:rsidR="00760692" w:rsidRPr="00760692">
        <w:rPr>
          <w:rFonts w:cs="Arial"/>
        </w:rPr>
        <w:t>rotection (</w:t>
      </w:r>
      <w:r w:rsidR="00697DD6">
        <w:rPr>
          <w:rFonts w:cs="Arial"/>
        </w:rPr>
        <w:t>s</w:t>
      </w:r>
      <w:r w:rsidR="00760692" w:rsidRPr="00760692">
        <w:rPr>
          <w:rFonts w:cs="Arial"/>
        </w:rPr>
        <w:t>hort-</w:t>
      </w:r>
      <w:r w:rsidR="00697DD6">
        <w:rPr>
          <w:rFonts w:cs="Arial"/>
        </w:rPr>
        <w:t>c</w:t>
      </w:r>
      <w:r w:rsidR="00760692" w:rsidRPr="00760692">
        <w:rPr>
          <w:rFonts w:cs="Arial"/>
        </w:rPr>
        <w:t xml:space="preserve">ircuit) </w:t>
      </w:r>
      <w:r w:rsidR="00697DD6">
        <w:rPr>
          <w:rFonts w:cs="Arial"/>
        </w:rPr>
        <w:t>a</w:t>
      </w:r>
      <w:r w:rsidR="00760692" w:rsidRPr="00760692">
        <w:rPr>
          <w:rFonts w:cs="Arial"/>
        </w:rPr>
        <w:t xml:space="preserve">nalysis should not be treated as a prerequisite to initiating the </w:t>
      </w:r>
      <w:r w:rsidR="005C3D0D">
        <w:rPr>
          <w:rFonts w:cs="Arial"/>
        </w:rPr>
        <w:t xml:space="preserve">PURA </w:t>
      </w:r>
      <w:r w:rsidR="00760692" w:rsidRPr="00760692">
        <w:rPr>
          <w:rFonts w:cs="Arial"/>
        </w:rPr>
        <w:t xml:space="preserve">§ 39.169 </w:t>
      </w:r>
      <w:r w:rsidR="00760692" w:rsidRPr="00760692">
        <w:rPr>
          <w:rFonts w:cs="Arial"/>
        </w:rPr>
        <w:lastRenderedPageBreak/>
        <w:t xml:space="preserve">notice and Commission application, provided that the analysis remains required before energization. This distinction preserves the engineering requirement while avoiding unnecessary delay in commencing the statutory NMA review process. ERCOT’s reliability interests are protected by requiring completion before energization; they are not advanced by using a </w:t>
      </w:r>
      <w:r w:rsidR="00697DD6">
        <w:rPr>
          <w:rFonts w:cs="Arial"/>
        </w:rPr>
        <w:t>r</w:t>
      </w:r>
      <w:r w:rsidR="00760692" w:rsidRPr="00760692">
        <w:rPr>
          <w:rFonts w:cs="Arial"/>
        </w:rPr>
        <w:t xml:space="preserve">efinement-period study element as a gate to </w:t>
      </w:r>
      <w:proofErr w:type="gramStart"/>
      <w:r w:rsidR="00760692" w:rsidRPr="00760692">
        <w:rPr>
          <w:rFonts w:cs="Arial"/>
        </w:rPr>
        <w:t>initiating</w:t>
      </w:r>
      <w:proofErr w:type="gramEnd"/>
      <w:r w:rsidR="00760692" w:rsidRPr="00760692">
        <w:rPr>
          <w:rFonts w:cs="Arial"/>
        </w:rPr>
        <w:t xml:space="preserve"> the Commission process.</w:t>
      </w:r>
    </w:p>
    <w:p w14:paraId="22FB1CD4" w14:textId="77777777" w:rsidR="00202487" w:rsidRPr="00202487" w:rsidRDefault="00202487" w:rsidP="00587E52">
      <w:pPr>
        <w:pStyle w:val="NormalArial"/>
        <w:spacing w:before="120" w:after="120"/>
        <w:jc w:val="center"/>
        <w:rPr>
          <w:rFonts w:cs="Arial"/>
          <w:b/>
          <w:bCs/>
        </w:rPr>
      </w:pPr>
      <w:r w:rsidRPr="00202487">
        <w:rPr>
          <w:rFonts w:cs="Arial"/>
          <w:b/>
          <w:bCs/>
        </w:rPr>
        <w:t xml:space="preserve">VI. </w:t>
      </w:r>
      <w:r w:rsidR="0001077E">
        <w:rPr>
          <w:rFonts w:cs="Arial"/>
          <w:b/>
          <w:bCs/>
        </w:rPr>
        <w:tab/>
      </w:r>
      <w:r w:rsidRPr="00202487">
        <w:rPr>
          <w:rFonts w:cs="Arial"/>
          <w:b/>
          <w:bCs/>
        </w:rPr>
        <w:t>Public Interest and Reliability Benefits of 39.169 NMAs</w:t>
      </w:r>
    </w:p>
    <w:p w14:paraId="168DAA44" w14:textId="77777777" w:rsidR="00697DD6" w:rsidRPr="00697DD6" w:rsidRDefault="00697DD6" w:rsidP="00587E52">
      <w:pPr>
        <w:pStyle w:val="NormalArial"/>
        <w:spacing w:before="120" w:after="120"/>
        <w:jc w:val="both"/>
        <w:rPr>
          <w:rFonts w:cs="Arial"/>
        </w:rPr>
      </w:pPr>
      <w:r w:rsidRPr="00697DD6">
        <w:rPr>
          <w:rFonts w:cs="Arial"/>
        </w:rPr>
        <w:t>39.169</w:t>
      </w:r>
      <w:r w:rsidR="00DB2D0F">
        <w:rPr>
          <w:rFonts w:cs="Arial"/>
        </w:rPr>
        <w:t xml:space="preserve"> NMAs</w:t>
      </w:r>
      <w:r w:rsidRPr="00697DD6">
        <w:rPr>
          <w:rFonts w:cs="Arial"/>
        </w:rPr>
        <w:t xml:space="preserve"> are not ordinary large</w:t>
      </w:r>
      <w:r>
        <w:rPr>
          <w:rFonts w:cs="Arial"/>
        </w:rPr>
        <w:t xml:space="preserve"> </w:t>
      </w:r>
      <w:r w:rsidRPr="00697DD6">
        <w:rPr>
          <w:rFonts w:cs="Arial"/>
        </w:rPr>
        <w:t>load requests. They involve co-location with existing</w:t>
      </w:r>
      <w:r>
        <w:rPr>
          <w:rFonts w:cs="Arial"/>
        </w:rPr>
        <w:t xml:space="preserve">, reliable </w:t>
      </w:r>
      <w:r w:rsidRPr="00697DD6">
        <w:rPr>
          <w:rFonts w:cs="Arial"/>
        </w:rPr>
        <w:t xml:space="preserve">grid-facing generation and are subject to additional review by ERCOT and the Commission. They may be subject to reliability-based conditions, including curtailment or other operational commitments, and they can provide operational visibility through </w:t>
      </w:r>
      <w:r>
        <w:rPr>
          <w:rFonts w:cs="Arial"/>
        </w:rPr>
        <w:t>a</w:t>
      </w:r>
      <w:r w:rsidRPr="00697DD6">
        <w:rPr>
          <w:rFonts w:cs="Arial"/>
        </w:rPr>
        <w:t xml:space="preserve"> QSE. They may also reduce incremental transmission impacts where the load is proximate to existing generation and supported by customer-owned facilities.</w:t>
      </w:r>
    </w:p>
    <w:p w14:paraId="53C99D7C" w14:textId="77777777" w:rsidR="00697DD6" w:rsidRPr="00697DD6" w:rsidRDefault="00697DD6" w:rsidP="00587E52">
      <w:pPr>
        <w:pStyle w:val="NormalArial"/>
        <w:spacing w:before="120" w:after="120"/>
        <w:jc w:val="both"/>
        <w:rPr>
          <w:rFonts w:cs="Arial"/>
        </w:rPr>
      </w:pPr>
      <w:r w:rsidRPr="00697DD6">
        <w:rPr>
          <w:rFonts w:cs="Arial"/>
        </w:rPr>
        <w:t xml:space="preserve">Those features do not justify automatic approval or full requested-MW treatment. They do, however, support ensuring that known 2028 39.169 NMAs are not excluded from </w:t>
      </w:r>
      <w:proofErr w:type="gramStart"/>
      <w:r w:rsidRPr="00697DD6">
        <w:rPr>
          <w:rFonts w:cs="Arial"/>
        </w:rPr>
        <w:t>the only</w:t>
      </w:r>
      <w:proofErr w:type="gramEnd"/>
      <w:r w:rsidRPr="00697DD6">
        <w:rPr>
          <w:rFonts w:cs="Arial"/>
        </w:rPr>
        <w:t xml:space="preserve"> near-term study process capable of supporting timely 2028 energization. Inclusion in Batch Zero would allow ERCOT to evaluate both the benefits and limitations of these projects under the same reliability methodology applied to other studied loads.</w:t>
      </w:r>
    </w:p>
    <w:p w14:paraId="78AB9362" w14:textId="77777777" w:rsidR="00697DD6" w:rsidRPr="00697DD6" w:rsidRDefault="00697DD6" w:rsidP="00587E52">
      <w:pPr>
        <w:pStyle w:val="NormalArial"/>
        <w:spacing w:before="120" w:after="120"/>
        <w:jc w:val="both"/>
        <w:rPr>
          <w:rFonts w:cs="Arial"/>
        </w:rPr>
      </w:pPr>
      <w:r w:rsidRPr="00697DD6">
        <w:rPr>
          <w:rFonts w:cs="Arial"/>
        </w:rPr>
        <w:t>This is also consistent with the broader state policy objective of accommodating large</w:t>
      </w:r>
      <w:r>
        <w:rPr>
          <w:rFonts w:cs="Arial"/>
        </w:rPr>
        <w:t xml:space="preserve"> </w:t>
      </w:r>
      <w:r w:rsidRPr="00697DD6">
        <w:rPr>
          <w:rFonts w:cs="Arial"/>
        </w:rPr>
        <w:t xml:space="preserve">load growth in a manner that preserves reliability and supports investment in dispatchable generation. </w:t>
      </w:r>
      <w:r>
        <w:rPr>
          <w:rFonts w:cs="Arial"/>
        </w:rPr>
        <w:t>As noted above, for</w:t>
      </w:r>
      <w:r w:rsidRPr="00697DD6">
        <w:rPr>
          <w:rFonts w:cs="Arial"/>
        </w:rPr>
        <w:t xml:space="preserve"> 39.169 NMAs, the large load can provide the long-term commercial commitment needed to support additional </w:t>
      </w:r>
      <w:r w:rsidR="003B795A">
        <w:rPr>
          <w:rFonts w:cs="Arial"/>
        </w:rPr>
        <w:t xml:space="preserve">investment in merchant </w:t>
      </w:r>
      <w:r w:rsidRPr="00697DD6">
        <w:rPr>
          <w:rFonts w:cs="Arial"/>
        </w:rPr>
        <w:t>generation. Properly studied and conditioned, these arrangements can help pair load growth with generation investment rather than forcing ERCOT to plan for incremental load without an associated commercial pathway for new supply. The appropriate response is not exclusion from Batch Zero, but inclusion in Batch Zero’s studied</w:t>
      </w:r>
      <w:r w:rsidR="003B795A">
        <w:rPr>
          <w:rFonts w:cs="Arial"/>
        </w:rPr>
        <w:t xml:space="preserve"> </w:t>
      </w:r>
      <w:r w:rsidRPr="00697DD6">
        <w:rPr>
          <w:rFonts w:cs="Arial"/>
        </w:rPr>
        <w:t>and</w:t>
      </w:r>
      <w:r w:rsidR="003B795A">
        <w:rPr>
          <w:rFonts w:cs="Arial"/>
        </w:rPr>
        <w:t xml:space="preserve"> </w:t>
      </w:r>
      <w:r w:rsidRPr="00697DD6">
        <w:rPr>
          <w:rFonts w:cs="Arial"/>
        </w:rPr>
        <w:t>allocated framework so ERCOT and the Commission can evaluate the project on its actual reliability merits.</w:t>
      </w:r>
    </w:p>
    <w:p w14:paraId="694201AC" w14:textId="77777777" w:rsidR="00202487" w:rsidRPr="00202487" w:rsidRDefault="00202487" w:rsidP="00587E52">
      <w:pPr>
        <w:pStyle w:val="NormalArial"/>
        <w:spacing w:before="120" w:after="120"/>
        <w:jc w:val="center"/>
        <w:rPr>
          <w:rFonts w:cs="Arial"/>
          <w:b/>
          <w:bCs/>
        </w:rPr>
      </w:pPr>
      <w:r w:rsidRPr="00202487">
        <w:rPr>
          <w:rFonts w:cs="Arial"/>
          <w:b/>
          <w:bCs/>
        </w:rPr>
        <w:t xml:space="preserve">VII. </w:t>
      </w:r>
      <w:r w:rsidR="0001077E">
        <w:rPr>
          <w:rFonts w:cs="Arial"/>
          <w:b/>
          <w:bCs/>
        </w:rPr>
        <w:tab/>
      </w:r>
      <w:r w:rsidRPr="00202487">
        <w:rPr>
          <w:rFonts w:cs="Arial"/>
          <w:b/>
          <w:bCs/>
        </w:rPr>
        <w:t>Conclusion</w:t>
      </w:r>
    </w:p>
    <w:p w14:paraId="2447130E" w14:textId="77777777" w:rsidR="003B795A" w:rsidRPr="003B795A" w:rsidRDefault="000A7C66" w:rsidP="00587E52">
      <w:pPr>
        <w:pStyle w:val="NormalArial"/>
        <w:spacing w:before="120" w:after="120"/>
        <w:jc w:val="both"/>
        <w:rPr>
          <w:rFonts w:cs="Arial"/>
        </w:rPr>
      </w:pPr>
      <w:r>
        <w:rPr>
          <w:rFonts w:cs="Arial"/>
        </w:rPr>
        <w:t>BKV</w:t>
      </w:r>
      <w:r w:rsidR="003B795A" w:rsidRPr="003B795A">
        <w:rPr>
          <w:rFonts w:cs="Arial"/>
        </w:rPr>
        <w:t xml:space="preserve"> supports Vistra’s May </w:t>
      </w:r>
      <w:r w:rsidR="0024251B">
        <w:rPr>
          <w:rFonts w:cs="Arial"/>
        </w:rPr>
        <w:t>17</w:t>
      </w:r>
      <w:r w:rsidR="003B795A" w:rsidRPr="003B795A">
        <w:rPr>
          <w:rFonts w:cs="Arial"/>
        </w:rPr>
        <w:t xml:space="preserve"> refinements to PGRR145 as a narrow and practical way to align Batch Zero with PURA § 39.169, 16 TAC § 25.205, and ERCOT’s transition to a</w:t>
      </w:r>
      <w:r w:rsidR="003B795A">
        <w:rPr>
          <w:rFonts w:cs="Arial"/>
        </w:rPr>
        <w:t xml:space="preserve"> permanent</w:t>
      </w:r>
      <w:r w:rsidR="003B795A" w:rsidRPr="003B795A">
        <w:rPr>
          <w:rFonts w:cs="Arial"/>
        </w:rPr>
        <w:t xml:space="preserve"> Batch framework. The supported approach would include known 39.169 NMAs with assigned LLI#s, 2028 initial energization dates, and no Base Load classification as load subject to reliability assessment and allocation in Batch Zero under § 9.2.1.2.</w:t>
      </w:r>
    </w:p>
    <w:p w14:paraId="55B2C552" w14:textId="77777777" w:rsidR="003B795A" w:rsidRPr="003B795A" w:rsidRDefault="003B795A" w:rsidP="00587E52">
      <w:pPr>
        <w:pStyle w:val="NormalArial"/>
        <w:spacing w:before="120" w:after="120"/>
        <w:jc w:val="both"/>
        <w:rPr>
          <w:rFonts w:cs="Arial"/>
        </w:rPr>
      </w:pPr>
      <w:r w:rsidRPr="003B795A">
        <w:rPr>
          <w:rFonts w:cs="Arial"/>
        </w:rPr>
        <w:t xml:space="preserve">This treatment does not create a broad preference, confer Base Load status, guarantee energization, or exempt any project from reliability review. It simply ensures that mature, known 2028 39.169 NMAs are evaluated in ERCOT’s preferred near-term Batch process rather than stranded until Batch </w:t>
      </w:r>
      <w:r>
        <w:rPr>
          <w:rFonts w:cs="Arial"/>
        </w:rPr>
        <w:t>One</w:t>
      </w:r>
      <w:r w:rsidRPr="003B795A">
        <w:rPr>
          <w:rFonts w:cs="Arial"/>
        </w:rPr>
        <w:t xml:space="preserve"> based on transition mechanics that do not independently measure reliability or readiness.</w:t>
      </w:r>
    </w:p>
    <w:p w14:paraId="4648AE56" w14:textId="77777777" w:rsidR="00FF5E88" w:rsidRPr="00587E52" w:rsidRDefault="000A7C66" w:rsidP="00587E52">
      <w:pPr>
        <w:pStyle w:val="NormalArial"/>
        <w:spacing w:before="120" w:after="120"/>
        <w:jc w:val="both"/>
        <w:rPr>
          <w:rFonts w:cs="Arial"/>
        </w:rPr>
      </w:pPr>
      <w:r>
        <w:rPr>
          <w:rFonts w:cs="Arial"/>
        </w:rPr>
        <w:lastRenderedPageBreak/>
        <w:t>BKV</w:t>
      </w:r>
      <w:r w:rsidR="003B795A" w:rsidRPr="003B795A">
        <w:rPr>
          <w:rFonts w:cs="Arial"/>
        </w:rPr>
        <w:t xml:space="preserve"> respectfully </w:t>
      </w:r>
      <w:r w:rsidR="003B795A">
        <w:rPr>
          <w:rFonts w:cs="Arial"/>
        </w:rPr>
        <w:t>encourages ERCOT to adopt</w:t>
      </w:r>
      <w:r w:rsidR="003B795A" w:rsidRPr="003B795A">
        <w:rPr>
          <w:rFonts w:cs="Arial"/>
        </w:rPr>
        <w:t xml:space="preserve"> </w:t>
      </w:r>
      <w:r>
        <w:rPr>
          <w:rFonts w:cs="Arial"/>
        </w:rPr>
        <w:t xml:space="preserve">and incorporate </w:t>
      </w:r>
      <w:r w:rsidR="003B795A" w:rsidRPr="003B795A">
        <w:rPr>
          <w:rFonts w:cs="Arial"/>
        </w:rPr>
        <w:t xml:space="preserve">Vistra’s </w:t>
      </w:r>
      <w:r w:rsidR="003B795A">
        <w:rPr>
          <w:rFonts w:cs="Arial"/>
        </w:rPr>
        <w:t>proposal</w:t>
      </w:r>
      <w:r w:rsidR="003B795A" w:rsidRPr="003B795A">
        <w:rPr>
          <w:rFonts w:cs="Arial"/>
        </w:rPr>
        <w:t xml:space="preserve"> into PGRR145 to preserve ERCOT’s reliability authority, maintain study discipline, and avoid sending the wrong market signal to investors supporting dispatchable generation and large</w:t>
      </w:r>
      <w:r>
        <w:rPr>
          <w:rFonts w:cs="Arial"/>
        </w:rPr>
        <w:t xml:space="preserve"> </w:t>
      </w:r>
      <w:r w:rsidR="003B795A" w:rsidRPr="003B795A">
        <w:rPr>
          <w:rFonts w:cs="Arial"/>
        </w:rPr>
        <w:t>load growth in Texas.</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F5E88" w14:paraId="6C497D77" w14:textId="77777777" w:rsidTr="00366799">
        <w:tblPrEx>
          <w:tblCellMar>
            <w:top w:w="0" w:type="dxa"/>
            <w:bottom w:w="0" w:type="dxa"/>
          </w:tblCellMar>
        </w:tblPrEx>
        <w:trPr>
          <w:trHeight w:val="350"/>
        </w:trPr>
        <w:tc>
          <w:tcPr>
            <w:tcW w:w="10440" w:type="dxa"/>
            <w:tcBorders>
              <w:bottom w:val="single" w:sz="4" w:space="0" w:color="auto"/>
            </w:tcBorders>
            <w:shd w:val="clear" w:color="auto" w:fill="FFFFFF"/>
            <w:vAlign w:val="center"/>
          </w:tcPr>
          <w:p w14:paraId="6D54E105" w14:textId="77777777" w:rsidR="00FF5E88" w:rsidRDefault="00FF5E88" w:rsidP="00366799">
            <w:pPr>
              <w:pStyle w:val="Header"/>
              <w:jc w:val="center"/>
            </w:pPr>
            <w:r>
              <w:t>Revised Cover Page Language</w:t>
            </w:r>
          </w:p>
        </w:tc>
      </w:tr>
    </w:tbl>
    <w:p w14:paraId="5A5F39C9" w14:textId="77777777" w:rsidR="000A7C66" w:rsidRDefault="00DB2D0F" w:rsidP="00587E52">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267ABFAD" w14:textId="77777777">
        <w:tblPrEx>
          <w:tblCellMar>
            <w:top w:w="0" w:type="dxa"/>
            <w:bottom w:w="0" w:type="dxa"/>
          </w:tblCellMar>
        </w:tblPrEx>
        <w:trPr>
          <w:trHeight w:val="350"/>
        </w:trPr>
        <w:tc>
          <w:tcPr>
            <w:tcW w:w="10440" w:type="dxa"/>
            <w:tcBorders>
              <w:bottom w:val="single" w:sz="4" w:space="0" w:color="auto"/>
            </w:tcBorders>
            <w:shd w:val="clear" w:color="auto" w:fill="FFFFFF"/>
            <w:vAlign w:val="center"/>
          </w:tcPr>
          <w:p w14:paraId="1238C218" w14:textId="77777777" w:rsidR="00152993" w:rsidRDefault="00152993">
            <w:pPr>
              <w:pStyle w:val="Header"/>
              <w:jc w:val="center"/>
            </w:pPr>
            <w:r>
              <w:t xml:space="preserve">Revised Proposed </w:t>
            </w:r>
            <w:r w:rsidR="00C158EE">
              <w:t xml:space="preserve">Guide </w:t>
            </w:r>
            <w:r>
              <w:t>Language</w:t>
            </w:r>
          </w:p>
        </w:tc>
      </w:tr>
    </w:tbl>
    <w:p w14:paraId="4E182916" w14:textId="77777777" w:rsidR="00152993" w:rsidRDefault="00587E52" w:rsidP="00587E52">
      <w:pPr>
        <w:pStyle w:val="NormalArial"/>
        <w:spacing w:before="120" w:after="120"/>
      </w:pPr>
      <w:r>
        <w:t>None</w:t>
      </w:r>
    </w:p>
    <w:sectPr w:rsidR="00152993" w:rsidSect="0074209E">
      <w:headerReference w:type="default" r:id="rId12"/>
      <w:foot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81958" w14:textId="77777777" w:rsidR="00C52F87" w:rsidRDefault="00C52F87">
      <w:r>
        <w:separator/>
      </w:r>
    </w:p>
  </w:endnote>
  <w:endnote w:type="continuationSeparator" w:id="0">
    <w:p w14:paraId="563F21A9" w14:textId="77777777" w:rsidR="00C52F87" w:rsidRDefault="00C52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3472B" w14:textId="77777777" w:rsidR="003D0994" w:rsidRDefault="00414836" w:rsidP="0074209E">
    <w:pPr>
      <w:pStyle w:val="Footer"/>
      <w:tabs>
        <w:tab w:val="clear" w:pos="4320"/>
        <w:tab w:val="clear" w:pos="8640"/>
        <w:tab w:val="right" w:pos="9360"/>
      </w:tabs>
      <w:rPr>
        <w:rFonts w:ascii="Arial" w:hAnsi="Arial"/>
        <w:sz w:val="18"/>
      </w:rPr>
    </w:pPr>
    <w:r>
      <w:rPr>
        <w:rFonts w:ascii="Arial" w:hAnsi="Arial"/>
        <w:sz w:val="18"/>
      </w:rPr>
      <w:t>145</w:t>
    </w:r>
    <w:r w:rsidR="00170E84">
      <w:rPr>
        <w:rFonts w:ascii="Arial" w:hAnsi="Arial"/>
        <w:sz w:val="18"/>
      </w:rPr>
      <w:t>P</w:t>
    </w:r>
    <w:r w:rsidR="00C158EE">
      <w:rPr>
        <w:rFonts w:ascii="Arial" w:hAnsi="Arial"/>
        <w:sz w:val="18"/>
      </w:rPr>
      <w:t>GRR</w:t>
    </w:r>
    <w:r>
      <w:rPr>
        <w:rFonts w:ascii="Arial" w:hAnsi="Arial"/>
        <w:sz w:val="18"/>
      </w:rPr>
      <w:t>-103 BKV</w:t>
    </w:r>
    <w:r w:rsidR="00C158EE">
      <w:rPr>
        <w:rFonts w:ascii="Arial" w:hAnsi="Arial"/>
        <w:sz w:val="18"/>
      </w:rPr>
      <w:t xml:space="preserve"> </w:t>
    </w:r>
    <w:r w:rsidR="007269C4">
      <w:rPr>
        <w:rFonts w:ascii="Arial" w:hAnsi="Arial"/>
        <w:sz w:val="18"/>
      </w:rPr>
      <w:t>Comment</w:t>
    </w:r>
    <w:r>
      <w:rPr>
        <w:rFonts w:ascii="Arial" w:hAnsi="Arial"/>
        <w:sz w:val="18"/>
      </w:rPr>
      <w:t>s</w:t>
    </w:r>
    <w:r w:rsidR="007269C4">
      <w:rPr>
        <w:rFonts w:ascii="Arial" w:hAnsi="Arial"/>
        <w:sz w:val="18"/>
      </w:rPr>
      <w:t xml:space="preserve"> </w:t>
    </w:r>
    <w:r>
      <w:rPr>
        <w:rFonts w:ascii="Arial" w:hAnsi="Arial"/>
        <w:sz w:val="18"/>
      </w:rPr>
      <w:t>051826</w:t>
    </w:r>
    <w:r w:rsidR="007269C4">
      <w:rPr>
        <w:rFonts w:ascii="Arial" w:hAnsi="Arial"/>
        <w:sz w:val="18"/>
      </w:rPr>
      <w:t xml:space="preserve"> </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60DE2166"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0E8F0" w14:textId="77777777" w:rsidR="00C52F87" w:rsidRDefault="00C52F87">
      <w:r>
        <w:separator/>
      </w:r>
    </w:p>
  </w:footnote>
  <w:footnote w:type="continuationSeparator" w:id="0">
    <w:p w14:paraId="73CD6C6E" w14:textId="77777777" w:rsidR="00C52F87" w:rsidRDefault="00C52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22E7F" w14:textId="77777777" w:rsidR="003D0994" w:rsidRDefault="00170E84">
    <w:pPr>
      <w:pStyle w:val="Header"/>
      <w:jc w:val="center"/>
      <w:rPr>
        <w:sz w:val="32"/>
      </w:rPr>
    </w:pPr>
    <w:r>
      <w:rPr>
        <w:sz w:val="32"/>
      </w:rPr>
      <w:t>P</w:t>
    </w:r>
    <w:r w:rsidR="00C158EE">
      <w:rPr>
        <w:sz w:val="32"/>
      </w:rPr>
      <w:t xml:space="preserve">GRR </w:t>
    </w:r>
    <w:r w:rsidR="003D0994">
      <w:rPr>
        <w:sz w:val="32"/>
      </w:rPr>
      <w:t>Comments</w:t>
    </w:r>
  </w:p>
  <w:p w14:paraId="5E4E8578"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553468841">
    <w:abstractNumId w:val="0"/>
  </w:num>
  <w:num w:numId="2" w16cid:durableId="780106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1077E"/>
    <w:rsid w:val="00012122"/>
    <w:rsid w:val="00020037"/>
    <w:rsid w:val="00037668"/>
    <w:rsid w:val="00075A94"/>
    <w:rsid w:val="000A7C66"/>
    <w:rsid w:val="000F0086"/>
    <w:rsid w:val="00110FD2"/>
    <w:rsid w:val="00132855"/>
    <w:rsid w:val="00152993"/>
    <w:rsid w:val="00170297"/>
    <w:rsid w:val="00170E84"/>
    <w:rsid w:val="001A227D"/>
    <w:rsid w:val="001E2032"/>
    <w:rsid w:val="001F3CA0"/>
    <w:rsid w:val="00202487"/>
    <w:rsid w:val="00224E6D"/>
    <w:rsid w:val="002266CF"/>
    <w:rsid w:val="00234136"/>
    <w:rsid w:val="00237F13"/>
    <w:rsid w:val="0024251B"/>
    <w:rsid w:val="002771E6"/>
    <w:rsid w:val="002E2C56"/>
    <w:rsid w:val="003010C0"/>
    <w:rsid w:val="003051B2"/>
    <w:rsid w:val="00332A97"/>
    <w:rsid w:val="00350C00"/>
    <w:rsid w:val="00366113"/>
    <w:rsid w:val="00366799"/>
    <w:rsid w:val="003863B8"/>
    <w:rsid w:val="00395243"/>
    <w:rsid w:val="003B795A"/>
    <w:rsid w:val="003C270C"/>
    <w:rsid w:val="003C405A"/>
    <w:rsid w:val="003D0994"/>
    <w:rsid w:val="003D56A5"/>
    <w:rsid w:val="003E2638"/>
    <w:rsid w:val="003E7D74"/>
    <w:rsid w:val="00414836"/>
    <w:rsid w:val="00423824"/>
    <w:rsid w:val="0043567D"/>
    <w:rsid w:val="00437A01"/>
    <w:rsid w:val="004B7B90"/>
    <w:rsid w:val="004E2C19"/>
    <w:rsid w:val="00504587"/>
    <w:rsid w:val="00587E52"/>
    <w:rsid w:val="005C3D0D"/>
    <w:rsid w:val="005D284C"/>
    <w:rsid w:val="00633E23"/>
    <w:rsid w:val="00673B94"/>
    <w:rsid w:val="00680AC6"/>
    <w:rsid w:val="006835D8"/>
    <w:rsid w:val="00697DD6"/>
    <w:rsid w:val="006C316E"/>
    <w:rsid w:val="006D0F7C"/>
    <w:rsid w:val="00717738"/>
    <w:rsid w:val="007269C4"/>
    <w:rsid w:val="00727E22"/>
    <w:rsid w:val="00734EAF"/>
    <w:rsid w:val="0074209E"/>
    <w:rsid w:val="00760692"/>
    <w:rsid w:val="007C4217"/>
    <w:rsid w:val="007D3276"/>
    <w:rsid w:val="007F2CA8"/>
    <w:rsid w:val="007F7161"/>
    <w:rsid w:val="00823E4A"/>
    <w:rsid w:val="0085559E"/>
    <w:rsid w:val="008661EF"/>
    <w:rsid w:val="00896B1B"/>
    <w:rsid w:val="008D248A"/>
    <w:rsid w:val="008E559E"/>
    <w:rsid w:val="00916080"/>
    <w:rsid w:val="00921A68"/>
    <w:rsid w:val="00960706"/>
    <w:rsid w:val="009D0355"/>
    <w:rsid w:val="00A015C4"/>
    <w:rsid w:val="00A15172"/>
    <w:rsid w:val="00A26DEA"/>
    <w:rsid w:val="00A27E64"/>
    <w:rsid w:val="00B01973"/>
    <w:rsid w:val="00B019E7"/>
    <w:rsid w:val="00B845F9"/>
    <w:rsid w:val="00BC1632"/>
    <w:rsid w:val="00C00961"/>
    <w:rsid w:val="00C0598D"/>
    <w:rsid w:val="00C10F7E"/>
    <w:rsid w:val="00C11956"/>
    <w:rsid w:val="00C158EE"/>
    <w:rsid w:val="00C52F87"/>
    <w:rsid w:val="00C562DD"/>
    <w:rsid w:val="00C602E5"/>
    <w:rsid w:val="00C61D20"/>
    <w:rsid w:val="00C70464"/>
    <w:rsid w:val="00C748FD"/>
    <w:rsid w:val="00CF3B7E"/>
    <w:rsid w:val="00D24DCF"/>
    <w:rsid w:val="00D31E8A"/>
    <w:rsid w:val="00D4046E"/>
    <w:rsid w:val="00D40A48"/>
    <w:rsid w:val="00D60446"/>
    <w:rsid w:val="00D9165C"/>
    <w:rsid w:val="00DA384D"/>
    <w:rsid w:val="00DA3DBD"/>
    <w:rsid w:val="00DB2D0F"/>
    <w:rsid w:val="00DD4739"/>
    <w:rsid w:val="00DE5F33"/>
    <w:rsid w:val="00E011FC"/>
    <w:rsid w:val="00E02E73"/>
    <w:rsid w:val="00E07B54"/>
    <w:rsid w:val="00E11F78"/>
    <w:rsid w:val="00E2423A"/>
    <w:rsid w:val="00E621E1"/>
    <w:rsid w:val="00EC55B3"/>
    <w:rsid w:val="00EE02D0"/>
    <w:rsid w:val="00F038EC"/>
    <w:rsid w:val="00F762DA"/>
    <w:rsid w:val="00F96FB2"/>
    <w:rsid w:val="00FB51D8"/>
    <w:rsid w:val="00FD08E8"/>
    <w:rsid w:val="00FE5B3D"/>
    <w:rsid w:val="00FF5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7228F2E8"/>
  <w15:chartTrackingRefBased/>
  <w15:docId w15:val="{44EB14C7-CF7A-42A9-B2EA-035DEA2C7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pPr>
      <w:tabs>
        <w:tab w:val="center" w:pos="4536"/>
      </w:tabs>
    </w:pP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character" w:styleId="UnresolvedMention">
    <w:name w:val="Unresolved Mention"/>
    <w:uiPriority w:val="99"/>
    <w:semiHidden/>
    <w:unhideWhenUsed/>
    <w:rsid w:val="001F3CA0"/>
    <w:rPr>
      <w:color w:val="605E5C"/>
      <w:shd w:val="clear" w:color="auto" w:fill="E1DFDD"/>
    </w:rPr>
  </w:style>
  <w:style w:type="paragraph" w:styleId="NormalWeb">
    <w:name w:val="Normal (Web)"/>
    <w:basedOn w:val="Normal"/>
    <w:rsid w:val="00202487"/>
  </w:style>
  <w:style w:type="paragraph" w:styleId="FootnoteText">
    <w:name w:val="footnote text"/>
    <w:basedOn w:val="Normal"/>
    <w:link w:val="FootnoteTextChar"/>
    <w:rsid w:val="00C61D20"/>
    <w:rPr>
      <w:sz w:val="20"/>
      <w:szCs w:val="20"/>
    </w:rPr>
  </w:style>
  <w:style w:type="character" w:customStyle="1" w:styleId="FootnoteTextChar">
    <w:name w:val="Footnote Text Char"/>
    <w:basedOn w:val="DefaultParagraphFont"/>
    <w:link w:val="FootnoteText"/>
    <w:rsid w:val="00C61D20"/>
  </w:style>
  <w:style w:type="character" w:styleId="FootnoteReference">
    <w:name w:val="footnote reference"/>
    <w:rsid w:val="00C61D20"/>
    <w:rPr>
      <w:vertAlign w:val="superscript"/>
    </w:rPr>
  </w:style>
  <w:style w:type="paragraph" w:styleId="Revision">
    <w:name w:val="Revision"/>
    <w:hidden/>
    <w:uiPriority w:val="99"/>
    <w:semiHidden/>
    <w:rsid w:val="00F762D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PGRR145"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6/05/17/145PGRR-99-Vistra-Comments-051726.doc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rcot.com/files/docs/2026/05/12/145PGRR-89-Vistra-Comments-051226.docx" TargetMode="External"/><Relationship Id="rId4" Type="http://schemas.openxmlformats.org/officeDocument/2006/relationships/settings" Target="settings.xml"/><Relationship Id="rId9" Type="http://schemas.openxmlformats.org/officeDocument/2006/relationships/hyperlink" Target="mailto:MarkGipson@bkvcorp.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1362E-E8C8-4974-9083-587692F80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2327</Words>
  <Characters>13268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15564</CharactersWithSpaces>
  <SharedDoc>false</SharedDoc>
  <HLinks>
    <vt:vector size="24" baseType="variant">
      <vt:variant>
        <vt:i4>7143483</vt:i4>
      </vt:variant>
      <vt:variant>
        <vt:i4>9</vt:i4>
      </vt:variant>
      <vt:variant>
        <vt:i4>0</vt:i4>
      </vt:variant>
      <vt:variant>
        <vt:i4>5</vt:i4>
      </vt:variant>
      <vt:variant>
        <vt:lpwstr>https://www.ercot.com/files/docs/2026/05/17/145PGRR-99-Vistra-Comments-051726.docx</vt:lpwstr>
      </vt:variant>
      <vt:variant>
        <vt:lpwstr/>
      </vt:variant>
      <vt:variant>
        <vt:i4>7143482</vt:i4>
      </vt:variant>
      <vt:variant>
        <vt:i4>6</vt:i4>
      </vt:variant>
      <vt:variant>
        <vt:i4>0</vt:i4>
      </vt:variant>
      <vt:variant>
        <vt:i4>5</vt:i4>
      </vt:variant>
      <vt:variant>
        <vt:lpwstr>https://www.ercot.com/files/docs/2026/05/12/145PGRR-89-Vistra-Comments-051226.docx</vt:lpwstr>
      </vt:variant>
      <vt:variant>
        <vt:lpwstr/>
      </vt:variant>
      <vt:variant>
        <vt:i4>8257628</vt:i4>
      </vt:variant>
      <vt:variant>
        <vt:i4>3</vt:i4>
      </vt:variant>
      <vt:variant>
        <vt:i4>0</vt:i4>
      </vt:variant>
      <vt:variant>
        <vt:i4>5</vt:i4>
      </vt:variant>
      <vt:variant>
        <vt:lpwstr>mailto:MarkGipson@bkvcorp.com</vt:lpwstr>
      </vt:variant>
      <vt:variant>
        <vt:lpwstr/>
      </vt:variant>
      <vt:variant>
        <vt:i4>4980828</vt:i4>
      </vt:variant>
      <vt:variant>
        <vt:i4>0</vt:i4>
      </vt:variant>
      <vt:variant>
        <vt:i4>0</vt:i4>
      </vt:variant>
      <vt:variant>
        <vt:i4>5</vt:i4>
      </vt:variant>
      <vt:variant>
        <vt:lpwstr>https://www.ercot.com/mktrules/issues/PGRR145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Agentic 051826</dc:creator>
  <cp:keywords/>
  <dc:description/>
  <cp:lastModifiedBy>Agentic 051826</cp:lastModifiedBy>
  <cp:revision>2</cp:revision>
  <dcterms:created xsi:type="dcterms:W3CDTF">2026-05-18T15:23:00Z</dcterms:created>
  <dcterms:modified xsi:type="dcterms:W3CDTF">2026-05-18T15:23:00Z</dcterms:modified>
</cp:coreProperties>
</file>