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260"/>
        <w:gridCol w:w="6120"/>
      </w:tblGrid>
      <w:tr w:rsidR="00FB4274" w14:paraId="26731349" w14:textId="77777777" w:rsidTr="00D54DC7">
        <w:trPr>
          <w:trHeight w:val="620"/>
        </w:trPr>
        <w:tc>
          <w:tcPr>
            <w:tcW w:w="1620" w:type="dxa"/>
            <w:tcBorders>
              <w:bottom w:val="single" w:sz="4" w:space="0" w:color="auto"/>
            </w:tcBorders>
            <w:shd w:val="clear" w:color="auto" w:fill="FFFFFF"/>
            <w:vAlign w:val="center"/>
          </w:tcPr>
          <w:p w14:paraId="4BD916B6" w14:textId="3A3ABBE4" w:rsidR="00FB4274" w:rsidRDefault="00FB4274" w:rsidP="00FB4274">
            <w:pPr>
              <w:pStyle w:val="Header"/>
            </w:pPr>
            <w:r>
              <w:t>PGRR Number</w:t>
            </w:r>
          </w:p>
        </w:tc>
        <w:tc>
          <w:tcPr>
            <w:tcW w:w="1440" w:type="dxa"/>
            <w:tcBorders>
              <w:bottom w:val="single" w:sz="4" w:space="0" w:color="auto"/>
            </w:tcBorders>
            <w:vAlign w:val="center"/>
          </w:tcPr>
          <w:p w14:paraId="624915CA" w14:textId="4D7DD171" w:rsidR="00FB4274" w:rsidRPr="00595DDC" w:rsidRDefault="00FB4274" w:rsidP="00FB4274">
            <w:pPr>
              <w:pStyle w:val="Header"/>
              <w:tabs>
                <w:tab w:val="clear" w:pos="4320"/>
                <w:tab w:val="clear" w:pos="8640"/>
              </w:tabs>
            </w:pPr>
            <w:hyperlink r:id="rId11" w:history="1">
              <w:r w:rsidRPr="00180821">
                <w:rPr>
                  <w:rStyle w:val="Hyperlink"/>
                </w:rPr>
                <w:t>145</w:t>
              </w:r>
            </w:hyperlink>
          </w:p>
        </w:tc>
        <w:tc>
          <w:tcPr>
            <w:tcW w:w="1260" w:type="dxa"/>
            <w:tcBorders>
              <w:bottom w:val="single" w:sz="4" w:space="0" w:color="auto"/>
            </w:tcBorders>
            <w:shd w:val="clear" w:color="auto" w:fill="FFFFFF"/>
            <w:vAlign w:val="center"/>
          </w:tcPr>
          <w:p w14:paraId="28D5BFC6" w14:textId="0C508BC9" w:rsidR="00FB4274" w:rsidRDefault="00FB4274" w:rsidP="00FB4274">
            <w:pPr>
              <w:pStyle w:val="Header"/>
            </w:pPr>
            <w:r>
              <w:t>PGRR Title</w:t>
            </w:r>
          </w:p>
        </w:tc>
        <w:tc>
          <w:tcPr>
            <w:tcW w:w="6120" w:type="dxa"/>
            <w:tcBorders>
              <w:bottom w:val="single" w:sz="4" w:space="0" w:color="auto"/>
            </w:tcBorders>
            <w:vAlign w:val="center"/>
          </w:tcPr>
          <w:p w14:paraId="2B2ADD28" w14:textId="2D48B4B4" w:rsidR="00FB4274" w:rsidRPr="009F3D0E" w:rsidRDefault="00FB4274" w:rsidP="00FB4274">
            <w:pPr>
              <w:pStyle w:val="Header"/>
              <w:rPr>
                <w:szCs w:val="23"/>
              </w:rPr>
            </w:pPr>
            <w:r w:rsidRPr="000051C6">
              <w:t>Batch Zero</w:t>
            </w:r>
            <w:r>
              <w:t xml:space="preserve"> Process for Large Load Interconnections</w:t>
            </w:r>
          </w:p>
        </w:tc>
      </w:tr>
      <w:tr w:rsidR="00FC0BDC" w14:paraId="11C13457" w14:textId="77777777">
        <w:trPr>
          <w:trHeight w:val="548"/>
        </w:trPr>
        <w:tc>
          <w:tcPr>
            <w:tcW w:w="3060" w:type="dxa"/>
            <w:gridSpan w:val="2"/>
            <w:tcBorders>
              <w:top w:val="single" w:sz="4" w:space="0" w:color="auto"/>
              <w:left w:val="single" w:sz="4" w:space="0" w:color="auto"/>
              <w:bottom w:val="single" w:sz="4" w:space="0" w:color="auto"/>
              <w:right w:val="single" w:sz="4" w:space="0" w:color="auto"/>
            </w:tcBorders>
            <w:vAlign w:val="center"/>
          </w:tcPr>
          <w:p w14:paraId="27B7A380" w14:textId="77777777" w:rsidR="00FC0BDC" w:rsidRDefault="00FC0BDC">
            <w:pPr>
              <w:pStyle w:val="Header"/>
            </w:pPr>
            <w:r>
              <w:t>Impact Analysis Date</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4B082005" w14:textId="1FA096C5" w:rsidR="00FC0BDC" w:rsidRPr="009F3D0E" w:rsidRDefault="002031AF" w:rsidP="009F3D0E">
            <w:pPr>
              <w:spacing w:before="100" w:beforeAutospacing="1" w:after="100" w:afterAutospacing="1"/>
              <w:rPr>
                <w:rFonts w:ascii="Arial" w:hAnsi="Arial" w:cs="Arial"/>
                <w:szCs w:val="22"/>
              </w:rPr>
            </w:pPr>
            <w:r>
              <w:rPr>
                <w:rFonts w:ascii="Arial" w:hAnsi="Arial" w:cs="Arial"/>
                <w:szCs w:val="22"/>
              </w:rPr>
              <w:t>May 18, 2026</w:t>
            </w:r>
          </w:p>
        </w:tc>
      </w:tr>
      <w:tr w:rsidR="00F13670" w14:paraId="1F4C5D7D" w14:textId="77777777" w:rsidTr="00663934">
        <w:trPr>
          <w:trHeight w:val="602"/>
        </w:trPr>
        <w:tc>
          <w:tcPr>
            <w:tcW w:w="3060" w:type="dxa"/>
            <w:gridSpan w:val="2"/>
            <w:tcBorders>
              <w:top w:val="single" w:sz="4" w:space="0" w:color="auto"/>
              <w:bottom w:val="single" w:sz="4" w:space="0" w:color="auto"/>
            </w:tcBorders>
            <w:shd w:val="clear" w:color="auto" w:fill="FFFFFF"/>
            <w:vAlign w:val="center"/>
          </w:tcPr>
          <w:p w14:paraId="3C019CE3" w14:textId="6109FEC8" w:rsidR="00F13670" w:rsidRDefault="00BB3E15">
            <w:pPr>
              <w:pStyle w:val="Header"/>
            </w:pPr>
            <w:r>
              <w:t>Estimated Cost</w:t>
            </w:r>
            <w:r w:rsidR="00935CE9">
              <w:t xml:space="preserve">/Budgetary </w:t>
            </w:r>
            <w:r w:rsidR="00F13670">
              <w:t>Impact</w:t>
            </w:r>
          </w:p>
        </w:tc>
        <w:tc>
          <w:tcPr>
            <w:tcW w:w="7380" w:type="dxa"/>
            <w:gridSpan w:val="2"/>
            <w:tcBorders>
              <w:top w:val="single" w:sz="4" w:space="0" w:color="auto"/>
            </w:tcBorders>
            <w:vAlign w:val="center"/>
          </w:tcPr>
          <w:p w14:paraId="18D02FFB" w14:textId="44943F28" w:rsidR="001C57E3" w:rsidRPr="001C57E3" w:rsidRDefault="001C57E3" w:rsidP="001C57E3">
            <w:pPr>
              <w:spacing w:before="100" w:beforeAutospacing="1" w:after="100" w:afterAutospacing="1"/>
              <w:contextualSpacing/>
              <w:rPr>
                <w:rFonts w:ascii="Arial" w:hAnsi="Arial" w:cs="Arial"/>
                <w:u w:val="single"/>
              </w:rPr>
            </w:pPr>
            <w:r w:rsidRPr="001C57E3">
              <w:rPr>
                <w:rFonts w:ascii="Arial" w:hAnsi="Arial" w:cs="Arial"/>
                <w:u w:val="single"/>
              </w:rPr>
              <w:t>PCLR:</w:t>
            </w:r>
          </w:p>
          <w:p w14:paraId="05CD5D12" w14:textId="77777777" w:rsidR="001C57E3" w:rsidRPr="001C57E3" w:rsidRDefault="001C57E3" w:rsidP="001C57E3">
            <w:pPr>
              <w:spacing w:before="100" w:beforeAutospacing="1" w:after="100" w:afterAutospacing="1"/>
              <w:contextualSpacing/>
              <w:rPr>
                <w:rFonts w:ascii="Arial" w:hAnsi="Arial" w:cs="Arial"/>
              </w:rPr>
            </w:pPr>
            <w:r w:rsidRPr="001C57E3">
              <w:rPr>
                <w:rFonts w:ascii="Arial" w:hAnsi="Arial" w:cs="Arial"/>
              </w:rPr>
              <w:t>Between $300k and $400k</w:t>
            </w:r>
          </w:p>
          <w:p w14:paraId="468E2B30" w14:textId="77777777" w:rsidR="001C57E3" w:rsidRPr="001C57E3" w:rsidRDefault="001C57E3" w:rsidP="001C57E3">
            <w:pPr>
              <w:spacing w:before="100" w:beforeAutospacing="1" w:after="100" w:afterAutospacing="1"/>
              <w:rPr>
                <w:rFonts w:ascii="Arial" w:hAnsi="Arial" w:cs="Arial"/>
              </w:rPr>
            </w:pPr>
            <w:r w:rsidRPr="001C57E3">
              <w:rPr>
                <w:rFonts w:ascii="Arial" w:hAnsi="Arial" w:cs="Arial"/>
              </w:rPr>
              <w:t>See Comments.</w:t>
            </w:r>
          </w:p>
          <w:p w14:paraId="0B454C47" w14:textId="77777777" w:rsidR="001C57E3" w:rsidRDefault="001C57E3" w:rsidP="001C57E3">
            <w:pPr>
              <w:spacing w:before="100" w:beforeAutospacing="1" w:after="100" w:afterAutospacing="1"/>
              <w:contextualSpacing/>
              <w:rPr>
                <w:rFonts w:ascii="Arial" w:hAnsi="Arial" w:cs="Arial"/>
                <w:u w:val="single"/>
              </w:rPr>
            </w:pPr>
          </w:p>
          <w:p w14:paraId="5A71A233" w14:textId="41FFBEBE" w:rsidR="001C57E3" w:rsidRPr="001C57E3" w:rsidRDefault="001C57E3" w:rsidP="001C57E3">
            <w:pPr>
              <w:spacing w:before="100" w:beforeAutospacing="1" w:after="100" w:afterAutospacing="1"/>
              <w:contextualSpacing/>
              <w:rPr>
                <w:rFonts w:ascii="Arial" w:hAnsi="Arial" w:cs="Arial"/>
                <w:u w:val="single"/>
              </w:rPr>
            </w:pPr>
            <w:r w:rsidRPr="001C57E3">
              <w:rPr>
                <w:rFonts w:ascii="Arial" w:hAnsi="Arial" w:cs="Arial"/>
                <w:u w:val="single"/>
              </w:rPr>
              <w:t>Batch Zero and WLPUN:</w:t>
            </w:r>
          </w:p>
          <w:p w14:paraId="546854B2" w14:textId="77777777" w:rsidR="001C57E3" w:rsidRPr="001C57E3" w:rsidRDefault="001C57E3" w:rsidP="001C57E3">
            <w:pPr>
              <w:spacing w:before="100" w:beforeAutospacing="1" w:after="100" w:afterAutospacing="1"/>
              <w:contextualSpacing/>
              <w:rPr>
                <w:rFonts w:ascii="Arial" w:hAnsi="Arial" w:cs="Arial"/>
              </w:rPr>
            </w:pPr>
            <w:r w:rsidRPr="001C57E3">
              <w:rPr>
                <w:rFonts w:ascii="Arial" w:hAnsi="Arial" w:cs="Arial"/>
              </w:rPr>
              <w:t>Annual Recurring Operations and Maintenance (O&amp;M) Budget Cost: $3.6M – $4.5M</w:t>
            </w:r>
          </w:p>
          <w:p w14:paraId="24EC7B8C" w14:textId="4DA71009" w:rsidR="005478AD" w:rsidRPr="00EB5E7E" w:rsidRDefault="001C57E3" w:rsidP="001C57E3">
            <w:pPr>
              <w:spacing w:before="100" w:beforeAutospacing="1" w:after="100" w:afterAutospacing="1"/>
              <w:rPr>
                <w:rFonts w:ascii="Arial" w:hAnsi="Arial" w:cs="Arial"/>
              </w:rPr>
            </w:pPr>
            <w:r w:rsidRPr="001C57E3">
              <w:rPr>
                <w:rFonts w:ascii="Arial" w:hAnsi="Arial" w:cs="Arial"/>
              </w:rPr>
              <w:t>See ERCOT Staffing Impacts.</w:t>
            </w:r>
          </w:p>
        </w:tc>
      </w:tr>
      <w:tr w:rsidR="00145C2F" w14:paraId="1810DEB0"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4FAB3DA8" w14:textId="77777777" w:rsidR="00145C2F" w:rsidRPr="00663934" w:rsidRDefault="00145C2F" w:rsidP="00145C2F">
            <w:pPr>
              <w:pStyle w:val="Header"/>
            </w:pPr>
            <w:r>
              <w:t>Estimated Time Requirements</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1F03C873" w14:textId="77777777" w:rsidR="001C57E3" w:rsidRPr="001C57E3" w:rsidRDefault="001C57E3" w:rsidP="001C57E3">
            <w:pPr>
              <w:pStyle w:val="NormalArial"/>
              <w:spacing w:before="120" w:after="120"/>
              <w:contextualSpacing/>
              <w:rPr>
                <w:rFonts w:cs="Arial"/>
                <w:u w:val="single"/>
              </w:rPr>
            </w:pPr>
            <w:r w:rsidRPr="001C57E3">
              <w:rPr>
                <w:rFonts w:cs="Arial"/>
                <w:u w:val="single"/>
              </w:rPr>
              <w:t>PCLR:</w:t>
            </w:r>
          </w:p>
          <w:p w14:paraId="6F2DAABB" w14:textId="77777777" w:rsidR="001C57E3" w:rsidRPr="001C57E3" w:rsidRDefault="001C57E3" w:rsidP="001C57E3">
            <w:pPr>
              <w:pStyle w:val="NormalArial"/>
              <w:spacing w:before="120" w:after="120"/>
              <w:contextualSpacing/>
              <w:rPr>
                <w:rFonts w:cs="Arial"/>
              </w:rPr>
            </w:pPr>
            <w:r w:rsidRPr="001C57E3">
              <w:rPr>
                <w:rFonts w:cs="Arial"/>
              </w:rPr>
              <w:t>The timeline for implementing this Planning Guide Revision Request (PGRR) is dependent upon prioritization and Public Utility Commission of Texas (PUCT) approval.</w:t>
            </w:r>
          </w:p>
          <w:p w14:paraId="674DD7A1" w14:textId="5962857F" w:rsidR="001C57E3" w:rsidRPr="001C57E3" w:rsidRDefault="001C57E3" w:rsidP="001C57E3">
            <w:pPr>
              <w:pStyle w:val="NormalArial"/>
              <w:spacing w:before="120" w:after="120"/>
              <w:rPr>
                <w:rFonts w:cs="Arial"/>
              </w:rPr>
            </w:pPr>
            <w:r w:rsidRPr="001C57E3">
              <w:rPr>
                <w:rFonts w:cs="Arial"/>
              </w:rPr>
              <w:t xml:space="preserve">Estimated project duration: 8 to 12 months. </w:t>
            </w:r>
          </w:p>
          <w:p w14:paraId="69CC3036" w14:textId="77777777" w:rsidR="001C57E3" w:rsidRDefault="001C57E3" w:rsidP="001C57E3">
            <w:pPr>
              <w:pStyle w:val="NormalArial"/>
              <w:spacing w:before="120" w:after="120"/>
              <w:contextualSpacing/>
              <w:rPr>
                <w:rFonts w:cs="Arial"/>
                <w:u w:val="single"/>
              </w:rPr>
            </w:pPr>
          </w:p>
          <w:p w14:paraId="74EF817B" w14:textId="208A041A" w:rsidR="001C57E3" w:rsidRPr="001C57E3" w:rsidRDefault="001C57E3" w:rsidP="001C57E3">
            <w:pPr>
              <w:pStyle w:val="NormalArial"/>
              <w:spacing w:before="120" w:after="120"/>
              <w:contextualSpacing/>
              <w:rPr>
                <w:rFonts w:cs="Arial"/>
                <w:u w:val="single"/>
              </w:rPr>
            </w:pPr>
            <w:r w:rsidRPr="001C57E3">
              <w:rPr>
                <w:rFonts w:cs="Arial"/>
                <w:u w:val="single"/>
              </w:rPr>
              <w:t>Batch Zero and WLPUN:</w:t>
            </w:r>
          </w:p>
          <w:p w14:paraId="7769272D" w14:textId="23474C43" w:rsidR="00145C2F" w:rsidRPr="00511748" w:rsidRDefault="001C57E3" w:rsidP="001C57E3">
            <w:pPr>
              <w:pStyle w:val="NormalArial"/>
              <w:spacing w:before="120" w:after="120"/>
              <w:contextualSpacing/>
              <w:rPr>
                <w:sz w:val="22"/>
                <w:szCs w:val="22"/>
              </w:rPr>
            </w:pPr>
            <w:r w:rsidRPr="001C57E3">
              <w:rPr>
                <w:rFonts w:cs="Arial"/>
              </w:rPr>
              <w:t>No project required.  This Nodal Protocol Revision Request (NPRR) can take effect following Public Utility Commission of Texas (PUCT) approval.</w:t>
            </w:r>
          </w:p>
        </w:tc>
      </w:tr>
      <w:tr w:rsidR="00145C2F" w14:paraId="769C380A"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48DADADD" w14:textId="77777777" w:rsidR="001C3A94" w:rsidRPr="001C3A94" w:rsidRDefault="001C3A94" w:rsidP="001C3A94">
            <w:pPr>
              <w:pStyle w:val="Header"/>
            </w:pPr>
            <w:r w:rsidRPr="001C3A94">
              <w:t>ERCOT Staffing Impacts</w:t>
            </w:r>
          </w:p>
          <w:p w14:paraId="0F0B2029" w14:textId="77777777" w:rsidR="001C3A94" w:rsidRPr="001C3A94" w:rsidRDefault="001C3A94" w:rsidP="001C3A94">
            <w:pPr>
              <w:pStyle w:val="Header"/>
            </w:pPr>
            <w:r w:rsidRPr="001C3A94">
              <w:t>(across all areas)</w:t>
            </w:r>
          </w:p>
          <w:p w14:paraId="0C41A9F3" w14:textId="77777777" w:rsidR="00145C2F" w:rsidRDefault="00145C2F" w:rsidP="00145C2F">
            <w:pPr>
              <w:pStyle w:val="Header"/>
            </w:pP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370FDF09" w14:textId="502D07DF" w:rsidR="001C57E3" w:rsidRDefault="001C57E3" w:rsidP="001C57E3">
            <w:pPr>
              <w:pStyle w:val="NormalArial"/>
            </w:pPr>
            <w:r w:rsidRPr="009E0C28">
              <w:rPr>
                <w:rFonts w:cs="Arial"/>
                <w:color w:val="000000"/>
              </w:rPr>
              <w:t>Implementation</w:t>
            </w:r>
            <w:r>
              <w:rPr>
                <w:rFonts w:cs="Arial"/>
                <w:color w:val="000000"/>
                <w:sz w:val="20"/>
                <w:szCs w:val="20"/>
              </w:rPr>
              <w:t xml:space="preserve"> </w:t>
            </w:r>
            <w:r w:rsidRPr="00CB2C65">
              <w:t xml:space="preserve">Labor: </w:t>
            </w:r>
            <w:r>
              <w:t>79</w:t>
            </w:r>
            <w:r w:rsidRPr="00CB2C65">
              <w:t xml:space="preserve">% ERCOT; </w:t>
            </w:r>
            <w:r>
              <w:t>21</w:t>
            </w:r>
            <w:r w:rsidRPr="00CB2C65">
              <w:t>% Vendor</w:t>
            </w:r>
          </w:p>
          <w:p w14:paraId="169C3175" w14:textId="6C87F6B1" w:rsidR="00847627" w:rsidRDefault="00847627" w:rsidP="00847627">
            <w:pPr>
              <w:pStyle w:val="NormalArial"/>
            </w:pPr>
          </w:p>
          <w:p w14:paraId="14DA847E" w14:textId="04F523BB" w:rsidR="001C57E3" w:rsidRDefault="001C57E3" w:rsidP="001C57E3">
            <w:pPr>
              <w:pStyle w:val="NormalArial"/>
            </w:pPr>
            <w:r>
              <w:t xml:space="preserve">There will be ongoing operational impacts to the following ERCOT departments totaling </w:t>
            </w:r>
            <w:r w:rsidR="0009725B">
              <w:t>18.0</w:t>
            </w:r>
            <w:r>
              <w:t xml:space="preserve"> Full-Time Employees (FTEs) to support this PGRR:</w:t>
            </w:r>
          </w:p>
          <w:p w14:paraId="1E19862E" w14:textId="77777777" w:rsidR="001C57E3" w:rsidRDefault="001C57E3" w:rsidP="001C57E3">
            <w:pPr>
              <w:pStyle w:val="NormalArial"/>
            </w:pPr>
          </w:p>
          <w:p w14:paraId="543D5339" w14:textId="77777777" w:rsidR="001C57E3" w:rsidRDefault="001C57E3" w:rsidP="001C57E3">
            <w:pPr>
              <w:pStyle w:val="NormalArial"/>
            </w:pPr>
            <w:r>
              <w:t>•  Grid Planning (9.0 FTEs Effort)</w:t>
            </w:r>
          </w:p>
          <w:p w14:paraId="4FAE9A9B" w14:textId="7A2269B5" w:rsidR="001C57E3" w:rsidRDefault="001C57E3" w:rsidP="001C57E3">
            <w:pPr>
              <w:pStyle w:val="NormalArial"/>
            </w:pPr>
            <w:r>
              <w:t>•  Dynamic Studies (</w:t>
            </w:r>
            <w:r w:rsidR="0009725B">
              <w:t>7.5</w:t>
            </w:r>
            <w:r>
              <w:t xml:space="preserve"> FTEs Effort)</w:t>
            </w:r>
          </w:p>
          <w:p w14:paraId="786E1189" w14:textId="77777777" w:rsidR="001C57E3" w:rsidRDefault="001C57E3" w:rsidP="001C57E3">
            <w:pPr>
              <w:pStyle w:val="NormalArial"/>
            </w:pPr>
            <w:r>
              <w:t>•  Planning Model Administration (1.0 FTE Effort)</w:t>
            </w:r>
          </w:p>
          <w:p w14:paraId="31A39DD2" w14:textId="77777777" w:rsidR="001C57E3" w:rsidRDefault="001C57E3" w:rsidP="001C57E3">
            <w:pPr>
              <w:pStyle w:val="NormalArial"/>
            </w:pPr>
          </w:p>
          <w:p w14:paraId="6CEA4E3D" w14:textId="77777777" w:rsidR="001C57E3" w:rsidRDefault="001C57E3" w:rsidP="001C57E3">
            <w:pPr>
              <w:pStyle w:val="NormalArial"/>
            </w:pPr>
            <w:r>
              <w:t>ERCOT has assessed its ability to absorb the ongoing efforts of this PGRR with current staff and concluded the need for 18 FTEs in the following departments:</w:t>
            </w:r>
          </w:p>
          <w:p w14:paraId="73C868E7" w14:textId="77777777" w:rsidR="001C57E3" w:rsidRDefault="001C57E3" w:rsidP="001C57E3">
            <w:pPr>
              <w:pStyle w:val="NormalArial"/>
            </w:pPr>
          </w:p>
          <w:p w14:paraId="6A6D51BD" w14:textId="77777777" w:rsidR="001C57E3" w:rsidRDefault="001C57E3" w:rsidP="001C57E3">
            <w:pPr>
              <w:pStyle w:val="NormalArial"/>
            </w:pPr>
            <w:r>
              <w:t>•  Grid Planning (9.0 FTEs)</w:t>
            </w:r>
          </w:p>
          <w:p w14:paraId="7EE5A82E" w14:textId="77777777" w:rsidR="001C57E3" w:rsidRDefault="001C57E3" w:rsidP="001C57E3">
            <w:pPr>
              <w:pStyle w:val="NormalArial"/>
            </w:pPr>
            <w:r>
              <w:t>•  Dynamic Studies (8.0 FTEs)</w:t>
            </w:r>
          </w:p>
          <w:p w14:paraId="46656FAA" w14:textId="4B71FBD3" w:rsidR="001C57E3" w:rsidRDefault="001C57E3" w:rsidP="001C57E3">
            <w:pPr>
              <w:pStyle w:val="NormalArial"/>
            </w:pPr>
            <w:r>
              <w:t>•  Planning Model Administration (1.0 FTE)</w:t>
            </w:r>
          </w:p>
          <w:p w14:paraId="3B886296" w14:textId="77777777" w:rsidR="001C57E3" w:rsidRDefault="001C57E3" w:rsidP="001C57E3">
            <w:pPr>
              <w:pStyle w:val="NormalArial"/>
            </w:pPr>
          </w:p>
          <w:p w14:paraId="671A917C" w14:textId="77777777" w:rsidR="001C57E3" w:rsidRDefault="001C57E3" w:rsidP="001C57E3">
            <w:pPr>
              <w:pStyle w:val="NormalArial"/>
            </w:pPr>
            <w:r>
              <w:t>• Grid Planning - department requires nine additional FTE to support the following work:</w:t>
            </w:r>
          </w:p>
          <w:p w14:paraId="393491D2" w14:textId="77777777" w:rsidR="001C57E3" w:rsidRDefault="001C57E3" w:rsidP="001C57E3">
            <w:pPr>
              <w:pStyle w:val="NormalArial"/>
            </w:pPr>
          </w:p>
          <w:p w14:paraId="64C48C5C" w14:textId="1328AB79" w:rsidR="001C57E3" w:rsidRDefault="001C57E3" w:rsidP="001C57E3">
            <w:pPr>
              <w:pStyle w:val="NormalArial"/>
            </w:pPr>
            <w:r w:rsidRPr="001C57E3">
              <w:t xml:space="preserve">     •  </w:t>
            </w:r>
            <w:r>
              <w:t>Batch Zero (9 FTEs)</w:t>
            </w:r>
          </w:p>
          <w:p w14:paraId="3E8EAA50" w14:textId="3DE9E111" w:rsidR="001C57E3" w:rsidRDefault="001C57E3" w:rsidP="001C57E3">
            <w:pPr>
              <w:pStyle w:val="NormalArial"/>
            </w:pPr>
            <w:r w:rsidRPr="001C57E3">
              <w:t xml:space="preserve">               o </w:t>
            </w:r>
            <w:r>
              <w:t>16,740 hrs. to perform planning studies to support large load interconnection, develop Batch Zero power flow study cases, conduct steady-state to meet NERC &amp; ERCOT planning criteria and collaborate with interconnection transmission service providers (TSPs) to identify necessary transmission upgrades, identify load allocation limits, complete the Batch Zero Refinement studies based on large load commitments, and recommendations and submit transmission projects to the Regional Planning Group (RPG).</w:t>
            </w:r>
          </w:p>
          <w:p w14:paraId="7CEB75DB" w14:textId="77777777" w:rsidR="001C57E3" w:rsidRDefault="001C57E3" w:rsidP="001C57E3">
            <w:pPr>
              <w:pStyle w:val="NormalArial"/>
            </w:pPr>
          </w:p>
          <w:p w14:paraId="0B7AD865" w14:textId="77777777" w:rsidR="001C57E3" w:rsidRPr="001C57E3" w:rsidRDefault="001C57E3" w:rsidP="001C57E3">
            <w:pPr>
              <w:pStyle w:val="NormalArial"/>
            </w:pPr>
            <w:r w:rsidRPr="001C57E3">
              <w:t>• Dynamic Studies - department requires eight additional FTEs to support the following work:</w:t>
            </w:r>
          </w:p>
          <w:p w14:paraId="02CC41BC" w14:textId="77777777" w:rsidR="001C57E3" w:rsidRPr="001C57E3" w:rsidRDefault="001C57E3" w:rsidP="001C57E3">
            <w:pPr>
              <w:pStyle w:val="NormalArial"/>
            </w:pPr>
          </w:p>
          <w:p w14:paraId="71026EC2" w14:textId="77777777" w:rsidR="001C57E3" w:rsidRPr="001C57E3" w:rsidRDefault="001C57E3" w:rsidP="001C57E3">
            <w:pPr>
              <w:pStyle w:val="NormalArial"/>
            </w:pPr>
            <w:r w:rsidRPr="001C57E3">
              <w:t xml:space="preserve">     •  Batch Zero (7 FTEs)</w:t>
            </w:r>
          </w:p>
          <w:p w14:paraId="056001CB" w14:textId="0662CAEF" w:rsidR="001C57E3" w:rsidRPr="001C57E3" w:rsidRDefault="001C57E3" w:rsidP="001C57E3">
            <w:pPr>
              <w:pStyle w:val="NormalArial"/>
            </w:pPr>
            <w:r w:rsidRPr="001C57E3">
              <w:t xml:space="preserve">               o 12,960 hrs. to support Batch Zero and refinement stability screening studies and detailed stability studies to meet NERC standard.</w:t>
            </w:r>
          </w:p>
          <w:p w14:paraId="4F316FC8" w14:textId="77777777" w:rsidR="001C57E3" w:rsidRPr="001C57E3" w:rsidRDefault="001C57E3" w:rsidP="001C57E3">
            <w:pPr>
              <w:pStyle w:val="NormalArial"/>
            </w:pPr>
            <w:r w:rsidRPr="001C57E3">
              <w:t xml:space="preserve">     •  WLPUN (1 FTE)</w:t>
            </w:r>
          </w:p>
          <w:p w14:paraId="64188739" w14:textId="3EAB7C67" w:rsidR="001C57E3" w:rsidRDefault="001C57E3" w:rsidP="001C57E3">
            <w:pPr>
              <w:pStyle w:val="NormalArial"/>
            </w:pPr>
            <w:r w:rsidRPr="001C57E3">
              <w:t xml:space="preserve">               900 hrs. to support additional maximum withdraw constraints calculation for WLPUN.       </w:t>
            </w:r>
          </w:p>
          <w:p w14:paraId="3BD854C4" w14:textId="77777777" w:rsidR="00812DB6" w:rsidRDefault="00812DB6" w:rsidP="00847627">
            <w:pPr>
              <w:pStyle w:val="NormalArial"/>
            </w:pPr>
          </w:p>
          <w:p w14:paraId="21A4B276" w14:textId="77777777" w:rsidR="001C57E3" w:rsidRDefault="001C57E3" w:rsidP="001C57E3">
            <w:pPr>
              <w:pStyle w:val="NormalArial"/>
            </w:pPr>
            <w:r>
              <w:t>• Planning Model Administration - department requires one additional FTE to support the following work:</w:t>
            </w:r>
          </w:p>
          <w:p w14:paraId="465F29DD" w14:textId="77777777" w:rsidR="001C57E3" w:rsidRDefault="001C57E3" w:rsidP="001C57E3">
            <w:pPr>
              <w:pStyle w:val="NormalArial"/>
            </w:pPr>
          </w:p>
          <w:p w14:paraId="4BD5EAB0" w14:textId="77777777" w:rsidR="001C57E3" w:rsidRDefault="001C57E3" w:rsidP="001C57E3">
            <w:pPr>
              <w:pStyle w:val="NormalArial"/>
            </w:pPr>
            <w:r>
              <w:t xml:space="preserve">     •  Batch Zero (1 FTE)</w:t>
            </w:r>
          </w:p>
          <w:p w14:paraId="68992EE3" w14:textId="57BB0CE0" w:rsidR="001C57E3" w:rsidRDefault="001C57E3" w:rsidP="001C57E3">
            <w:pPr>
              <w:pStyle w:val="NormalArial"/>
            </w:pPr>
            <w:r>
              <w:t xml:space="preserve">               o 1,860 hrs. to support case building for the Batch Study by coordinating the transmission topology for the 15 cases. This FTE will also support the Batch Study as needed.</w:t>
            </w:r>
          </w:p>
          <w:p w14:paraId="57A8A935" w14:textId="77777777" w:rsidR="001C57E3" w:rsidRDefault="001C57E3" w:rsidP="001C57E3">
            <w:pPr>
              <w:pStyle w:val="NormalArial"/>
            </w:pPr>
          </w:p>
          <w:p w14:paraId="7D8AAF35" w14:textId="7C7041EC" w:rsidR="001C57E3" w:rsidRDefault="001C57E3" w:rsidP="001C57E3">
            <w:pPr>
              <w:pStyle w:val="NormalArial"/>
            </w:pPr>
            <w:r>
              <w:t>The 2026-2027 ERCOT budget does not account for the FTEs needed to support this PGRR.</w:t>
            </w:r>
          </w:p>
          <w:p w14:paraId="4E21829A" w14:textId="1B523D3C" w:rsidR="00145C2F" w:rsidRPr="00511748" w:rsidRDefault="00145C2F" w:rsidP="001C57E3">
            <w:pPr>
              <w:pStyle w:val="NormalArial"/>
              <w:rPr>
                <w:rFonts w:cs="Arial"/>
              </w:rPr>
            </w:pPr>
          </w:p>
        </w:tc>
      </w:tr>
      <w:tr w:rsidR="00145C2F" w14:paraId="4F89166E" w14:textId="77777777">
        <w:trPr>
          <w:trHeight w:val="845"/>
        </w:trPr>
        <w:tc>
          <w:tcPr>
            <w:tcW w:w="3060" w:type="dxa"/>
            <w:gridSpan w:val="2"/>
            <w:tcBorders>
              <w:top w:val="single" w:sz="4" w:space="0" w:color="auto"/>
              <w:bottom w:val="single" w:sz="4" w:space="0" w:color="auto"/>
            </w:tcBorders>
            <w:shd w:val="clear" w:color="auto" w:fill="FFFFFF"/>
            <w:vAlign w:val="center"/>
          </w:tcPr>
          <w:p w14:paraId="09B959B7" w14:textId="77777777" w:rsidR="00145C2F" w:rsidRDefault="00145C2F" w:rsidP="00145C2F">
            <w:pPr>
              <w:pStyle w:val="Header"/>
            </w:pPr>
            <w:r>
              <w:lastRenderedPageBreak/>
              <w:t>ERCOT Computer System Impacts</w:t>
            </w:r>
          </w:p>
        </w:tc>
        <w:tc>
          <w:tcPr>
            <w:tcW w:w="7380" w:type="dxa"/>
            <w:gridSpan w:val="2"/>
            <w:tcBorders>
              <w:top w:val="single" w:sz="4" w:space="0" w:color="auto"/>
            </w:tcBorders>
            <w:vAlign w:val="center"/>
          </w:tcPr>
          <w:p w14:paraId="6D7B8522" w14:textId="77777777" w:rsidR="004755B8" w:rsidRDefault="001C57E3" w:rsidP="00145C2F">
            <w:pPr>
              <w:pStyle w:val="NormalArial"/>
              <w:rPr>
                <w:rFonts w:cs="Arial"/>
              </w:rPr>
            </w:pPr>
            <w:r w:rsidRPr="001C57E3">
              <w:rPr>
                <w:rFonts w:cs="Arial"/>
              </w:rPr>
              <w:t>The following ERCOT systems would be impacted (primarily related to PCLR requirements):</w:t>
            </w:r>
          </w:p>
          <w:p w14:paraId="7FCDBCA5" w14:textId="77777777" w:rsidR="001C57E3" w:rsidRDefault="001C57E3" w:rsidP="00145C2F">
            <w:pPr>
              <w:pStyle w:val="NormalArial"/>
              <w:rPr>
                <w:rFonts w:cs="Arial"/>
              </w:rPr>
            </w:pPr>
          </w:p>
          <w:p w14:paraId="025E17BA" w14:textId="2EF6BBC9" w:rsidR="001C57E3" w:rsidRPr="001C57E3" w:rsidRDefault="001C57E3" w:rsidP="00BF2A62">
            <w:pPr>
              <w:pStyle w:val="NormalArial"/>
              <w:numPr>
                <w:ilvl w:val="0"/>
                <w:numId w:val="14"/>
              </w:numPr>
            </w:pPr>
            <w:r w:rsidRPr="001C57E3">
              <w:t>Market Management System</w:t>
            </w:r>
            <w:r>
              <w:t xml:space="preserve">                             30%</w:t>
            </w:r>
          </w:p>
          <w:p w14:paraId="64CF2734" w14:textId="4A8EE7C9" w:rsidR="001C57E3" w:rsidRPr="001C57E3" w:rsidRDefault="001C57E3" w:rsidP="00BF2A62">
            <w:pPr>
              <w:pStyle w:val="NormalArial"/>
              <w:numPr>
                <w:ilvl w:val="0"/>
                <w:numId w:val="14"/>
              </w:numPr>
            </w:pPr>
            <w:r w:rsidRPr="001C57E3">
              <w:t>Energy Management System</w:t>
            </w:r>
            <w:r>
              <w:t xml:space="preserve">                             19%</w:t>
            </w:r>
          </w:p>
          <w:p w14:paraId="48F74971" w14:textId="675ED4B9" w:rsidR="001C57E3" w:rsidRPr="001C57E3" w:rsidRDefault="001C57E3" w:rsidP="00BF2A62">
            <w:pPr>
              <w:pStyle w:val="NormalArial"/>
              <w:numPr>
                <w:ilvl w:val="0"/>
                <w:numId w:val="14"/>
              </w:numPr>
            </w:pPr>
            <w:r w:rsidRPr="001C57E3">
              <w:t>Data and Information Products</w:t>
            </w:r>
            <w:r>
              <w:t xml:space="preserve">                           </w:t>
            </w:r>
            <w:r w:rsidR="00BF2A62">
              <w:t>1</w:t>
            </w:r>
            <w:r>
              <w:t>4%</w:t>
            </w:r>
          </w:p>
          <w:p w14:paraId="18A9758B" w14:textId="7A5A37CD" w:rsidR="001C57E3" w:rsidRPr="001C57E3" w:rsidRDefault="001C57E3" w:rsidP="00BF2A62">
            <w:pPr>
              <w:pStyle w:val="NormalArial"/>
              <w:numPr>
                <w:ilvl w:val="0"/>
                <w:numId w:val="14"/>
              </w:numPr>
            </w:pPr>
            <w:r w:rsidRPr="001C57E3">
              <w:t>Resource Integration and Ongoing Operations</w:t>
            </w:r>
            <w:r>
              <w:t xml:space="preserve">   12%</w:t>
            </w:r>
          </w:p>
          <w:p w14:paraId="141E4B73" w14:textId="0F5DC69F" w:rsidR="001C57E3" w:rsidRPr="001C57E3" w:rsidRDefault="001C57E3" w:rsidP="00BF2A62">
            <w:pPr>
              <w:pStyle w:val="NormalArial"/>
              <w:numPr>
                <w:ilvl w:val="0"/>
                <w:numId w:val="14"/>
              </w:numPr>
            </w:pPr>
            <w:r w:rsidRPr="001C57E3">
              <w:t>Data Management &amp; Governance</w:t>
            </w:r>
            <w:r>
              <w:t xml:space="preserve">                       10%</w:t>
            </w:r>
          </w:p>
          <w:p w14:paraId="0C3E26A3" w14:textId="11BA0E93" w:rsidR="001C57E3" w:rsidRPr="001C57E3" w:rsidRDefault="001C57E3" w:rsidP="00BF2A62">
            <w:pPr>
              <w:pStyle w:val="NormalArial"/>
              <w:numPr>
                <w:ilvl w:val="0"/>
                <w:numId w:val="14"/>
              </w:numPr>
            </w:pPr>
            <w:r w:rsidRPr="001C57E3">
              <w:t>Enterprise Integration Nodal Services</w:t>
            </w:r>
            <w:r>
              <w:t xml:space="preserve">             </w:t>
            </w:r>
            <w:r w:rsidR="00BF2A62">
              <w:t xml:space="preserve"> </w:t>
            </w:r>
            <w:r>
              <w:t xml:space="preserve">     8%</w:t>
            </w:r>
          </w:p>
          <w:p w14:paraId="71B9CE36" w14:textId="29CDDFB7" w:rsidR="001C57E3" w:rsidRPr="001C57E3" w:rsidRDefault="001C57E3" w:rsidP="00BF2A62">
            <w:pPr>
              <w:pStyle w:val="NormalArial"/>
              <w:numPr>
                <w:ilvl w:val="0"/>
                <w:numId w:val="14"/>
              </w:numPr>
            </w:pPr>
            <w:r w:rsidRPr="001C57E3">
              <w:t>Registration</w:t>
            </w:r>
            <w:r>
              <w:t xml:space="preserve">                                                    </w:t>
            </w:r>
            <w:r w:rsidR="00BF2A62">
              <w:t xml:space="preserve"> </w:t>
            </w:r>
            <w:r>
              <w:t xml:space="preserve">   </w:t>
            </w:r>
            <w:r w:rsidR="00BF2A62">
              <w:t xml:space="preserve"> </w:t>
            </w:r>
            <w:r>
              <w:t xml:space="preserve">   4%</w:t>
            </w:r>
          </w:p>
          <w:p w14:paraId="4A0EBA31" w14:textId="0E64752C" w:rsidR="001C57E3" w:rsidRDefault="001C57E3" w:rsidP="00BF2A62">
            <w:pPr>
              <w:pStyle w:val="NormalArial"/>
              <w:numPr>
                <w:ilvl w:val="0"/>
                <w:numId w:val="14"/>
              </w:numPr>
            </w:pPr>
            <w:r w:rsidRPr="001C57E3">
              <w:t>Web Communications</w:t>
            </w:r>
            <w:r>
              <w:t xml:space="preserve">                                   </w:t>
            </w:r>
            <w:r w:rsidR="00BF2A62">
              <w:t xml:space="preserve"> </w:t>
            </w:r>
            <w:r>
              <w:t xml:space="preserve">  </w:t>
            </w:r>
            <w:r w:rsidR="00BF2A62">
              <w:t xml:space="preserve"> </w:t>
            </w:r>
            <w:r>
              <w:t xml:space="preserve">     2%</w:t>
            </w:r>
          </w:p>
          <w:p w14:paraId="26B381D9" w14:textId="35A943F5" w:rsidR="00BF2A62" w:rsidRPr="00FE71C0" w:rsidRDefault="00BF2A62" w:rsidP="00145C2F">
            <w:pPr>
              <w:pStyle w:val="NormalArial"/>
              <w:rPr>
                <w:sz w:val="22"/>
                <w:szCs w:val="22"/>
              </w:rPr>
            </w:pPr>
          </w:p>
        </w:tc>
      </w:tr>
      <w:tr w:rsidR="00145C2F" w14:paraId="7216112F" w14:textId="77777777">
        <w:trPr>
          <w:trHeight w:val="782"/>
        </w:trPr>
        <w:tc>
          <w:tcPr>
            <w:tcW w:w="3060" w:type="dxa"/>
            <w:gridSpan w:val="2"/>
            <w:tcBorders>
              <w:top w:val="single" w:sz="4" w:space="0" w:color="auto"/>
              <w:bottom w:val="single" w:sz="4" w:space="0" w:color="auto"/>
            </w:tcBorders>
            <w:shd w:val="clear" w:color="auto" w:fill="FFFFFF"/>
            <w:vAlign w:val="center"/>
          </w:tcPr>
          <w:p w14:paraId="592E676E" w14:textId="77777777" w:rsidR="00145C2F" w:rsidRDefault="00145C2F" w:rsidP="00145C2F">
            <w:pPr>
              <w:pStyle w:val="Header"/>
            </w:pPr>
            <w:r>
              <w:lastRenderedPageBreak/>
              <w:t>ERCOT Business Function Impacts</w:t>
            </w:r>
          </w:p>
        </w:tc>
        <w:tc>
          <w:tcPr>
            <w:tcW w:w="7380" w:type="dxa"/>
            <w:gridSpan w:val="2"/>
            <w:tcBorders>
              <w:top w:val="single" w:sz="4" w:space="0" w:color="auto"/>
            </w:tcBorders>
            <w:vAlign w:val="center"/>
          </w:tcPr>
          <w:p w14:paraId="6442CF42" w14:textId="6F3DBB86" w:rsidR="00145C2F" w:rsidRPr="009266AD" w:rsidRDefault="00145C2F" w:rsidP="00145C2F">
            <w:pPr>
              <w:pStyle w:val="NormalArial"/>
              <w:rPr>
                <w:sz w:val="22"/>
                <w:szCs w:val="22"/>
              </w:rPr>
            </w:pPr>
            <w:r>
              <w:rPr>
                <w:rFonts w:cs="Arial"/>
              </w:rPr>
              <w:t>ERCOT will update business processes to implement this PGRR.</w:t>
            </w:r>
          </w:p>
        </w:tc>
      </w:tr>
      <w:tr w:rsidR="00145C2F" w14:paraId="0DCE4F06" w14:textId="77777777">
        <w:trPr>
          <w:trHeight w:val="818"/>
        </w:trPr>
        <w:tc>
          <w:tcPr>
            <w:tcW w:w="3060" w:type="dxa"/>
            <w:gridSpan w:val="2"/>
            <w:tcBorders>
              <w:bottom w:val="single" w:sz="4" w:space="0" w:color="auto"/>
            </w:tcBorders>
            <w:shd w:val="clear" w:color="auto" w:fill="FFFFFF"/>
            <w:vAlign w:val="center"/>
          </w:tcPr>
          <w:p w14:paraId="539E1BBA" w14:textId="77777777" w:rsidR="00145C2F" w:rsidRDefault="00145C2F" w:rsidP="00145C2F">
            <w:pPr>
              <w:pStyle w:val="Header"/>
            </w:pPr>
            <w:r>
              <w:t>Grid Operations &amp; Practices Impacts</w:t>
            </w:r>
          </w:p>
        </w:tc>
        <w:tc>
          <w:tcPr>
            <w:tcW w:w="7380" w:type="dxa"/>
            <w:gridSpan w:val="2"/>
            <w:tcBorders>
              <w:bottom w:val="single" w:sz="4" w:space="0" w:color="auto"/>
            </w:tcBorders>
            <w:vAlign w:val="center"/>
          </w:tcPr>
          <w:p w14:paraId="739A9EE3" w14:textId="690FFDED" w:rsidR="00145C2F" w:rsidRPr="00D54DC7" w:rsidRDefault="008836AD" w:rsidP="00145C2F">
            <w:pPr>
              <w:pStyle w:val="Header"/>
              <w:rPr>
                <w:b w:val="0"/>
                <w:sz w:val="22"/>
                <w:szCs w:val="22"/>
              </w:rPr>
            </w:pPr>
            <w:r w:rsidRPr="008836AD">
              <w:rPr>
                <w:b w:val="0"/>
              </w:rPr>
              <w:t>ERCOT will update grid operations and practices to implement this PGRR.</w:t>
            </w:r>
          </w:p>
        </w:tc>
      </w:tr>
    </w:tbl>
    <w:p w14:paraId="3EBA43AA" w14:textId="2B0F1E60" w:rsidR="00C97625" w:rsidRDefault="00C9762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690921E6" w14:textId="77777777">
        <w:trPr>
          <w:trHeight w:val="629"/>
        </w:trPr>
        <w:tc>
          <w:tcPr>
            <w:tcW w:w="10440" w:type="dxa"/>
            <w:shd w:val="clear" w:color="auto" w:fill="FFFFFF"/>
            <w:vAlign w:val="center"/>
          </w:tcPr>
          <w:p w14:paraId="0AC2AA3A" w14:textId="77777777" w:rsidR="00C97625" w:rsidRDefault="00E71324">
            <w:pPr>
              <w:pStyle w:val="Header"/>
              <w:jc w:val="center"/>
            </w:pPr>
            <w:r w:rsidRPr="00E71324">
              <w:t>Evaluation of Interim Solutions or Alternatives for a More Efficient Implementation</w:t>
            </w:r>
          </w:p>
        </w:tc>
      </w:tr>
      <w:tr w:rsidR="00C97625" w14:paraId="58DF8793" w14:textId="77777777">
        <w:trPr>
          <w:trHeight w:val="413"/>
        </w:trPr>
        <w:tc>
          <w:tcPr>
            <w:tcW w:w="10440" w:type="dxa"/>
            <w:tcBorders>
              <w:bottom w:val="single" w:sz="4" w:space="0" w:color="auto"/>
            </w:tcBorders>
            <w:shd w:val="clear" w:color="auto" w:fill="FFFFFF"/>
            <w:vAlign w:val="center"/>
          </w:tcPr>
          <w:p w14:paraId="1E66628D" w14:textId="77777777" w:rsidR="00C97625" w:rsidRPr="00F555E9" w:rsidRDefault="00E702AF">
            <w:pPr>
              <w:pStyle w:val="NormalArial"/>
            </w:pPr>
            <w:r>
              <w:t>None offered.</w:t>
            </w:r>
          </w:p>
        </w:tc>
      </w:tr>
    </w:tbl>
    <w:p w14:paraId="1260EFC4" w14:textId="77777777" w:rsidR="00BB456F" w:rsidRDefault="00BB456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0987406B" w14:textId="77777777">
        <w:trPr>
          <w:trHeight w:val="422"/>
        </w:trPr>
        <w:tc>
          <w:tcPr>
            <w:tcW w:w="10440" w:type="dxa"/>
            <w:shd w:val="clear" w:color="auto" w:fill="FFFFFF"/>
            <w:vAlign w:val="center"/>
          </w:tcPr>
          <w:p w14:paraId="2BDAF21E" w14:textId="77777777" w:rsidR="00C97625" w:rsidRDefault="00C97625">
            <w:pPr>
              <w:pStyle w:val="Header"/>
              <w:jc w:val="center"/>
              <w:rPr>
                <w:rFonts w:ascii="Verdana" w:hAnsi="Verdana"/>
                <w:b w:val="0"/>
                <w:sz w:val="22"/>
              </w:rPr>
            </w:pPr>
            <w:r>
              <w:t>Comments</w:t>
            </w:r>
          </w:p>
        </w:tc>
      </w:tr>
      <w:tr w:rsidR="00C97625" w14:paraId="4EC9A9A8" w14:textId="77777777" w:rsidTr="00877DBE">
        <w:trPr>
          <w:trHeight w:val="593"/>
        </w:trPr>
        <w:tc>
          <w:tcPr>
            <w:tcW w:w="10440" w:type="dxa"/>
            <w:tcBorders>
              <w:bottom w:val="single" w:sz="4" w:space="0" w:color="auto"/>
            </w:tcBorders>
            <w:shd w:val="clear" w:color="auto" w:fill="FFFFFF"/>
            <w:vAlign w:val="center"/>
          </w:tcPr>
          <w:p w14:paraId="5B75134E" w14:textId="51286809" w:rsidR="002860C4" w:rsidRDefault="00DB14EC" w:rsidP="005D5CCD">
            <w:pPr>
              <w:pStyle w:val="NormalArial"/>
              <w:spacing w:before="120" w:after="120"/>
              <w:rPr>
                <w:rFonts w:cs="Arial"/>
              </w:rPr>
            </w:pPr>
            <w:r>
              <w:rPr>
                <w:rFonts w:cs="Arial"/>
              </w:rPr>
              <w:t xml:space="preserve">This </w:t>
            </w:r>
            <w:r w:rsidRPr="00DB14EC">
              <w:rPr>
                <w:rFonts w:cs="Arial"/>
              </w:rPr>
              <w:t>Impact Analysis reflects the staffing and systems needed to achieve the Batch Zero functionality and to support the ongoing work in subsequent Batch Studies (to be further defined in the second half of 2026).</w:t>
            </w:r>
            <w:r>
              <w:rPr>
                <w:rFonts w:cs="Arial"/>
              </w:rPr>
              <w:t xml:space="preserve"> </w:t>
            </w:r>
            <w:r w:rsidR="002860C4">
              <w:rPr>
                <w:rFonts w:cs="Arial"/>
              </w:rPr>
              <w:t>T</w:t>
            </w:r>
            <w:r w:rsidR="002860C4" w:rsidRPr="005D5CCD">
              <w:rPr>
                <w:rFonts w:cs="Arial"/>
              </w:rPr>
              <w:t>he impacts for the subsequent Batch studies after Batch Zero are subject to further review and may result in changes in staffing and/or system costs to be defined later in 2026.</w:t>
            </w:r>
          </w:p>
          <w:p w14:paraId="24BF0258" w14:textId="09859F71" w:rsidR="00A156C2" w:rsidRPr="00A156C2" w:rsidRDefault="008836AD" w:rsidP="005D5CCD">
            <w:pPr>
              <w:pStyle w:val="NormalArial"/>
              <w:spacing w:before="120" w:after="120"/>
              <w:rPr>
                <w:rFonts w:cs="Arial"/>
              </w:rPr>
            </w:pPr>
            <w:r w:rsidRPr="008836AD">
              <w:rPr>
                <w:rFonts w:cs="Arial"/>
              </w:rPr>
              <w:t>ERCOT will develop the Control Room displays as necessary for monitoring the loads that leverage the PCLR and WLPUN designs</w:t>
            </w:r>
            <w:r w:rsidR="002860C4">
              <w:rPr>
                <w:rFonts w:cs="Arial"/>
              </w:rPr>
              <w:t>.</w:t>
            </w:r>
          </w:p>
        </w:tc>
      </w:tr>
    </w:tbl>
    <w:p w14:paraId="297E7B02" w14:textId="77777777" w:rsidR="00BE76F0" w:rsidRDefault="00BE76F0" w:rsidP="00BE76F0"/>
    <w:sectPr w:rsidR="00BE76F0" w:rsidSect="00C26EFC">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7346" w14:textId="77777777" w:rsidR="00DF53C9" w:rsidRDefault="00DF53C9">
      <w:r>
        <w:separator/>
      </w:r>
    </w:p>
  </w:endnote>
  <w:endnote w:type="continuationSeparator" w:id="0">
    <w:p w14:paraId="02BFA4EE" w14:textId="77777777" w:rsidR="00DF53C9" w:rsidRDefault="00DF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DA72" w14:textId="6B2D19F3" w:rsidR="006B0C5E" w:rsidRDefault="00892AB0" w:rsidP="009D0F80">
    <w:pPr>
      <w:pStyle w:val="Footer"/>
      <w:pBdr>
        <w:top w:val="single" w:sz="4" w:space="1" w:color="auto"/>
      </w:pBd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D5CCD">
      <w:rPr>
        <w:rFonts w:ascii="Arial" w:hAnsi="Arial"/>
        <w:noProof/>
        <w:sz w:val="18"/>
      </w:rPr>
      <w:t>145PGRR-</w:t>
    </w:r>
    <w:r w:rsidR="002031AF">
      <w:rPr>
        <w:rFonts w:ascii="Arial" w:hAnsi="Arial"/>
        <w:noProof/>
        <w:sz w:val="18"/>
      </w:rPr>
      <w:t>102</w:t>
    </w:r>
    <w:r w:rsidR="005D5CCD">
      <w:rPr>
        <w:rFonts w:ascii="Arial" w:hAnsi="Arial"/>
        <w:noProof/>
        <w:sz w:val="18"/>
      </w:rPr>
      <w:t xml:space="preserve"> Revised Impact Analysis 051</w:t>
    </w:r>
    <w:r w:rsidR="002031AF">
      <w:rPr>
        <w:rFonts w:ascii="Arial" w:hAnsi="Arial"/>
        <w:noProof/>
        <w:sz w:val="18"/>
      </w:rPr>
      <w:t>8</w:t>
    </w:r>
    <w:r w:rsidR="005D5CCD">
      <w:rPr>
        <w:rFonts w:ascii="Arial" w:hAnsi="Arial"/>
        <w:noProof/>
        <w:sz w:val="18"/>
      </w:rPr>
      <w:t>26</w:t>
    </w:r>
    <w:r>
      <w:rPr>
        <w:rFonts w:ascii="Arial" w:hAnsi="Arial"/>
        <w:sz w:val="18"/>
      </w:rPr>
      <w:fldChar w:fldCharType="end"/>
    </w:r>
    <w:r w:rsidR="006B0C5E">
      <w:rPr>
        <w:rFonts w:ascii="Arial" w:hAnsi="Arial"/>
        <w:sz w:val="18"/>
      </w:rPr>
      <w:tab/>
      <w:t xml:space="preserve">Page </w:t>
    </w:r>
    <w:r w:rsidR="006B0C5E">
      <w:rPr>
        <w:rFonts w:ascii="Arial" w:hAnsi="Arial"/>
        <w:sz w:val="18"/>
      </w:rPr>
      <w:fldChar w:fldCharType="begin"/>
    </w:r>
    <w:r w:rsidR="006B0C5E">
      <w:rPr>
        <w:rFonts w:ascii="Arial" w:hAnsi="Arial"/>
        <w:sz w:val="18"/>
      </w:rPr>
      <w:instrText xml:space="preserve"> PAGE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r w:rsidR="006B0C5E">
      <w:rPr>
        <w:rFonts w:ascii="Arial" w:hAnsi="Arial"/>
        <w:sz w:val="18"/>
      </w:rPr>
      <w:t xml:space="preserve"> of </w:t>
    </w:r>
    <w:r w:rsidR="006B0C5E">
      <w:rPr>
        <w:rFonts w:ascii="Arial" w:hAnsi="Arial"/>
        <w:sz w:val="18"/>
      </w:rPr>
      <w:fldChar w:fldCharType="begin"/>
    </w:r>
    <w:r w:rsidR="006B0C5E">
      <w:rPr>
        <w:rFonts w:ascii="Arial" w:hAnsi="Arial"/>
        <w:sz w:val="18"/>
      </w:rPr>
      <w:instrText xml:space="preserve"> NUMPAGES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p>
  <w:p w14:paraId="1B2E411A" w14:textId="77777777" w:rsidR="006B0C5E" w:rsidRDefault="006B0C5E" w:rsidP="00B3605A">
    <w:pPr>
      <w:pStyle w:val="Footer"/>
      <w:pBdr>
        <w:top w:val="single" w:sz="4" w:space="1" w:color="auto"/>
      </w:pBd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FF06" w14:textId="77777777" w:rsidR="00DF53C9" w:rsidRDefault="00DF53C9">
      <w:r>
        <w:separator/>
      </w:r>
    </w:p>
  </w:footnote>
  <w:footnote w:type="continuationSeparator" w:id="0">
    <w:p w14:paraId="05DF0C48" w14:textId="77777777" w:rsidR="00DF53C9" w:rsidRDefault="00DF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0F3" w14:textId="6F6CF4FF" w:rsidR="006B0C5E" w:rsidRDefault="00AE29C2">
    <w:pPr>
      <w:pStyle w:val="Header"/>
      <w:jc w:val="center"/>
      <w:rPr>
        <w:sz w:val="30"/>
      </w:rPr>
    </w:pPr>
    <w:r>
      <w:rPr>
        <w:sz w:val="30"/>
      </w:rPr>
      <w:t xml:space="preserve">Revised </w:t>
    </w:r>
    <w:r w:rsidR="006B0C5E">
      <w:rPr>
        <w:sz w:val="30"/>
      </w:rPr>
      <w:t>ERCOT Impact Analysis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014D31E"/>
    <w:lvl w:ilvl="0">
      <w:start w:val="1"/>
      <w:numFmt w:val="decimal"/>
      <w:pStyle w:val="Bullet"/>
      <w:lvlText w:val="(%1)"/>
      <w:lvlJc w:val="left"/>
      <w:pPr>
        <w:tabs>
          <w:tab w:val="num" w:pos="1080"/>
        </w:tabs>
        <w:ind w:left="1080" w:hanging="360"/>
      </w:pPr>
      <w:rPr>
        <w:rFonts w:hint="default"/>
      </w:rPr>
    </w:lvl>
  </w:abstractNum>
  <w:abstractNum w:abstractNumId="1" w15:restartNumberingAfterBreak="0">
    <w:nsid w:val="04EC00E7"/>
    <w:multiLevelType w:val="hybridMultilevel"/>
    <w:tmpl w:val="AC1C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2EC2"/>
    <w:multiLevelType w:val="hybridMultilevel"/>
    <w:tmpl w:val="04AC9852"/>
    <w:lvl w:ilvl="0" w:tplc="BA42EA3A">
      <w:start w:val="1"/>
      <w:numFmt w:val="bullet"/>
      <w:lvlText w:val=""/>
      <w:lvlJc w:val="left"/>
      <w:pPr>
        <w:tabs>
          <w:tab w:val="num" w:pos="720"/>
        </w:tabs>
        <w:ind w:left="720" w:hanging="360"/>
      </w:pPr>
      <w:rPr>
        <w:rFonts w:ascii="Wingdings" w:hAnsi="Wingdings" w:hint="default"/>
      </w:rPr>
    </w:lvl>
    <w:lvl w:ilvl="1" w:tplc="444C6C06" w:tentative="1">
      <w:start w:val="1"/>
      <w:numFmt w:val="bullet"/>
      <w:lvlText w:val="o"/>
      <w:lvlJc w:val="left"/>
      <w:pPr>
        <w:tabs>
          <w:tab w:val="num" w:pos="1440"/>
        </w:tabs>
        <w:ind w:left="1440" w:hanging="360"/>
      </w:pPr>
      <w:rPr>
        <w:rFonts w:ascii="Courier New" w:hAnsi="Courier New" w:cs="Courier New" w:hint="default"/>
      </w:rPr>
    </w:lvl>
    <w:lvl w:ilvl="2" w:tplc="B22CE988" w:tentative="1">
      <w:start w:val="1"/>
      <w:numFmt w:val="bullet"/>
      <w:lvlText w:val=""/>
      <w:lvlJc w:val="left"/>
      <w:pPr>
        <w:tabs>
          <w:tab w:val="num" w:pos="2160"/>
        </w:tabs>
        <w:ind w:left="2160" w:hanging="360"/>
      </w:pPr>
      <w:rPr>
        <w:rFonts w:ascii="Wingdings" w:hAnsi="Wingdings" w:hint="default"/>
      </w:rPr>
    </w:lvl>
    <w:lvl w:ilvl="3" w:tplc="937A307C" w:tentative="1">
      <w:start w:val="1"/>
      <w:numFmt w:val="bullet"/>
      <w:lvlText w:val=""/>
      <w:lvlJc w:val="left"/>
      <w:pPr>
        <w:tabs>
          <w:tab w:val="num" w:pos="2880"/>
        </w:tabs>
        <w:ind w:left="2880" w:hanging="360"/>
      </w:pPr>
      <w:rPr>
        <w:rFonts w:ascii="Symbol" w:hAnsi="Symbol" w:hint="default"/>
      </w:rPr>
    </w:lvl>
    <w:lvl w:ilvl="4" w:tplc="4FDC1D2A" w:tentative="1">
      <w:start w:val="1"/>
      <w:numFmt w:val="bullet"/>
      <w:lvlText w:val="o"/>
      <w:lvlJc w:val="left"/>
      <w:pPr>
        <w:tabs>
          <w:tab w:val="num" w:pos="3600"/>
        </w:tabs>
        <w:ind w:left="3600" w:hanging="360"/>
      </w:pPr>
      <w:rPr>
        <w:rFonts w:ascii="Courier New" w:hAnsi="Courier New" w:cs="Courier New" w:hint="default"/>
      </w:rPr>
    </w:lvl>
    <w:lvl w:ilvl="5" w:tplc="1F2E6BD0" w:tentative="1">
      <w:start w:val="1"/>
      <w:numFmt w:val="bullet"/>
      <w:lvlText w:val=""/>
      <w:lvlJc w:val="left"/>
      <w:pPr>
        <w:tabs>
          <w:tab w:val="num" w:pos="4320"/>
        </w:tabs>
        <w:ind w:left="4320" w:hanging="360"/>
      </w:pPr>
      <w:rPr>
        <w:rFonts w:ascii="Wingdings" w:hAnsi="Wingdings" w:hint="default"/>
      </w:rPr>
    </w:lvl>
    <w:lvl w:ilvl="6" w:tplc="855A309A" w:tentative="1">
      <w:start w:val="1"/>
      <w:numFmt w:val="bullet"/>
      <w:lvlText w:val=""/>
      <w:lvlJc w:val="left"/>
      <w:pPr>
        <w:tabs>
          <w:tab w:val="num" w:pos="5040"/>
        </w:tabs>
        <w:ind w:left="5040" w:hanging="360"/>
      </w:pPr>
      <w:rPr>
        <w:rFonts w:ascii="Symbol" w:hAnsi="Symbol" w:hint="default"/>
      </w:rPr>
    </w:lvl>
    <w:lvl w:ilvl="7" w:tplc="F5CEAA68" w:tentative="1">
      <w:start w:val="1"/>
      <w:numFmt w:val="bullet"/>
      <w:lvlText w:val="o"/>
      <w:lvlJc w:val="left"/>
      <w:pPr>
        <w:tabs>
          <w:tab w:val="num" w:pos="5760"/>
        </w:tabs>
        <w:ind w:left="5760" w:hanging="360"/>
      </w:pPr>
      <w:rPr>
        <w:rFonts w:ascii="Courier New" w:hAnsi="Courier New" w:cs="Courier New" w:hint="default"/>
      </w:rPr>
    </w:lvl>
    <w:lvl w:ilvl="8" w:tplc="DB5846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660D8"/>
    <w:multiLevelType w:val="multilevel"/>
    <w:tmpl w:val="15C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05C9E"/>
    <w:multiLevelType w:val="multilevel"/>
    <w:tmpl w:val="15E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70AFC"/>
    <w:multiLevelType w:val="hybridMultilevel"/>
    <w:tmpl w:val="08F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C2713"/>
    <w:multiLevelType w:val="multilevel"/>
    <w:tmpl w:val="87D8F644"/>
    <w:lvl w:ilvl="0">
      <w:start w:val="1"/>
      <w:numFmt w:val="decimal"/>
      <w:pStyle w:val="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4337E0"/>
    <w:multiLevelType w:val="hybridMultilevel"/>
    <w:tmpl w:val="900A598C"/>
    <w:lvl w:ilvl="0" w:tplc="2F5098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59B413A9"/>
    <w:multiLevelType w:val="hybridMultilevel"/>
    <w:tmpl w:val="ED5EDEC8"/>
    <w:lvl w:ilvl="0" w:tplc="2F509858">
      <w:numFmt w:val="bullet"/>
      <w:lvlText w:val=""/>
      <w:lvlJc w:val="left"/>
      <w:pPr>
        <w:ind w:left="1365" w:hanging="360"/>
      </w:pPr>
      <w:rPr>
        <w:rFonts w:ascii="Symbol" w:eastAsia="Times New Roman" w:hAnsi="Symbol"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15:restartNumberingAfterBreak="0">
    <w:nsid w:val="6B420A44"/>
    <w:multiLevelType w:val="hybridMultilevel"/>
    <w:tmpl w:val="88780172"/>
    <w:lvl w:ilvl="0" w:tplc="CC48798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F54BB8"/>
    <w:multiLevelType w:val="hybridMultilevel"/>
    <w:tmpl w:val="91BEC6AA"/>
    <w:lvl w:ilvl="0" w:tplc="2F50985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435" w:hanging="360"/>
      </w:pPr>
      <w:rPr>
        <w:rFonts w:ascii="Courier New" w:hAnsi="Courier New" w:cs="Courier New" w:hint="default"/>
      </w:rPr>
    </w:lvl>
    <w:lvl w:ilvl="2" w:tplc="04090005" w:tentative="1">
      <w:start w:val="1"/>
      <w:numFmt w:val="bullet"/>
      <w:lvlText w:val=""/>
      <w:lvlJc w:val="left"/>
      <w:pPr>
        <w:ind w:left="1155" w:hanging="360"/>
      </w:pPr>
      <w:rPr>
        <w:rFonts w:ascii="Wingdings" w:hAnsi="Wingdings" w:hint="default"/>
      </w:rPr>
    </w:lvl>
    <w:lvl w:ilvl="3" w:tplc="04090001" w:tentative="1">
      <w:start w:val="1"/>
      <w:numFmt w:val="bullet"/>
      <w:lvlText w:val=""/>
      <w:lvlJc w:val="left"/>
      <w:pPr>
        <w:ind w:left="1875" w:hanging="360"/>
      </w:pPr>
      <w:rPr>
        <w:rFonts w:ascii="Symbol" w:hAnsi="Symbol" w:hint="default"/>
      </w:rPr>
    </w:lvl>
    <w:lvl w:ilvl="4" w:tplc="04090003" w:tentative="1">
      <w:start w:val="1"/>
      <w:numFmt w:val="bullet"/>
      <w:lvlText w:val="o"/>
      <w:lvlJc w:val="left"/>
      <w:pPr>
        <w:ind w:left="2595" w:hanging="360"/>
      </w:pPr>
      <w:rPr>
        <w:rFonts w:ascii="Courier New" w:hAnsi="Courier New" w:cs="Courier New" w:hint="default"/>
      </w:rPr>
    </w:lvl>
    <w:lvl w:ilvl="5" w:tplc="04090005" w:tentative="1">
      <w:start w:val="1"/>
      <w:numFmt w:val="bullet"/>
      <w:lvlText w:val=""/>
      <w:lvlJc w:val="left"/>
      <w:pPr>
        <w:ind w:left="3315" w:hanging="360"/>
      </w:pPr>
      <w:rPr>
        <w:rFonts w:ascii="Wingdings" w:hAnsi="Wingdings" w:hint="default"/>
      </w:rPr>
    </w:lvl>
    <w:lvl w:ilvl="6" w:tplc="04090001" w:tentative="1">
      <w:start w:val="1"/>
      <w:numFmt w:val="bullet"/>
      <w:lvlText w:val=""/>
      <w:lvlJc w:val="left"/>
      <w:pPr>
        <w:ind w:left="4035" w:hanging="360"/>
      </w:pPr>
      <w:rPr>
        <w:rFonts w:ascii="Symbol" w:hAnsi="Symbol" w:hint="default"/>
      </w:rPr>
    </w:lvl>
    <w:lvl w:ilvl="7" w:tplc="04090003" w:tentative="1">
      <w:start w:val="1"/>
      <w:numFmt w:val="bullet"/>
      <w:lvlText w:val="o"/>
      <w:lvlJc w:val="left"/>
      <w:pPr>
        <w:ind w:left="4755" w:hanging="360"/>
      </w:pPr>
      <w:rPr>
        <w:rFonts w:ascii="Courier New" w:hAnsi="Courier New" w:cs="Courier New" w:hint="default"/>
      </w:rPr>
    </w:lvl>
    <w:lvl w:ilvl="8" w:tplc="04090005" w:tentative="1">
      <w:start w:val="1"/>
      <w:numFmt w:val="bullet"/>
      <w:lvlText w:val=""/>
      <w:lvlJc w:val="left"/>
      <w:pPr>
        <w:ind w:left="5475" w:hanging="360"/>
      </w:pPr>
      <w:rPr>
        <w:rFonts w:ascii="Wingdings" w:hAnsi="Wingdings" w:hint="default"/>
      </w:rPr>
    </w:lvl>
  </w:abstractNum>
  <w:abstractNum w:abstractNumId="11" w15:restartNumberingAfterBreak="0">
    <w:nsid w:val="7E211854"/>
    <w:multiLevelType w:val="hybridMultilevel"/>
    <w:tmpl w:val="D3B42F86"/>
    <w:lvl w:ilvl="0" w:tplc="32928884">
      <w:start w:val="1"/>
      <w:numFmt w:val="decimal"/>
      <w:lvlText w:val="(%1)"/>
      <w:lvlJc w:val="left"/>
      <w:pPr>
        <w:tabs>
          <w:tab w:val="num" w:pos="720"/>
        </w:tabs>
        <w:ind w:left="720" w:hanging="360"/>
      </w:pPr>
      <w:rPr>
        <w:rFonts w:hint="default"/>
      </w:rPr>
    </w:lvl>
    <w:lvl w:ilvl="1" w:tplc="96AA76D2" w:tentative="1">
      <w:start w:val="1"/>
      <w:numFmt w:val="lowerLetter"/>
      <w:lvlText w:val="%2."/>
      <w:lvlJc w:val="left"/>
      <w:pPr>
        <w:tabs>
          <w:tab w:val="num" w:pos="1440"/>
        </w:tabs>
        <w:ind w:left="1440" w:hanging="360"/>
      </w:pPr>
    </w:lvl>
    <w:lvl w:ilvl="2" w:tplc="DF22C8D6" w:tentative="1">
      <w:start w:val="1"/>
      <w:numFmt w:val="lowerRoman"/>
      <w:lvlText w:val="%3."/>
      <w:lvlJc w:val="right"/>
      <w:pPr>
        <w:tabs>
          <w:tab w:val="num" w:pos="2160"/>
        </w:tabs>
        <w:ind w:left="2160" w:hanging="180"/>
      </w:pPr>
    </w:lvl>
    <w:lvl w:ilvl="3" w:tplc="35B8421C" w:tentative="1">
      <w:start w:val="1"/>
      <w:numFmt w:val="decimal"/>
      <w:lvlText w:val="%4."/>
      <w:lvlJc w:val="left"/>
      <w:pPr>
        <w:tabs>
          <w:tab w:val="num" w:pos="2880"/>
        </w:tabs>
        <w:ind w:left="2880" w:hanging="360"/>
      </w:pPr>
    </w:lvl>
    <w:lvl w:ilvl="4" w:tplc="8C42251C" w:tentative="1">
      <w:start w:val="1"/>
      <w:numFmt w:val="lowerLetter"/>
      <w:lvlText w:val="%5."/>
      <w:lvlJc w:val="left"/>
      <w:pPr>
        <w:tabs>
          <w:tab w:val="num" w:pos="3600"/>
        </w:tabs>
        <w:ind w:left="3600" w:hanging="360"/>
      </w:pPr>
    </w:lvl>
    <w:lvl w:ilvl="5" w:tplc="F0BE4FBE" w:tentative="1">
      <w:start w:val="1"/>
      <w:numFmt w:val="lowerRoman"/>
      <w:lvlText w:val="%6."/>
      <w:lvlJc w:val="right"/>
      <w:pPr>
        <w:tabs>
          <w:tab w:val="num" w:pos="4320"/>
        </w:tabs>
        <w:ind w:left="4320" w:hanging="180"/>
      </w:pPr>
    </w:lvl>
    <w:lvl w:ilvl="6" w:tplc="BD608BDE" w:tentative="1">
      <w:start w:val="1"/>
      <w:numFmt w:val="decimal"/>
      <w:lvlText w:val="%7."/>
      <w:lvlJc w:val="left"/>
      <w:pPr>
        <w:tabs>
          <w:tab w:val="num" w:pos="5040"/>
        </w:tabs>
        <w:ind w:left="5040" w:hanging="360"/>
      </w:pPr>
    </w:lvl>
    <w:lvl w:ilvl="7" w:tplc="3910921C" w:tentative="1">
      <w:start w:val="1"/>
      <w:numFmt w:val="lowerLetter"/>
      <w:lvlText w:val="%8."/>
      <w:lvlJc w:val="left"/>
      <w:pPr>
        <w:tabs>
          <w:tab w:val="num" w:pos="5760"/>
        </w:tabs>
        <w:ind w:left="5760" w:hanging="360"/>
      </w:pPr>
    </w:lvl>
    <w:lvl w:ilvl="8" w:tplc="B9A0D498" w:tentative="1">
      <w:start w:val="1"/>
      <w:numFmt w:val="lowerRoman"/>
      <w:lvlText w:val="%9."/>
      <w:lvlJc w:val="right"/>
      <w:pPr>
        <w:tabs>
          <w:tab w:val="num" w:pos="6480"/>
        </w:tabs>
        <w:ind w:left="6480" w:hanging="180"/>
      </w:pPr>
    </w:lvl>
  </w:abstractNum>
  <w:num w:numId="1" w16cid:durableId="1763866722">
    <w:abstractNumId w:val="0"/>
  </w:num>
  <w:num w:numId="2" w16cid:durableId="7952874">
    <w:abstractNumId w:val="11"/>
  </w:num>
  <w:num w:numId="3" w16cid:durableId="168062367">
    <w:abstractNumId w:val="4"/>
  </w:num>
  <w:num w:numId="4" w16cid:durableId="407459279">
    <w:abstractNumId w:val="2"/>
  </w:num>
  <w:num w:numId="5" w16cid:durableId="1784224564">
    <w:abstractNumId w:val="6"/>
  </w:num>
  <w:num w:numId="6" w16cid:durableId="1289773258">
    <w:abstractNumId w:val="9"/>
  </w:num>
  <w:num w:numId="7" w16cid:durableId="429400059">
    <w:abstractNumId w:val="3"/>
  </w:num>
  <w:num w:numId="8" w16cid:durableId="1934168429">
    <w:abstractNumId w:val="5"/>
  </w:num>
  <w:num w:numId="9" w16cid:durableId="1651596170">
    <w:abstractNumId w:val="1"/>
  </w:num>
  <w:num w:numId="10" w16cid:durableId="661280837">
    <w:abstractNumId w:val="3"/>
  </w:num>
  <w:num w:numId="11" w16cid:durableId="49771659">
    <w:abstractNumId w:val="3"/>
  </w:num>
  <w:num w:numId="12" w16cid:durableId="772093999">
    <w:abstractNumId w:val="8"/>
  </w:num>
  <w:num w:numId="13" w16cid:durableId="1091704508">
    <w:abstractNumId w:val="10"/>
  </w:num>
  <w:num w:numId="14" w16cid:durableId="287588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2"/>
    <w:rsid w:val="0000334F"/>
    <w:rsid w:val="00014323"/>
    <w:rsid w:val="0001445B"/>
    <w:rsid w:val="000148CE"/>
    <w:rsid w:val="00015864"/>
    <w:rsid w:val="00017EA4"/>
    <w:rsid w:val="000208FC"/>
    <w:rsid w:val="00023679"/>
    <w:rsid w:val="00026E9F"/>
    <w:rsid w:val="00027C2E"/>
    <w:rsid w:val="00042304"/>
    <w:rsid w:val="00045279"/>
    <w:rsid w:val="000466AC"/>
    <w:rsid w:val="00051132"/>
    <w:rsid w:val="0005194C"/>
    <w:rsid w:val="00056F0B"/>
    <w:rsid w:val="000571E9"/>
    <w:rsid w:val="00061806"/>
    <w:rsid w:val="00063524"/>
    <w:rsid w:val="0006423F"/>
    <w:rsid w:val="0007031E"/>
    <w:rsid w:val="00072A89"/>
    <w:rsid w:val="00083944"/>
    <w:rsid w:val="00093663"/>
    <w:rsid w:val="00094676"/>
    <w:rsid w:val="0009725B"/>
    <w:rsid w:val="000A2646"/>
    <w:rsid w:val="000A3DB5"/>
    <w:rsid w:val="000B0B1C"/>
    <w:rsid w:val="000B261A"/>
    <w:rsid w:val="000B3B55"/>
    <w:rsid w:val="000D1980"/>
    <w:rsid w:val="000D5B5A"/>
    <w:rsid w:val="000E092F"/>
    <w:rsid w:val="000E735D"/>
    <w:rsid w:val="000F657B"/>
    <w:rsid w:val="0010572B"/>
    <w:rsid w:val="00110147"/>
    <w:rsid w:val="0011160D"/>
    <w:rsid w:val="001128F3"/>
    <w:rsid w:val="00116E03"/>
    <w:rsid w:val="001237B1"/>
    <w:rsid w:val="00124420"/>
    <w:rsid w:val="0013505A"/>
    <w:rsid w:val="0014050A"/>
    <w:rsid w:val="0014190C"/>
    <w:rsid w:val="001454E5"/>
    <w:rsid w:val="00145C2F"/>
    <w:rsid w:val="00147406"/>
    <w:rsid w:val="001503FA"/>
    <w:rsid w:val="001542F8"/>
    <w:rsid w:val="00155C21"/>
    <w:rsid w:val="001579B2"/>
    <w:rsid w:val="0016055C"/>
    <w:rsid w:val="001633D8"/>
    <w:rsid w:val="0017002D"/>
    <w:rsid w:val="0017075F"/>
    <w:rsid w:val="00172393"/>
    <w:rsid w:val="00172E89"/>
    <w:rsid w:val="00175435"/>
    <w:rsid w:val="001779DF"/>
    <w:rsid w:val="00184A60"/>
    <w:rsid w:val="00187E58"/>
    <w:rsid w:val="00192200"/>
    <w:rsid w:val="001938B5"/>
    <w:rsid w:val="001A1BE0"/>
    <w:rsid w:val="001A20FF"/>
    <w:rsid w:val="001A26D2"/>
    <w:rsid w:val="001A2CE6"/>
    <w:rsid w:val="001A32A3"/>
    <w:rsid w:val="001B1311"/>
    <w:rsid w:val="001B2694"/>
    <w:rsid w:val="001B744A"/>
    <w:rsid w:val="001C0827"/>
    <w:rsid w:val="001C16C2"/>
    <w:rsid w:val="001C3A94"/>
    <w:rsid w:val="001C57E3"/>
    <w:rsid w:val="001D2511"/>
    <w:rsid w:val="001D25C1"/>
    <w:rsid w:val="001E1E0B"/>
    <w:rsid w:val="001E4FDC"/>
    <w:rsid w:val="001E6796"/>
    <w:rsid w:val="001E7AE7"/>
    <w:rsid w:val="001F4A33"/>
    <w:rsid w:val="001F6C86"/>
    <w:rsid w:val="002002F0"/>
    <w:rsid w:val="0020134E"/>
    <w:rsid w:val="0020272B"/>
    <w:rsid w:val="002031AF"/>
    <w:rsid w:val="00205960"/>
    <w:rsid w:val="00205B4D"/>
    <w:rsid w:val="00206B28"/>
    <w:rsid w:val="002140E5"/>
    <w:rsid w:val="00217CBE"/>
    <w:rsid w:val="002267F1"/>
    <w:rsid w:val="00226DFE"/>
    <w:rsid w:val="00227723"/>
    <w:rsid w:val="00227B32"/>
    <w:rsid w:val="00241CBB"/>
    <w:rsid w:val="0024317E"/>
    <w:rsid w:val="00243501"/>
    <w:rsid w:val="00243BB9"/>
    <w:rsid w:val="002475CD"/>
    <w:rsid w:val="00256388"/>
    <w:rsid w:val="00261F9F"/>
    <w:rsid w:val="00264C33"/>
    <w:rsid w:val="00264E6E"/>
    <w:rsid w:val="00270E4F"/>
    <w:rsid w:val="00277037"/>
    <w:rsid w:val="002842DB"/>
    <w:rsid w:val="00284AFE"/>
    <w:rsid w:val="00285724"/>
    <w:rsid w:val="002860C4"/>
    <w:rsid w:val="00287D44"/>
    <w:rsid w:val="00291E84"/>
    <w:rsid w:val="00295C69"/>
    <w:rsid w:val="002A5AAE"/>
    <w:rsid w:val="002B11CA"/>
    <w:rsid w:val="002B1CD1"/>
    <w:rsid w:val="002B6BBB"/>
    <w:rsid w:val="002B7381"/>
    <w:rsid w:val="002C0479"/>
    <w:rsid w:val="002C351B"/>
    <w:rsid w:val="002C38FE"/>
    <w:rsid w:val="002D1356"/>
    <w:rsid w:val="002D449E"/>
    <w:rsid w:val="002D47BC"/>
    <w:rsid w:val="002D68CF"/>
    <w:rsid w:val="002D6AEA"/>
    <w:rsid w:val="002D6CAB"/>
    <w:rsid w:val="002E77D5"/>
    <w:rsid w:val="002F0892"/>
    <w:rsid w:val="00301956"/>
    <w:rsid w:val="00302400"/>
    <w:rsid w:val="00305163"/>
    <w:rsid w:val="00306F40"/>
    <w:rsid w:val="0031098C"/>
    <w:rsid w:val="0031543B"/>
    <w:rsid w:val="00315727"/>
    <w:rsid w:val="00320300"/>
    <w:rsid w:val="00324744"/>
    <w:rsid w:val="00337A14"/>
    <w:rsid w:val="00343A04"/>
    <w:rsid w:val="003442FA"/>
    <w:rsid w:val="0034587B"/>
    <w:rsid w:val="00351312"/>
    <w:rsid w:val="003532C4"/>
    <w:rsid w:val="00361A4D"/>
    <w:rsid w:val="003708B7"/>
    <w:rsid w:val="00370938"/>
    <w:rsid w:val="0037167C"/>
    <w:rsid w:val="003806C4"/>
    <w:rsid w:val="003821C4"/>
    <w:rsid w:val="00394BE3"/>
    <w:rsid w:val="003971D4"/>
    <w:rsid w:val="003A3246"/>
    <w:rsid w:val="003A6591"/>
    <w:rsid w:val="003B3863"/>
    <w:rsid w:val="003C51CF"/>
    <w:rsid w:val="003C6A6A"/>
    <w:rsid w:val="003C7219"/>
    <w:rsid w:val="003D0139"/>
    <w:rsid w:val="003D29A2"/>
    <w:rsid w:val="003E7403"/>
    <w:rsid w:val="003E74C8"/>
    <w:rsid w:val="003F39B9"/>
    <w:rsid w:val="004062C0"/>
    <w:rsid w:val="00414B41"/>
    <w:rsid w:val="0042091F"/>
    <w:rsid w:val="00421355"/>
    <w:rsid w:val="00424401"/>
    <w:rsid w:val="004249AB"/>
    <w:rsid w:val="00431BFE"/>
    <w:rsid w:val="00433605"/>
    <w:rsid w:val="00442FBA"/>
    <w:rsid w:val="004501A8"/>
    <w:rsid w:val="00451032"/>
    <w:rsid w:val="0045119E"/>
    <w:rsid w:val="00452578"/>
    <w:rsid w:val="00460297"/>
    <w:rsid w:val="00460D3A"/>
    <w:rsid w:val="00471A6A"/>
    <w:rsid w:val="00472F10"/>
    <w:rsid w:val="004755B8"/>
    <w:rsid w:val="0047621E"/>
    <w:rsid w:val="00477221"/>
    <w:rsid w:val="0047741B"/>
    <w:rsid w:val="00483998"/>
    <w:rsid w:val="00492EE1"/>
    <w:rsid w:val="004938B8"/>
    <w:rsid w:val="004B2AA2"/>
    <w:rsid w:val="004B3901"/>
    <w:rsid w:val="004C389D"/>
    <w:rsid w:val="004C47CB"/>
    <w:rsid w:val="004C67FE"/>
    <w:rsid w:val="004D252E"/>
    <w:rsid w:val="004D321F"/>
    <w:rsid w:val="004E7041"/>
    <w:rsid w:val="005059AD"/>
    <w:rsid w:val="00510D3C"/>
    <w:rsid w:val="00511748"/>
    <w:rsid w:val="00512FC8"/>
    <w:rsid w:val="0051647B"/>
    <w:rsid w:val="00517A49"/>
    <w:rsid w:val="005204C1"/>
    <w:rsid w:val="0052229A"/>
    <w:rsid w:val="00523111"/>
    <w:rsid w:val="0052565A"/>
    <w:rsid w:val="00531816"/>
    <w:rsid w:val="00534DA9"/>
    <w:rsid w:val="005364F5"/>
    <w:rsid w:val="00543589"/>
    <w:rsid w:val="005478AD"/>
    <w:rsid w:val="005502FA"/>
    <w:rsid w:val="005522EB"/>
    <w:rsid w:val="00561EBA"/>
    <w:rsid w:val="00562A08"/>
    <w:rsid w:val="005672AF"/>
    <w:rsid w:val="00571B12"/>
    <w:rsid w:val="00577B36"/>
    <w:rsid w:val="00585304"/>
    <w:rsid w:val="00585DAB"/>
    <w:rsid w:val="00590565"/>
    <w:rsid w:val="00591647"/>
    <w:rsid w:val="00592DDF"/>
    <w:rsid w:val="00594770"/>
    <w:rsid w:val="00595DDC"/>
    <w:rsid w:val="005973DA"/>
    <w:rsid w:val="005A2F63"/>
    <w:rsid w:val="005A6B20"/>
    <w:rsid w:val="005B02F0"/>
    <w:rsid w:val="005B47A6"/>
    <w:rsid w:val="005B47C7"/>
    <w:rsid w:val="005B56D9"/>
    <w:rsid w:val="005C17CC"/>
    <w:rsid w:val="005C2652"/>
    <w:rsid w:val="005C5D46"/>
    <w:rsid w:val="005C6C67"/>
    <w:rsid w:val="005D0B38"/>
    <w:rsid w:val="005D1346"/>
    <w:rsid w:val="005D2B34"/>
    <w:rsid w:val="005D5CCD"/>
    <w:rsid w:val="005E78E9"/>
    <w:rsid w:val="005F0431"/>
    <w:rsid w:val="005F2F90"/>
    <w:rsid w:val="005F45A3"/>
    <w:rsid w:val="005F6371"/>
    <w:rsid w:val="006046E0"/>
    <w:rsid w:val="00613D07"/>
    <w:rsid w:val="0061422A"/>
    <w:rsid w:val="0061583D"/>
    <w:rsid w:val="00622B03"/>
    <w:rsid w:val="00623EB4"/>
    <w:rsid w:val="00625F0A"/>
    <w:rsid w:val="006302C9"/>
    <w:rsid w:val="00640D1E"/>
    <w:rsid w:val="00644499"/>
    <w:rsid w:val="00651DB6"/>
    <w:rsid w:val="00655AA3"/>
    <w:rsid w:val="00656684"/>
    <w:rsid w:val="00660F9F"/>
    <w:rsid w:val="00661266"/>
    <w:rsid w:val="00663934"/>
    <w:rsid w:val="0066416B"/>
    <w:rsid w:val="00664CC1"/>
    <w:rsid w:val="00666549"/>
    <w:rsid w:val="00666808"/>
    <w:rsid w:val="00672521"/>
    <w:rsid w:val="00676DC7"/>
    <w:rsid w:val="00677B73"/>
    <w:rsid w:val="00677EA2"/>
    <w:rsid w:val="006805FB"/>
    <w:rsid w:val="00680DA7"/>
    <w:rsid w:val="00683B65"/>
    <w:rsid w:val="00683FB5"/>
    <w:rsid w:val="00687020"/>
    <w:rsid w:val="00690122"/>
    <w:rsid w:val="006B0C5E"/>
    <w:rsid w:val="006B25E9"/>
    <w:rsid w:val="006C3039"/>
    <w:rsid w:val="006E4E93"/>
    <w:rsid w:val="006E67E1"/>
    <w:rsid w:val="006E7A40"/>
    <w:rsid w:val="006F0D6E"/>
    <w:rsid w:val="006F4F9D"/>
    <w:rsid w:val="007002AE"/>
    <w:rsid w:val="007030DF"/>
    <w:rsid w:val="00712E26"/>
    <w:rsid w:val="007233B6"/>
    <w:rsid w:val="00733A0B"/>
    <w:rsid w:val="00735299"/>
    <w:rsid w:val="00740C8C"/>
    <w:rsid w:val="00741D65"/>
    <w:rsid w:val="00742975"/>
    <w:rsid w:val="00743580"/>
    <w:rsid w:val="007435EA"/>
    <w:rsid w:val="007436DB"/>
    <w:rsid w:val="007453CF"/>
    <w:rsid w:val="00746D94"/>
    <w:rsid w:val="007515B3"/>
    <w:rsid w:val="0075487E"/>
    <w:rsid w:val="00755CFC"/>
    <w:rsid w:val="00771453"/>
    <w:rsid w:val="00771BEE"/>
    <w:rsid w:val="00771D27"/>
    <w:rsid w:val="0077547B"/>
    <w:rsid w:val="00780AB9"/>
    <w:rsid w:val="00782043"/>
    <w:rsid w:val="00791CD8"/>
    <w:rsid w:val="007930FC"/>
    <w:rsid w:val="00793DE2"/>
    <w:rsid w:val="00797ED0"/>
    <w:rsid w:val="007A2D47"/>
    <w:rsid w:val="007A427B"/>
    <w:rsid w:val="007A77AC"/>
    <w:rsid w:val="007B1349"/>
    <w:rsid w:val="007B2C06"/>
    <w:rsid w:val="007C1F60"/>
    <w:rsid w:val="007C5E7B"/>
    <w:rsid w:val="007D3E51"/>
    <w:rsid w:val="007E347C"/>
    <w:rsid w:val="007E5F62"/>
    <w:rsid w:val="007E77E9"/>
    <w:rsid w:val="007F094A"/>
    <w:rsid w:val="007F1D91"/>
    <w:rsid w:val="007F3E6D"/>
    <w:rsid w:val="007F68BE"/>
    <w:rsid w:val="008013FA"/>
    <w:rsid w:val="0080426E"/>
    <w:rsid w:val="008120F0"/>
    <w:rsid w:val="00812DB6"/>
    <w:rsid w:val="0081403B"/>
    <w:rsid w:val="00817247"/>
    <w:rsid w:val="00820B63"/>
    <w:rsid w:val="00824182"/>
    <w:rsid w:val="00831001"/>
    <w:rsid w:val="0083171D"/>
    <w:rsid w:val="008339AA"/>
    <w:rsid w:val="00843C34"/>
    <w:rsid w:val="00847627"/>
    <w:rsid w:val="0085096E"/>
    <w:rsid w:val="00851A89"/>
    <w:rsid w:val="008614E7"/>
    <w:rsid w:val="0086416F"/>
    <w:rsid w:val="00867213"/>
    <w:rsid w:val="00867431"/>
    <w:rsid w:val="0087450B"/>
    <w:rsid w:val="008765E2"/>
    <w:rsid w:val="00877DBE"/>
    <w:rsid w:val="00881FBC"/>
    <w:rsid w:val="008836AD"/>
    <w:rsid w:val="0088379F"/>
    <w:rsid w:val="0088425F"/>
    <w:rsid w:val="00884E89"/>
    <w:rsid w:val="0089119D"/>
    <w:rsid w:val="00891DB4"/>
    <w:rsid w:val="00892AB0"/>
    <w:rsid w:val="00896F17"/>
    <w:rsid w:val="008A23B8"/>
    <w:rsid w:val="008A64A0"/>
    <w:rsid w:val="008B4E36"/>
    <w:rsid w:val="008B7F92"/>
    <w:rsid w:val="008C2C03"/>
    <w:rsid w:val="008D147D"/>
    <w:rsid w:val="008D3937"/>
    <w:rsid w:val="008D73FD"/>
    <w:rsid w:val="008E14AC"/>
    <w:rsid w:val="008E6078"/>
    <w:rsid w:val="008F31DF"/>
    <w:rsid w:val="009015D0"/>
    <w:rsid w:val="0090511F"/>
    <w:rsid w:val="0090566C"/>
    <w:rsid w:val="0090723B"/>
    <w:rsid w:val="00910908"/>
    <w:rsid w:val="00915341"/>
    <w:rsid w:val="009215ED"/>
    <w:rsid w:val="009216C2"/>
    <w:rsid w:val="00921D1C"/>
    <w:rsid w:val="00922EDA"/>
    <w:rsid w:val="00923062"/>
    <w:rsid w:val="009255E3"/>
    <w:rsid w:val="009266AD"/>
    <w:rsid w:val="00933826"/>
    <w:rsid w:val="00935CE9"/>
    <w:rsid w:val="00937A92"/>
    <w:rsid w:val="00943761"/>
    <w:rsid w:val="0095070B"/>
    <w:rsid w:val="00951C85"/>
    <w:rsid w:val="00956CD9"/>
    <w:rsid w:val="00964736"/>
    <w:rsid w:val="00971284"/>
    <w:rsid w:val="00971506"/>
    <w:rsid w:val="00973B09"/>
    <w:rsid w:val="00985523"/>
    <w:rsid w:val="0099341A"/>
    <w:rsid w:val="009A301E"/>
    <w:rsid w:val="009A3203"/>
    <w:rsid w:val="009B0326"/>
    <w:rsid w:val="009B1073"/>
    <w:rsid w:val="009B2CF9"/>
    <w:rsid w:val="009D0F80"/>
    <w:rsid w:val="009D39FB"/>
    <w:rsid w:val="009D4F91"/>
    <w:rsid w:val="009E03EB"/>
    <w:rsid w:val="009E0E28"/>
    <w:rsid w:val="009F0EB6"/>
    <w:rsid w:val="009F3D0E"/>
    <w:rsid w:val="009F5415"/>
    <w:rsid w:val="00A06E42"/>
    <w:rsid w:val="00A156C2"/>
    <w:rsid w:val="00A24797"/>
    <w:rsid w:val="00A36BDB"/>
    <w:rsid w:val="00A36F8D"/>
    <w:rsid w:val="00A377E8"/>
    <w:rsid w:val="00A46EAE"/>
    <w:rsid w:val="00A5034C"/>
    <w:rsid w:val="00A50D47"/>
    <w:rsid w:val="00A521B7"/>
    <w:rsid w:val="00A63EAA"/>
    <w:rsid w:val="00A6446D"/>
    <w:rsid w:val="00A72E60"/>
    <w:rsid w:val="00A72F4C"/>
    <w:rsid w:val="00A74BB6"/>
    <w:rsid w:val="00A76EE3"/>
    <w:rsid w:val="00A813DF"/>
    <w:rsid w:val="00A84D2E"/>
    <w:rsid w:val="00A94113"/>
    <w:rsid w:val="00A953DF"/>
    <w:rsid w:val="00A96BD7"/>
    <w:rsid w:val="00A96F5A"/>
    <w:rsid w:val="00AA5DE9"/>
    <w:rsid w:val="00AB092F"/>
    <w:rsid w:val="00AC0240"/>
    <w:rsid w:val="00AC3EB5"/>
    <w:rsid w:val="00AC5086"/>
    <w:rsid w:val="00AC5C28"/>
    <w:rsid w:val="00AC60CF"/>
    <w:rsid w:val="00AC6DEC"/>
    <w:rsid w:val="00AD1EC0"/>
    <w:rsid w:val="00AD5EE2"/>
    <w:rsid w:val="00AD6AFA"/>
    <w:rsid w:val="00AE0BE5"/>
    <w:rsid w:val="00AE2790"/>
    <w:rsid w:val="00AE29C2"/>
    <w:rsid w:val="00AE451D"/>
    <w:rsid w:val="00AF33CA"/>
    <w:rsid w:val="00B01053"/>
    <w:rsid w:val="00B0156D"/>
    <w:rsid w:val="00B039E2"/>
    <w:rsid w:val="00B13D08"/>
    <w:rsid w:val="00B17049"/>
    <w:rsid w:val="00B202EE"/>
    <w:rsid w:val="00B242E5"/>
    <w:rsid w:val="00B305E1"/>
    <w:rsid w:val="00B3262B"/>
    <w:rsid w:val="00B3605A"/>
    <w:rsid w:val="00B43584"/>
    <w:rsid w:val="00B44FF3"/>
    <w:rsid w:val="00B50D29"/>
    <w:rsid w:val="00B57DD8"/>
    <w:rsid w:val="00B61793"/>
    <w:rsid w:val="00B70B20"/>
    <w:rsid w:val="00B77B8F"/>
    <w:rsid w:val="00B83EC8"/>
    <w:rsid w:val="00B85D42"/>
    <w:rsid w:val="00B96544"/>
    <w:rsid w:val="00BA0DB9"/>
    <w:rsid w:val="00BA23FC"/>
    <w:rsid w:val="00BB1036"/>
    <w:rsid w:val="00BB3E15"/>
    <w:rsid w:val="00BB456F"/>
    <w:rsid w:val="00BB6B2A"/>
    <w:rsid w:val="00BB7ED2"/>
    <w:rsid w:val="00BC12DE"/>
    <w:rsid w:val="00BC322C"/>
    <w:rsid w:val="00BC7F7A"/>
    <w:rsid w:val="00BE04AB"/>
    <w:rsid w:val="00BE76F0"/>
    <w:rsid w:val="00BF0BCD"/>
    <w:rsid w:val="00BF2A62"/>
    <w:rsid w:val="00BF4C29"/>
    <w:rsid w:val="00C00C38"/>
    <w:rsid w:val="00C05235"/>
    <w:rsid w:val="00C11A57"/>
    <w:rsid w:val="00C2321E"/>
    <w:rsid w:val="00C261D9"/>
    <w:rsid w:val="00C26EFC"/>
    <w:rsid w:val="00C362B5"/>
    <w:rsid w:val="00C452DC"/>
    <w:rsid w:val="00C56D5E"/>
    <w:rsid w:val="00C63B97"/>
    <w:rsid w:val="00C7031E"/>
    <w:rsid w:val="00C768E2"/>
    <w:rsid w:val="00C84D2F"/>
    <w:rsid w:val="00C957F9"/>
    <w:rsid w:val="00C965B7"/>
    <w:rsid w:val="00C97625"/>
    <w:rsid w:val="00CA17FC"/>
    <w:rsid w:val="00CA1FEF"/>
    <w:rsid w:val="00CA6BDA"/>
    <w:rsid w:val="00CB3C8E"/>
    <w:rsid w:val="00CB7783"/>
    <w:rsid w:val="00CC046E"/>
    <w:rsid w:val="00CC3457"/>
    <w:rsid w:val="00CC4A8A"/>
    <w:rsid w:val="00CC76D7"/>
    <w:rsid w:val="00CD515E"/>
    <w:rsid w:val="00CD717D"/>
    <w:rsid w:val="00CE0FE9"/>
    <w:rsid w:val="00CE3D9D"/>
    <w:rsid w:val="00CF1A2F"/>
    <w:rsid w:val="00CF35EF"/>
    <w:rsid w:val="00D027E7"/>
    <w:rsid w:val="00D074DE"/>
    <w:rsid w:val="00D16E69"/>
    <w:rsid w:val="00D23121"/>
    <w:rsid w:val="00D236B4"/>
    <w:rsid w:val="00D25076"/>
    <w:rsid w:val="00D25350"/>
    <w:rsid w:val="00D267CC"/>
    <w:rsid w:val="00D27D64"/>
    <w:rsid w:val="00D30D81"/>
    <w:rsid w:val="00D32156"/>
    <w:rsid w:val="00D32728"/>
    <w:rsid w:val="00D35258"/>
    <w:rsid w:val="00D368D1"/>
    <w:rsid w:val="00D404A3"/>
    <w:rsid w:val="00D53917"/>
    <w:rsid w:val="00D54DC7"/>
    <w:rsid w:val="00D56EF5"/>
    <w:rsid w:val="00D6004C"/>
    <w:rsid w:val="00D60738"/>
    <w:rsid w:val="00D85502"/>
    <w:rsid w:val="00D9401A"/>
    <w:rsid w:val="00D96398"/>
    <w:rsid w:val="00D97AF9"/>
    <w:rsid w:val="00DA0842"/>
    <w:rsid w:val="00DB14EC"/>
    <w:rsid w:val="00DB4DEF"/>
    <w:rsid w:val="00DB51C2"/>
    <w:rsid w:val="00DB56A5"/>
    <w:rsid w:val="00DB5B82"/>
    <w:rsid w:val="00DB701A"/>
    <w:rsid w:val="00DC58FA"/>
    <w:rsid w:val="00DC7B53"/>
    <w:rsid w:val="00DC7E17"/>
    <w:rsid w:val="00DD1282"/>
    <w:rsid w:val="00DD5390"/>
    <w:rsid w:val="00DE239D"/>
    <w:rsid w:val="00DE35A9"/>
    <w:rsid w:val="00DE371B"/>
    <w:rsid w:val="00DF53C9"/>
    <w:rsid w:val="00E014F4"/>
    <w:rsid w:val="00E13CDD"/>
    <w:rsid w:val="00E17AEE"/>
    <w:rsid w:val="00E205DF"/>
    <w:rsid w:val="00E21909"/>
    <w:rsid w:val="00E25C08"/>
    <w:rsid w:val="00E2676D"/>
    <w:rsid w:val="00E30B30"/>
    <w:rsid w:val="00E449BD"/>
    <w:rsid w:val="00E4537A"/>
    <w:rsid w:val="00E45763"/>
    <w:rsid w:val="00E50DE3"/>
    <w:rsid w:val="00E52A9E"/>
    <w:rsid w:val="00E5316F"/>
    <w:rsid w:val="00E55111"/>
    <w:rsid w:val="00E5697D"/>
    <w:rsid w:val="00E56F48"/>
    <w:rsid w:val="00E62786"/>
    <w:rsid w:val="00E6530B"/>
    <w:rsid w:val="00E6568A"/>
    <w:rsid w:val="00E67A10"/>
    <w:rsid w:val="00E702AF"/>
    <w:rsid w:val="00E71324"/>
    <w:rsid w:val="00E72D75"/>
    <w:rsid w:val="00E776F8"/>
    <w:rsid w:val="00E828E6"/>
    <w:rsid w:val="00E83B6A"/>
    <w:rsid w:val="00E851D6"/>
    <w:rsid w:val="00E8702F"/>
    <w:rsid w:val="00EA367F"/>
    <w:rsid w:val="00EB322E"/>
    <w:rsid w:val="00EB5291"/>
    <w:rsid w:val="00EB5E7E"/>
    <w:rsid w:val="00EB7F62"/>
    <w:rsid w:val="00ED0FCB"/>
    <w:rsid w:val="00ED3F5C"/>
    <w:rsid w:val="00EE2D23"/>
    <w:rsid w:val="00EE65E9"/>
    <w:rsid w:val="00EF25A3"/>
    <w:rsid w:val="00F01F3F"/>
    <w:rsid w:val="00F05C3D"/>
    <w:rsid w:val="00F06004"/>
    <w:rsid w:val="00F067E1"/>
    <w:rsid w:val="00F12033"/>
    <w:rsid w:val="00F12163"/>
    <w:rsid w:val="00F13670"/>
    <w:rsid w:val="00F17032"/>
    <w:rsid w:val="00F32BF3"/>
    <w:rsid w:val="00F33E4A"/>
    <w:rsid w:val="00F3574A"/>
    <w:rsid w:val="00F35A46"/>
    <w:rsid w:val="00F4061A"/>
    <w:rsid w:val="00F41D19"/>
    <w:rsid w:val="00F43890"/>
    <w:rsid w:val="00F456DE"/>
    <w:rsid w:val="00F50D13"/>
    <w:rsid w:val="00F53B07"/>
    <w:rsid w:val="00F5445D"/>
    <w:rsid w:val="00F555E9"/>
    <w:rsid w:val="00F56CBA"/>
    <w:rsid w:val="00F64E6D"/>
    <w:rsid w:val="00F67699"/>
    <w:rsid w:val="00F70445"/>
    <w:rsid w:val="00F7084F"/>
    <w:rsid w:val="00F72884"/>
    <w:rsid w:val="00F76FE9"/>
    <w:rsid w:val="00F776C4"/>
    <w:rsid w:val="00F77D07"/>
    <w:rsid w:val="00F8400C"/>
    <w:rsid w:val="00F86B94"/>
    <w:rsid w:val="00F92B33"/>
    <w:rsid w:val="00F92B61"/>
    <w:rsid w:val="00F95B8F"/>
    <w:rsid w:val="00FA621B"/>
    <w:rsid w:val="00FB22A3"/>
    <w:rsid w:val="00FB4274"/>
    <w:rsid w:val="00FB437C"/>
    <w:rsid w:val="00FC0BDC"/>
    <w:rsid w:val="00FC1C43"/>
    <w:rsid w:val="00FC72B5"/>
    <w:rsid w:val="00FC77BC"/>
    <w:rsid w:val="00FD14D5"/>
    <w:rsid w:val="00FD1E7D"/>
    <w:rsid w:val="00FD3113"/>
    <w:rsid w:val="00FD71FB"/>
    <w:rsid w:val="00FD73EE"/>
    <w:rsid w:val="00FE71C0"/>
    <w:rsid w:val="00F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42796"/>
  <w15:chartTrackingRefBased/>
  <w15:docId w15:val="{7E80C761-6622-47BD-83D9-626D1BC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outlineLvl w:val="0"/>
    </w:pPr>
    <w:rPr>
      <w:u w:val="single"/>
    </w:rPr>
  </w:style>
  <w:style w:type="paragraph" w:styleId="Heading2">
    <w:name w:val="heading 2"/>
    <w:aliases w:val="h2"/>
    <w:basedOn w:val="Normal"/>
    <w:next w:val="Normal"/>
    <w:qFormat/>
    <w:pPr>
      <w:keepNext/>
      <w:spacing w:before="240" w:after="240"/>
      <w:outlineLvl w:val="1"/>
    </w:pPr>
    <w:rPr>
      <w:b/>
      <w:szCs w:val="20"/>
    </w:rPr>
  </w:style>
  <w:style w:type="paragraph" w:styleId="Heading3">
    <w:name w:val="heading 3"/>
    <w:aliases w:val="h3"/>
    <w:basedOn w:val="Normal"/>
    <w:next w:val="Normal"/>
    <w:qFormat/>
    <w:pPr>
      <w:keepNext/>
      <w:spacing w:before="120" w:after="120"/>
      <w:outlineLvl w:val="2"/>
    </w:pPr>
    <w:rPr>
      <w:i/>
      <w:szCs w:val="20"/>
    </w:rPr>
  </w:style>
  <w:style w:type="paragraph" w:styleId="Heading4">
    <w:name w:val="heading 4"/>
    <w:aliases w:val="h4"/>
    <w:basedOn w:val="Normal"/>
    <w:next w:val="Normal"/>
    <w:qFormat/>
    <w:pPr>
      <w:keepNext/>
      <w:widowControl w:val="0"/>
      <w:spacing w:before="360" w:after="240"/>
      <w:outlineLvl w:val="3"/>
    </w:pPr>
    <w:rPr>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character" w:styleId="FollowedHyperlink">
    <w:name w:val="FollowedHyperlink"/>
    <w:rPr>
      <w:color w:val="800080"/>
      <w:u w:val="single"/>
    </w:rPr>
  </w:style>
  <w:style w:type="paragraph" w:customStyle="1" w:styleId="Bullet">
    <w:name w:val="Bullet"/>
    <w:basedOn w:val="Normal"/>
    <w:pPr>
      <w:numPr>
        <w:numId w:val="1"/>
      </w:numPr>
      <w:spacing w:before="60" w:after="120"/>
    </w:pPr>
    <w:rPr>
      <w:szCs w:val="20"/>
    </w:rPr>
  </w:style>
  <w:style w:type="paragraph" w:styleId="BodyText2">
    <w:name w:val="Body Text 2"/>
    <w:basedOn w:val="Normal"/>
    <w:rPr>
      <w:color w:val="0000FF"/>
    </w:rPr>
  </w:style>
  <w:style w:type="paragraph" w:customStyle="1" w:styleId="BulletIndent">
    <w:name w:val="Bullet Indent"/>
    <w:basedOn w:val="Normal"/>
    <w:pPr>
      <w:numPr>
        <w:numId w:val="5"/>
      </w:numPr>
      <w:tabs>
        <w:tab w:val="num" w:pos="1980"/>
      </w:tabs>
      <w:spacing w:before="60" w:after="60"/>
      <w:ind w:left="1980" w:hanging="540"/>
    </w:pPr>
    <w:rPr>
      <w:szCs w:val="20"/>
    </w:rPr>
  </w:style>
  <w:style w:type="paragraph" w:customStyle="1" w:styleId="NormalArial">
    <w:name w:val="Normal+Arial"/>
    <w:basedOn w:val="Normal"/>
    <w:rPr>
      <w:rFonts w:ascii="Arial" w:hAnsi="Arial"/>
    </w:rPr>
  </w:style>
  <w:style w:type="paragraph" w:customStyle="1" w:styleId="H4">
    <w:name w:val="H4"/>
    <w:basedOn w:val="Heading4"/>
    <w:next w:val="BodyText"/>
    <w:rsid w:val="00093663"/>
    <w:pPr>
      <w:tabs>
        <w:tab w:val="left" w:pos="1260"/>
      </w:tabs>
      <w:spacing w:before="240"/>
      <w:ind w:left="1260" w:hanging="1260"/>
    </w:pPr>
    <w:rPr>
      <w:b/>
      <w:bCs/>
    </w:rPr>
  </w:style>
  <w:style w:type="paragraph" w:styleId="BalloonText">
    <w:name w:val="Balloon Text"/>
    <w:basedOn w:val="Normal"/>
    <w:semiHidden/>
    <w:rsid w:val="00093663"/>
    <w:rPr>
      <w:rFonts w:ascii="Tahoma" w:hAnsi="Tahoma" w:cs="Tahoma"/>
      <w:sz w:val="16"/>
      <w:szCs w:val="16"/>
    </w:rPr>
  </w:style>
  <w:style w:type="paragraph" w:customStyle="1" w:styleId="Formula">
    <w:name w:val="Formula"/>
    <w:basedOn w:val="Normal"/>
    <w:autoRedefine/>
    <w:rsid w:val="00093663"/>
    <w:pPr>
      <w:tabs>
        <w:tab w:val="left" w:pos="2340"/>
        <w:tab w:val="left" w:pos="2880"/>
        <w:tab w:val="left" w:pos="3420"/>
      </w:tabs>
      <w:spacing w:after="240"/>
      <w:ind w:left="3420" w:hanging="2700"/>
    </w:pPr>
    <w:rPr>
      <w:bCs/>
    </w:rPr>
  </w:style>
  <w:style w:type="paragraph" w:customStyle="1" w:styleId="VariableDefinition">
    <w:name w:val="Variable Definition"/>
    <w:basedOn w:val="BodyTextIndent"/>
    <w:rsid w:val="00093663"/>
    <w:pPr>
      <w:tabs>
        <w:tab w:val="left" w:pos="2160"/>
      </w:tabs>
      <w:spacing w:before="0" w:after="240"/>
      <w:ind w:left="2160" w:hanging="1440"/>
      <w:contextualSpacing/>
    </w:pPr>
    <w:rPr>
      <w:iCs/>
      <w:szCs w:val="20"/>
    </w:rPr>
  </w:style>
  <w:style w:type="paragraph" w:styleId="CommentText">
    <w:name w:val="annotation text"/>
    <w:basedOn w:val="Normal"/>
    <w:link w:val="CommentTextChar"/>
    <w:semiHidden/>
    <w:rsid w:val="00AC5086"/>
    <w:rPr>
      <w:sz w:val="20"/>
      <w:szCs w:val="20"/>
    </w:rPr>
  </w:style>
  <w:style w:type="paragraph" w:customStyle="1" w:styleId="Char3">
    <w:name w:val="Char3"/>
    <w:basedOn w:val="Normal"/>
    <w:rsid w:val="00287D44"/>
    <w:pPr>
      <w:spacing w:after="160" w:line="240" w:lineRule="exact"/>
    </w:pPr>
    <w:rPr>
      <w:rFonts w:ascii="Verdana" w:hAnsi="Verdana"/>
      <w:sz w:val="16"/>
      <w:szCs w:val="20"/>
    </w:rPr>
  </w:style>
  <w:style w:type="paragraph" w:styleId="FootnoteText">
    <w:name w:val="footnote text"/>
    <w:basedOn w:val="Normal"/>
    <w:semiHidden/>
    <w:rsid w:val="0088379F"/>
    <w:rPr>
      <w:sz w:val="18"/>
      <w:szCs w:val="20"/>
    </w:rPr>
  </w:style>
  <w:style w:type="character" w:styleId="CommentReference">
    <w:name w:val="annotation reference"/>
    <w:rsid w:val="008120F0"/>
    <w:rPr>
      <w:sz w:val="16"/>
      <w:szCs w:val="16"/>
    </w:rPr>
  </w:style>
  <w:style w:type="paragraph" w:styleId="CommentSubject">
    <w:name w:val="annotation subject"/>
    <w:basedOn w:val="CommentText"/>
    <w:next w:val="CommentText"/>
    <w:link w:val="CommentSubjectChar"/>
    <w:rsid w:val="008120F0"/>
    <w:rPr>
      <w:b/>
      <w:bCs/>
    </w:rPr>
  </w:style>
  <w:style w:type="character" w:customStyle="1" w:styleId="CommentTextChar">
    <w:name w:val="Comment Text Char"/>
    <w:basedOn w:val="DefaultParagraphFont"/>
    <w:link w:val="CommentText"/>
    <w:semiHidden/>
    <w:rsid w:val="008120F0"/>
  </w:style>
  <w:style w:type="character" w:customStyle="1" w:styleId="CommentSubjectChar">
    <w:name w:val="Comment Subject Char"/>
    <w:basedOn w:val="CommentTextChar"/>
    <w:link w:val="CommentSubject"/>
    <w:rsid w:val="008120F0"/>
  </w:style>
  <w:style w:type="paragraph" w:styleId="Revision">
    <w:name w:val="Revision"/>
    <w:hidden/>
    <w:uiPriority w:val="99"/>
    <w:semiHidden/>
    <w:rsid w:val="00E71324"/>
    <w:rPr>
      <w:sz w:val="24"/>
      <w:szCs w:val="24"/>
    </w:rPr>
  </w:style>
  <w:style w:type="character" w:customStyle="1" w:styleId="ui-provider">
    <w:name w:val="ui-provider"/>
    <w:basedOn w:val="DefaultParagraphFont"/>
    <w:rsid w:val="00CD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1294">
      <w:bodyDiv w:val="1"/>
      <w:marLeft w:val="0"/>
      <w:marRight w:val="0"/>
      <w:marTop w:val="0"/>
      <w:marBottom w:val="0"/>
      <w:divBdr>
        <w:top w:val="none" w:sz="0" w:space="0" w:color="auto"/>
        <w:left w:val="none" w:sz="0" w:space="0" w:color="auto"/>
        <w:bottom w:val="none" w:sz="0" w:space="0" w:color="auto"/>
        <w:right w:val="none" w:sz="0" w:space="0" w:color="auto"/>
      </w:divBdr>
      <w:divsChild>
        <w:div w:id="233710886">
          <w:marLeft w:val="0"/>
          <w:marRight w:val="0"/>
          <w:marTop w:val="0"/>
          <w:marBottom w:val="0"/>
          <w:divBdr>
            <w:top w:val="none" w:sz="0" w:space="0" w:color="auto"/>
            <w:left w:val="none" w:sz="0" w:space="0" w:color="auto"/>
            <w:bottom w:val="none" w:sz="0" w:space="0" w:color="auto"/>
            <w:right w:val="none" w:sz="0" w:space="0" w:color="auto"/>
          </w:divBdr>
          <w:divsChild>
            <w:div w:id="857550788">
              <w:marLeft w:val="0"/>
              <w:marRight w:val="0"/>
              <w:marTop w:val="0"/>
              <w:marBottom w:val="0"/>
              <w:divBdr>
                <w:top w:val="none" w:sz="0" w:space="0" w:color="auto"/>
                <w:left w:val="none" w:sz="0" w:space="0" w:color="auto"/>
                <w:bottom w:val="none" w:sz="0" w:space="0" w:color="auto"/>
                <w:right w:val="none" w:sz="0" w:space="0" w:color="auto"/>
              </w:divBdr>
            </w:div>
            <w:div w:id="1307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42444B60F5A41A03ED77101FD333C" ma:contentTypeVersion="0" ma:contentTypeDescription="Create a new document." ma:contentTypeScope="" ma:versionID="12bfb179ab6d543465335fcad85c865b">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D679C072-92CC-4B8B-BAEB-60C20F5B3B45}">
  <ds:schemaRefs>
    <ds:schemaRef ds:uri="http://schemas.openxmlformats.org/officeDocument/2006/bibliography"/>
  </ds:schemaRefs>
</ds:datastoreItem>
</file>

<file path=customXml/itemProps2.xml><?xml version="1.0" encoding="utf-8"?>
<ds:datastoreItem xmlns:ds="http://schemas.openxmlformats.org/officeDocument/2006/customXml" ds:itemID="{38BC6030-FFC4-456C-8F5A-2D2CC133E3DD}">
  <ds:schemaRefs>
    <ds:schemaRef ds:uri="http://schemas.microsoft.com/sharepoint/v3/contenttype/forms"/>
  </ds:schemaRefs>
</ds:datastoreItem>
</file>

<file path=customXml/itemProps3.xml><?xml version="1.0" encoding="utf-8"?>
<ds:datastoreItem xmlns:ds="http://schemas.openxmlformats.org/officeDocument/2006/customXml" ds:itemID="{D8EE7B84-D0F0-434B-8410-79D6E29F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CB562-058D-49BE-BB83-A3302A4F901D}">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3649</Characters>
  <Application>Microsoft Office Word</Application>
  <DocSecurity>4</DocSecurity>
  <Lines>135</Lines>
  <Paragraphs>79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Agentic 051826</cp:lastModifiedBy>
  <cp:revision>2</cp:revision>
  <cp:lastPrinted>2007-01-12T13:31:00Z</cp:lastPrinted>
  <dcterms:created xsi:type="dcterms:W3CDTF">2026-05-18T15:09:00Z</dcterms:created>
  <dcterms:modified xsi:type="dcterms:W3CDTF">2026-05-18T15:09:00Z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2024-07-16T19:00:58Z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1bbbbab9-c35b-4c52-9303-0edf06990b9b</vt:lpwstr>
  </property>
  <property fmtid="{D5CDD505-2E9C-101B-9397-08002B2CF9AE}" pid="9" name="MSIP_Label_7084cbda-52b8-46fb-a7b7-cb5bd465ed85_ContentBits">
    <vt:lpwstr>0</vt:lpwstr>
  </property>
</Properties>
</file>