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69CB38A0" w:rsidR="004C29D3" w:rsidRDefault="004C29D3">
            <w:pPr>
              <w:pStyle w:val="NormalArial"/>
            </w:pPr>
            <w:r>
              <w:t>Ma</w:t>
            </w:r>
            <w:r w:rsidR="00FF1D47">
              <w:t>y 12</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FF1D47" w14:paraId="2A49A05A" w14:textId="77777777" w:rsidTr="00820D17">
        <w:trPr>
          <w:trHeight w:val="350"/>
        </w:trPr>
        <w:tc>
          <w:tcPr>
            <w:tcW w:w="2880" w:type="dxa"/>
            <w:shd w:val="clear" w:color="auto" w:fill="FFFFFF"/>
            <w:vAlign w:val="center"/>
          </w:tcPr>
          <w:p w14:paraId="6CA1BDF9" w14:textId="77777777" w:rsidR="00FF1D47" w:rsidRPr="00EC55B3" w:rsidRDefault="00FF1D47" w:rsidP="00FF1D47">
            <w:pPr>
              <w:pStyle w:val="Header"/>
            </w:pPr>
            <w:r w:rsidRPr="00EC55B3">
              <w:t>Name</w:t>
            </w:r>
          </w:p>
        </w:tc>
        <w:tc>
          <w:tcPr>
            <w:tcW w:w="7560" w:type="dxa"/>
            <w:vAlign w:val="center"/>
          </w:tcPr>
          <w:p w14:paraId="1401F611" w14:textId="426AC1DB" w:rsidR="00FF1D47" w:rsidRDefault="00FF1D47" w:rsidP="00FF1D47">
            <w:pPr>
              <w:pStyle w:val="NormalArial"/>
            </w:pPr>
            <w:r>
              <w:rPr>
                <w:rFonts w:cs="Arial"/>
              </w:rPr>
              <w:t>Zach Ratner</w:t>
            </w:r>
          </w:p>
        </w:tc>
      </w:tr>
      <w:tr w:rsidR="00FF1D47" w14:paraId="68280F29" w14:textId="77777777" w:rsidTr="00820D17">
        <w:trPr>
          <w:trHeight w:val="350"/>
        </w:trPr>
        <w:tc>
          <w:tcPr>
            <w:tcW w:w="2880" w:type="dxa"/>
            <w:shd w:val="clear" w:color="auto" w:fill="FFFFFF"/>
            <w:vAlign w:val="center"/>
          </w:tcPr>
          <w:p w14:paraId="65995CAF" w14:textId="77777777" w:rsidR="00FF1D47" w:rsidRPr="00EC55B3" w:rsidRDefault="00FF1D47" w:rsidP="00FF1D47">
            <w:pPr>
              <w:pStyle w:val="Header"/>
            </w:pPr>
            <w:r w:rsidRPr="00EC55B3">
              <w:t>E-mail Address</w:t>
            </w:r>
          </w:p>
        </w:tc>
        <w:tc>
          <w:tcPr>
            <w:tcW w:w="7560" w:type="dxa"/>
            <w:vAlign w:val="center"/>
          </w:tcPr>
          <w:p w14:paraId="4785840F" w14:textId="36780D55" w:rsidR="00FF1D47" w:rsidRDefault="00FF1D47" w:rsidP="00FF1D47">
            <w:pPr>
              <w:pStyle w:val="NormalArial"/>
            </w:pPr>
            <w:hyperlink r:id="rId12" w:history="1">
              <w:r w:rsidRPr="00C17EF8">
                <w:rPr>
                  <w:rStyle w:val="Hyperlink"/>
                  <w:rFonts w:cs="Arial"/>
                </w:rPr>
                <w:t>zach@intersect.com</w:t>
              </w:r>
            </w:hyperlink>
            <w:r>
              <w:rPr>
                <w:rFonts w:cs="Arial"/>
              </w:rPr>
              <w:t xml:space="preserve"> </w:t>
            </w:r>
          </w:p>
        </w:tc>
      </w:tr>
      <w:tr w:rsidR="00FF1D47" w14:paraId="67C9231D" w14:textId="77777777" w:rsidTr="00820D17">
        <w:trPr>
          <w:trHeight w:val="350"/>
        </w:trPr>
        <w:tc>
          <w:tcPr>
            <w:tcW w:w="2880" w:type="dxa"/>
            <w:shd w:val="clear" w:color="auto" w:fill="FFFFFF"/>
            <w:vAlign w:val="center"/>
          </w:tcPr>
          <w:p w14:paraId="63DA7E52" w14:textId="77777777" w:rsidR="00FF1D47" w:rsidRPr="00EC55B3" w:rsidRDefault="00FF1D47" w:rsidP="00FF1D47">
            <w:pPr>
              <w:pStyle w:val="Header"/>
            </w:pPr>
            <w:r w:rsidRPr="00EC55B3">
              <w:t>Company</w:t>
            </w:r>
          </w:p>
        </w:tc>
        <w:tc>
          <w:tcPr>
            <w:tcW w:w="7560" w:type="dxa"/>
            <w:vAlign w:val="center"/>
          </w:tcPr>
          <w:p w14:paraId="502CF53E" w14:textId="576824F7" w:rsidR="00FF1D47" w:rsidRDefault="00FF1D47" w:rsidP="00FF1D47">
            <w:pPr>
              <w:pStyle w:val="NormalArial"/>
            </w:pPr>
            <w:r w:rsidRPr="008A4028">
              <w:rPr>
                <w:rFonts w:cs="Arial"/>
              </w:rPr>
              <w:t xml:space="preserve">Intersect </w:t>
            </w:r>
            <w:r>
              <w:rPr>
                <w:rFonts w:cs="Arial"/>
              </w:rPr>
              <w:t>USA,</w:t>
            </w:r>
            <w:r w:rsidRPr="008A4028">
              <w:rPr>
                <w:rFonts w:cs="Arial"/>
              </w:rPr>
              <w:t xml:space="preserve"> LLC</w:t>
            </w:r>
          </w:p>
        </w:tc>
      </w:tr>
      <w:tr w:rsidR="00FF1D47" w14:paraId="47013855" w14:textId="77777777" w:rsidTr="00820D17">
        <w:trPr>
          <w:trHeight w:val="350"/>
        </w:trPr>
        <w:tc>
          <w:tcPr>
            <w:tcW w:w="2880" w:type="dxa"/>
            <w:tcBorders>
              <w:bottom w:val="single" w:sz="4" w:space="0" w:color="auto"/>
            </w:tcBorders>
            <w:shd w:val="clear" w:color="auto" w:fill="FFFFFF"/>
            <w:vAlign w:val="center"/>
          </w:tcPr>
          <w:p w14:paraId="2A54F657" w14:textId="77777777" w:rsidR="00FF1D47" w:rsidRPr="00EC55B3" w:rsidRDefault="00FF1D47" w:rsidP="00FF1D47">
            <w:pPr>
              <w:pStyle w:val="Header"/>
            </w:pPr>
            <w:r w:rsidRPr="00EC55B3">
              <w:t>Phone Number</w:t>
            </w:r>
          </w:p>
        </w:tc>
        <w:tc>
          <w:tcPr>
            <w:tcW w:w="7560" w:type="dxa"/>
            <w:tcBorders>
              <w:bottom w:val="single" w:sz="4" w:space="0" w:color="auto"/>
            </w:tcBorders>
            <w:vAlign w:val="center"/>
          </w:tcPr>
          <w:p w14:paraId="187B232D" w14:textId="5FA63F7F" w:rsidR="00FF1D47" w:rsidRDefault="00FF1D47" w:rsidP="00FF1D47">
            <w:pPr>
              <w:pStyle w:val="NormalArial"/>
            </w:pPr>
            <w:r w:rsidRPr="0052434F">
              <w:rPr>
                <w:rFonts w:cs="Arial"/>
              </w:rPr>
              <w:t>301</w:t>
            </w:r>
            <w:r>
              <w:rPr>
                <w:rFonts w:cs="Arial"/>
              </w:rPr>
              <w:t>-</w:t>
            </w:r>
            <w:r w:rsidRPr="0052434F">
              <w:rPr>
                <w:rFonts w:cs="Arial"/>
              </w:rPr>
              <w:t>801</w:t>
            </w:r>
            <w:r>
              <w:rPr>
                <w:rFonts w:cs="Arial"/>
              </w:rPr>
              <w:t>-</w:t>
            </w:r>
            <w:r w:rsidRPr="0052434F">
              <w:rPr>
                <w:rFonts w:cs="Arial"/>
              </w:rPr>
              <w:t>1185</w:t>
            </w:r>
          </w:p>
        </w:tc>
      </w:tr>
      <w:tr w:rsidR="004C29D3" w14:paraId="55B5B9B1" w14:textId="77777777" w:rsidTr="00820D1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rsidP="00820D17">
            <w:pPr>
              <w:pStyle w:val="NormalArial"/>
            </w:pPr>
          </w:p>
        </w:tc>
      </w:tr>
      <w:tr w:rsidR="004C29D3" w14:paraId="6B81D4D2" w14:textId="77777777" w:rsidTr="00820D1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C6DD11F" w:rsidR="004C29D3" w:rsidRDefault="000F5BED" w:rsidP="00820D17">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5FC8CC21" w14:textId="73C9BFC3" w:rsidR="001358CA" w:rsidRPr="00273680" w:rsidRDefault="001358CA" w:rsidP="001358CA">
      <w:pPr>
        <w:widowControl w:val="0"/>
        <w:autoSpaceDE w:val="0"/>
        <w:autoSpaceDN w:val="0"/>
        <w:spacing w:before="240" w:after="240"/>
        <w:ind w:left="720" w:right="720" w:hanging="720"/>
        <w:jc w:val="center"/>
        <w:rPr>
          <w:rFonts w:ascii="Arial" w:eastAsia="Aptos" w:hAnsi="Arial" w:cs="Arial"/>
          <w:b/>
          <w:bCs/>
          <w:kern w:val="2"/>
          <w:sz w:val="22"/>
          <w:szCs w:val="22"/>
        </w:rPr>
      </w:pPr>
      <w:bookmarkStart w:id="0" w:name="_Hlk224633631"/>
      <w:r w:rsidRPr="00273680">
        <w:rPr>
          <w:rFonts w:ascii="Arial" w:eastAsia="Aptos" w:hAnsi="Arial" w:cs="Arial"/>
          <w:b/>
          <w:bCs/>
          <w:kern w:val="2"/>
          <w:sz w:val="22"/>
          <w:szCs w:val="22"/>
        </w:rPr>
        <w:t>I.</w:t>
      </w:r>
      <w:r w:rsidRPr="00273680">
        <w:rPr>
          <w:rFonts w:ascii="Arial" w:eastAsia="Aptos" w:hAnsi="Arial" w:cs="Arial"/>
          <w:b/>
          <w:bCs/>
          <w:kern w:val="2"/>
          <w:sz w:val="22"/>
          <w:szCs w:val="22"/>
        </w:rPr>
        <w:tab/>
        <w:t>Introduction</w:t>
      </w:r>
    </w:p>
    <w:p w14:paraId="354BF338"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Intersect </w:t>
      </w:r>
      <w:r>
        <w:rPr>
          <w:rFonts w:ascii="Arial" w:eastAsia="Aptos" w:hAnsi="Arial" w:cs="Arial"/>
          <w:kern w:val="2"/>
          <w:sz w:val="22"/>
          <w:szCs w:val="22"/>
        </w:rPr>
        <w:t>USA</w:t>
      </w:r>
      <w:r w:rsidRPr="00273680">
        <w:rPr>
          <w:rFonts w:ascii="Arial" w:eastAsia="Aptos" w:hAnsi="Arial" w:cs="Arial"/>
          <w:kern w:val="2"/>
          <w:sz w:val="22"/>
          <w:szCs w:val="22"/>
        </w:rPr>
        <w:t xml:space="preserve">, LLC (Intersect) appreciates ERCOT's continued efforts to develop and refine the Batch Zero Process for Large Load Interconnections through Planning Guide Revision Request (PGRR) 145. Intersect supports the Withdrawal-Limited Private Use Network (WLPUN) construct as a meaningful framework for accommodating co-located generation and load configurations within the ERCOT System. However, two dynamics in the current proposed language will limit the WLPUN construct's real-world applicability if not addressed: </w:t>
      </w:r>
    </w:p>
    <w:p w14:paraId="3DBE6E08" w14:textId="77777777" w:rsidR="001358CA" w:rsidRPr="00273680" w:rsidRDefault="001358CA" w:rsidP="001358CA">
      <w:pPr>
        <w:widowControl w:val="0"/>
        <w:numPr>
          <w:ilvl w:val="0"/>
          <w:numId w:val="32"/>
        </w:numPr>
        <w:autoSpaceDE w:val="0"/>
        <w:autoSpaceDN w:val="0"/>
        <w:spacing w:after="240"/>
        <w:ind w:left="720"/>
        <w:contextualSpacing/>
        <w:jc w:val="both"/>
        <w:rPr>
          <w:rFonts w:ascii="Arial" w:eastAsia="Aptos" w:hAnsi="Arial" w:cs="Arial"/>
          <w:kern w:val="2"/>
          <w:sz w:val="22"/>
          <w:szCs w:val="22"/>
        </w:rPr>
      </w:pPr>
      <w:r w:rsidRPr="00273680">
        <w:rPr>
          <w:rFonts w:ascii="Arial" w:eastAsia="Aptos" w:hAnsi="Arial" w:cs="Arial"/>
          <w:kern w:val="2"/>
          <w:sz w:val="22"/>
          <w:szCs w:val="22"/>
        </w:rPr>
        <w:t xml:space="preserve">The lack of express accommodation for expansions of existing firm-load Private Use Networks (PUNs); and </w:t>
      </w:r>
    </w:p>
    <w:p w14:paraId="4D8FF5B5" w14:textId="77777777" w:rsidR="001358CA" w:rsidRPr="00273680" w:rsidRDefault="001358CA" w:rsidP="004751AD">
      <w:pPr>
        <w:widowControl w:val="0"/>
        <w:autoSpaceDE w:val="0"/>
        <w:autoSpaceDN w:val="0"/>
        <w:spacing w:after="240"/>
        <w:ind w:left="720"/>
        <w:contextualSpacing/>
        <w:jc w:val="both"/>
        <w:rPr>
          <w:rFonts w:ascii="Arial" w:eastAsia="Aptos" w:hAnsi="Arial" w:cs="Arial"/>
          <w:kern w:val="2"/>
          <w:sz w:val="22"/>
          <w:szCs w:val="22"/>
        </w:rPr>
      </w:pPr>
    </w:p>
    <w:p w14:paraId="26D20190" w14:textId="77777777" w:rsidR="001358CA" w:rsidRPr="00273680" w:rsidRDefault="001358CA" w:rsidP="001358CA">
      <w:pPr>
        <w:widowControl w:val="0"/>
        <w:numPr>
          <w:ilvl w:val="0"/>
          <w:numId w:val="32"/>
        </w:numPr>
        <w:autoSpaceDE w:val="0"/>
        <w:autoSpaceDN w:val="0"/>
        <w:spacing w:after="240"/>
        <w:ind w:left="720"/>
        <w:jc w:val="both"/>
        <w:rPr>
          <w:rFonts w:ascii="Arial" w:eastAsia="Aptos" w:hAnsi="Arial" w:cs="Arial"/>
          <w:kern w:val="2"/>
          <w:sz w:val="22"/>
          <w:szCs w:val="22"/>
        </w:rPr>
      </w:pPr>
      <w:r w:rsidRPr="00273680">
        <w:rPr>
          <w:rFonts w:ascii="Arial" w:eastAsia="Aptos" w:hAnsi="Arial" w:cs="Arial"/>
          <w:kern w:val="2"/>
          <w:sz w:val="22"/>
          <w:szCs w:val="22"/>
        </w:rPr>
        <w:t>The generation-decrease cliff in § 9.4.2(5)(b), which should be replaced with a generation-to-load ratio framework that allows proportional resizing, phased load ramp tied to phased generation commissioning, and generation commissioning that tracks actual load ramp—all without triggering withdrawal.</w:t>
      </w:r>
    </w:p>
    <w:p w14:paraId="6192BEDD"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Two principal reliability constraints underpinning the WLPUN construct—the MW Withdrawal limit under § 9.3.2.2(1)(b) and the 90% stability cap under § 9.3.2.2(</w:t>
      </w:r>
      <w:proofErr w:type="gramStart"/>
      <w:r w:rsidRPr="00273680">
        <w:rPr>
          <w:rFonts w:ascii="Arial" w:eastAsia="Aptos" w:hAnsi="Arial" w:cs="Arial"/>
          <w:kern w:val="2"/>
          <w:sz w:val="22"/>
          <w:szCs w:val="22"/>
        </w:rPr>
        <w:t>1)(d</w:t>
      </w:r>
      <w:proofErr w:type="gramEnd"/>
      <w:r w:rsidRPr="00273680">
        <w:rPr>
          <w:rFonts w:ascii="Arial" w:eastAsia="Aptos" w:hAnsi="Arial" w:cs="Arial"/>
          <w:kern w:val="2"/>
          <w:sz w:val="22"/>
          <w:szCs w:val="22"/>
        </w:rPr>
        <w:t>)(</w:t>
      </w:r>
      <w:proofErr w:type="gramStart"/>
      <w:r w:rsidRPr="00273680">
        <w:rPr>
          <w:rFonts w:ascii="Arial" w:eastAsia="Aptos" w:hAnsi="Arial" w:cs="Arial"/>
          <w:kern w:val="2"/>
          <w:sz w:val="22"/>
          <w:szCs w:val="22"/>
        </w:rPr>
        <w:t>iii)—</w:t>
      </w:r>
      <w:proofErr w:type="gramEnd"/>
      <w:r w:rsidRPr="00273680">
        <w:rPr>
          <w:rFonts w:ascii="Arial" w:eastAsia="Aptos" w:hAnsi="Arial" w:cs="Arial"/>
          <w:kern w:val="2"/>
          <w:sz w:val="22"/>
          <w:szCs w:val="22"/>
        </w:rPr>
        <w:t>are both expressly derived under generation-off study conditions. These constraints may therefore remain materially unchanged when generation and load are adjusted proportionally, provided the applicable operational assumptions reflected in the Batch Zero study are preserved. Accordingly, targeted refinements to PGRR145 are necessary to ensure the WLPUN framework functions as intended across the full range of real-world development scenarios, including brownfield expansions and phased commissioning schedules, without compromising system reliability.</w:t>
      </w:r>
    </w:p>
    <w:p w14:paraId="55B0FE0C" w14:textId="77777777" w:rsidR="001358CA" w:rsidRPr="00273680" w:rsidRDefault="001358CA" w:rsidP="004751AD">
      <w:pPr>
        <w:widowControl w:val="0"/>
        <w:autoSpaceDE w:val="0"/>
        <w:autoSpaceDN w:val="0"/>
        <w:spacing w:before="240" w:after="240"/>
        <w:ind w:left="1440" w:right="720" w:hanging="720"/>
        <w:jc w:val="center"/>
        <w:rPr>
          <w:rFonts w:ascii="Arial" w:eastAsia="Aptos" w:hAnsi="Arial" w:cs="Arial"/>
          <w:b/>
          <w:bCs/>
          <w:kern w:val="2"/>
          <w:sz w:val="22"/>
          <w:szCs w:val="22"/>
        </w:rPr>
      </w:pPr>
      <w:r w:rsidRPr="00273680">
        <w:rPr>
          <w:rFonts w:ascii="Arial" w:eastAsia="Aptos" w:hAnsi="Arial" w:cs="Arial"/>
          <w:b/>
          <w:bCs/>
          <w:kern w:val="2"/>
          <w:sz w:val="22"/>
          <w:szCs w:val="22"/>
        </w:rPr>
        <w:t xml:space="preserve">II. </w:t>
      </w:r>
      <w:r w:rsidRPr="00273680">
        <w:rPr>
          <w:rFonts w:ascii="Arial" w:eastAsia="Aptos" w:hAnsi="Arial" w:cs="Arial"/>
          <w:b/>
          <w:bCs/>
          <w:kern w:val="2"/>
          <w:sz w:val="22"/>
          <w:szCs w:val="22"/>
        </w:rPr>
        <w:tab/>
        <w:t>WLPUN Designation for Expansions of Base Load PUNs</w:t>
      </w:r>
    </w:p>
    <w:p w14:paraId="020F036E"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The WLPUN construct currently appears principally designed around greenfield or unitary project configurations and does not expressly accommodate a common real-world development pattern: expansion of an existing PUN with firm “Base Load.” Consider a scenario in which an existing </w:t>
      </w:r>
      <w:r w:rsidRPr="00273680">
        <w:rPr>
          <w:rFonts w:ascii="Arial" w:eastAsia="Aptos" w:hAnsi="Arial" w:cs="Arial"/>
          <w:kern w:val="2"/>
          <w:sz w:val="22"/>
          <w:szCs w:val="22"/>
        </w:rPr>
        <w:lastRenderedPageBreak/>
        <w:t xml:space="preserve">PUN will operate 400 MW of Base Load not subject to additional study under § 9.2.1.1, and a subsequent 300 MW upsize qualifies as allocatable load under § 9.2.1.2, with an Initial Energization date of January 1, </w:t>
      </w:r>
      <w:proofErr w:type="gramStart"/>
      <w:r w:rsidRPr="00273680">
        <w:rPr>
          <w:rFonts w:ascii="Arial" w:eastAsia="Aptos" w:hAnsi="Arial" w:cs="Arial"/>
          <w:kern w:val="2"/>
          <w:sz w:val="22"/>
          <w:szCs w:val="22"/>
        </w:rPr>
        <w:t>2028</w:t>
      </w:r>
      <w:proofErr w:type="gramEnd"/>
      <w:r w:rsidRPr="00273680">
        <w:rPr>
          <w:rFonts w:ascii="Arial" w:eastAsia="Aptos" w:hAnsi="Arial" w:cs="Arial"/>
          <w:kern w:val="2"/>
          <w:sz w:val="22"/>
          <w:szCs w:val="22"/>
        </w:rPr>
        <w:t xml:space="preserve"> or later as required by § 9.2.1.2(2), supported by co-located generation behind the same POI. In that circumstance, the rules appear capable of supporting designation of only the incremental 300 MW load as a WLPUN, while the 400 MW Base Load designation remains intact, but the current framework does not expressly establish or operationalize that treatment.</w:t>
      </w:r>
    </w:p>
    <w:p w14:paraId="15034A1C"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Existing PUN sites with Base Load are among the most likely candidates to add new co-located generation and incremental load capacity. Without express accommodation, the current framework creates uncertainty regarding how such expansion projects may utilize the WLPUN construct and may necessitate implementation approaches not expressly addressed in the proposed language.</w:t>
      </w:r>
    </w:p>
    <w:p w14:paraId="3A3EE207"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Several provisions in the current language create ambiguity regarding partial-WLPUN configurations within an existing PUN. Section 9.2.2.2(1) ties the WLPUN designation to ‘a Large Load request,’ which is consistent with applying the designation solely to an incremental upsize rather than the entirety of the existing PUN. However, the rules do not expressly address circumstances in which only a portion of an existing PUN load is designated and operated as a WLPUN while Base Load remains outside the WLPUN construct. Similarly, § 9.2.2.2(3) permits multiple generation interconnection requests to support a WLPUN where the generators connect at the same POI as the Large Load, but does not expressly address hybrid configurations involving both WLPUN-designated and non-WLPUN load behind the same POI. In addition, while § 6.6.2.1(2) appears to contemplate the addition of load to an existing WLPUN, the rules do not clearly address the inverse circumstance in which a WLPUN designation is later applied only to an incremental portion of an existing non-WLPUN PUN. </w:t>
      </w:r>
    </w:p>
    <w:p w14:paraId="1971E676"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Critically, §§ 6.6.2.1(2) and 9.6.2 measure compliance based on MW Withdrawal and net Demand at the POI, without expressly distinguishing between existing non-WLPUN Base Load and incremental WLPUN-designated load. Under § 9.6.2(1), the Large Load “shall not consume at a level of gross Demand that causes the net Demand at the [POI] to exceed the identified MW Withdrawal limit.” The operative variable is therefore the Large Load’s gross Demand—i.e., the level of consumption that results in net withdrawal at the POI—not net Demand in the abstract. This distinction is material in the expansion scenario because the provision regulates consumption associated with the WLPUN-designated Large Load, rather than expressly addressing how existing non-WLPUN Base Load should be treated for purposes of POI-level withdrawal compliance. If the applicable MW Withdrawal limit is established solely with reference to the incremental WLPUN-designated capacity, then Base Load at the same POI could independently cause net Demand at the POI to exceed the MW Withdrawal limit, effectively subjecting the Base Load to operational restrictions intended for the incremental WLPUN component. Similarly, § 9.3.2.2 establishes a singular MW Withdrawal limit and generation-off reliability determination, but does not specify how those calculations should be performed where the site already includes separately recognized Base Load outside the WLPUN construct.</w:t>
      </w:r>
    </w:p>
    <w:p w14:paraId="41A2EE05" w14:textId="77777777" w:rsidR="001358CA" w:rsidRPr="008A4028" w:rsidRDefault="001358CA" w:rsidP="004751AD">
      <w:pPr>
        <w:spacing w:before="100" w:beforeAutospacing="1" w:after="100" w:afterAutospacing="1"/>
        <w:jc w:val="both"/>
        <w:rPr>
          <w:rFonts w:ascii="Arial" w:hAnsi="Arial" w:cs="Arial"/>
          <w:sz w:val="22"/>
          <w:szCs w:val="22"/>
        </w:rPr>
      </w:pPr>
      <w:r w:rsidRPr="008A4028">
        <w:rPr>
          <w:rFonts w:ascii="Arial" w:hAnsi="Arial" w:cs="Arial"/>
          <w:color w:val="000000"/>
          <w:sz w:val="22"/>
          <w:szCs w:val="22"/>
        </w:rPr>
        <w:t xml:space="preserve">Additionally, § 9.2.5(3)(b) provides that consequential load loss for a WLPUN “shall be determined based on the aggregate peak Demand of the included Large Load, not the MW Withdrawal limit at the Point of Interconnection.” In a hybrid PUN configuration involving 400 MW of Base Load and 300 MW of WLPUN-designated load behind the same POI, the 1,000 MW consequential load loss limit under § 9.2.5(3) raises an unresolved question: whether that limit applies to the full 700 MW aggregate peak Demand at the POI or only the 300 MW aggregate peak Demand of the WLPUN-included Large Load. ERCOT should clarify the application of § 9.2.5(3)(b) in hybrid </w:t>
      </w:r>
      <w:r w:rsidRPr="008A4028">
        <w:rPr>
          <w:rFonts w:ascii="Arial" w:hAnsi="Arial" w:cs="Arial"/>
          <w:color w:val="000000"/>
          <w:sz w:val="22"/>
          <w:szCs w:val="22"/>
        </w:rPr>
        <w:lastRenderedPageBreak/>
        <w:t>configurations to ensure that pre-existing Base Load already studied and approved under its own interconnection studies is not retroactively subjected to a consequential load loss constraint calibrated to the combined facility.</w:t>
      </w:r>
    </w:p>
    <w:p w14:paraId="229215A7"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To address these issues, ERCOT should undertake the following clarifications and revisions for hybrid Base Load/WLPUN configurations:</w:t>
      </w:r>
    </w:p>
    <w:p w14:paraId="5955675B" w14:textId="77777777" w:rsidR="001358CA" w:rsidRPr="00273680" w:rsidRDefault="001358CA" w:rsidP="001358CA">
      <w:pPr>
        <w:widowControl w:val="0"/>
        <w:numPr>
          <w:ilvl w:val="0"/>
          <w:numId w:val="31"/>
        </w:numPr>
        <w:autoSpaceDE w:val="0"/>
        <w:autoSpaceDN w:val="0"/>
        <w:spacing w:after="240"/>
        <w:jc w:val="both"/>
        <w:rPr>
          <w:rFonts w:ascii="Arial" w:eastAsia="Aptos" w:hAnsi="Arial" w:cs="Arial"/>
          <w:kern w:val="2"/>
          <w:sz w:val="22"/>
          <w:szCs w:val="22"/>
        </w:rPr>
      </w:pPr>
      <w:r w:rsidRPr="00273680">
        <w:rPr>
          <w:rFonts w:ascii="Arial" w:eastAsia="Aptos" w:hAnsi="Arial" w:cs="Arial"/>
          <w:b/>
          <w:bCs/>
          <w:kern w:val="2"/>
          <w:sz w:val="22"/>
          <w:szCs w:val="22"/>
        </w:rPr>
        <w:t>Incremental WLPUN treatment for existing PUN expansions</w:t>
      </w:r>
      <w:r w:rsidRPr="00273680">
        <w:rPr>
          <w:rFonts w:ascii="Arial" w:eastAsia="Aptos" w:hAnsi="Arial" w:cs="Arial"/>
          <w:kern w:val="2"/>
          <w:sz w:val="22"/>
          <w:szCs w:val="22"/>
        </w:rPr>
        <w:t>: Add express accommodation for incremental WLPUN treatment at an existing PUN site, such as through a new provision in § 6.6.2.1 or § 9.2.2.2 addressing application of the WLPUN construct to incremental expansions of existing PUN facilities;</w:t>
      </w:r>
    </w:p>
    <w:p w14:paraId="3C6AF709" w14:textId="77777777" w:rsidR="001358CA" w:rsidRPr="00273680" w:rsidRDefault="001358CA" w:rsidP="001358CA">
      <w:pPr>
        <w:widowControl w:val="0"/>
        <w:numPr>
          <w:ilvl w:val="0"/>
          <w:numId w:val="31"/>
        </w:numPr>
        <w:autoSpaceDE w:val="0"/>
        <w:autoSpaceDN w:val="0"/>
        <w:spacing w:after="240"/>
        <w:jc w:val="both"/>
        <w:rPr>
          <w:rFonts w:ascii="Arial" w:eastAsia="Aptos" w:hAnsi="Arial" w:cs="Arial"/>
          <w:kern w:val="2"/>
          <w:sz w:val="22"/>
          <w:szCs w:val="22"/>
        </w:rPr>
      </w:pPr>
      <w:r w:rsidRPr="00273680">
        <w:rPr>
          <w:rFonts w:ascii="Arial" w:eastAsia="Aptos" w:hAnsi="Arial" w:cs="Arial"/>
          <w:b/>
          <w:bCs/>
          <w:kern w:val="2"/>
          <w:sz w:val="22"/>
          <w:szCs w:val="22"/>
        </w:rPr>
        <w:t>Hybrid Base Load/WLPUN operational treatment</w:t>
      </w:r>
      <w:r w:rsidRPr="00273680">
        <w:rPr>
          <w:rFonts w:ascii="Arial" w:eastAsia="Aptos" w:hAnsi="Arial" w:cs="Arial"/>
          <w:kern w:val="2"/>
          <w:sz w:val="22"/>
          <w:szCs w:val="22"/>
        </w:rPr>
        <w:t xml:space="preserve">: Clarify that, where a WLPUN designation applies only to an incremental expansion at an existing PUN, operational compliance is evaluated relative to the incremental WLPUN-designated load and does not subject pre-existing Base Load already recognized under § 9.2.1.1 to newly imposed withdrawal restrictions. ERCOT should further clarify how MW Withdrawal limits are calculated and enforced in such configurations, including whether operational compliance is measured against total POI withdrawal or only the incremental withdrawal attributable to the WLPUN-designated portion; </w:t>
      </w:r>
    </w:p>
    <w:p w14:paraId="6E93DA1A" w14:textId="77777777" w:rsidR="001358CA" w:rsidRPr="00273680" w:rsidRDefault="001358CA" w:rsidP="001358CA">
      <w:pPr>
        <w:widowControl w:val="0"/>
        <w:numPr>
          <w:ilvl w:val="0"/>
          <w:numId w:val="31"/>
        </w:numPr>
        <w:autoSpaceDE w:val="0"/>
        <w:autoSpaceDN w:val="0"/>
        <w:spacing w:after="240"/>
        <w:jc w:val="both"/>
        <w:rPr>
          <w:rFonts w:ascii="Arial" w:eastAsia="Aptos" w:hAnsi="Arial" w:cs="Arial"/>
          <w:kern w:val="2"/>
          <w:sz w:val="22"/>
          <w:szCs w:val="22"/>
        </w:rPr>
      </w:pPr>
      <w:r w:rsidRPr="00273680">
        <w:rPr>
          <w:rFonts w:ascii="Arial" w:eastAsia="Aptos" w:hAnsi="Arial" w:cs="Arial"/>
          <w:b/>
          <w:bCs/>
          <w:kern w:val="2"/>
          <w:sz w:val="22"/>
          <w:szCs w:val="22"/>
        </w:rPr>
        <w:t>POI-level withdrawal enforcement for partial-WLPUN configurations</w:t>
      </w:r>
      <w:r w:rsidRPr="00273680">
        <w:rPr>
          <w:rFonts w:ascii="Arial" w:eastAsia="Aptos" w:hAnsi="Arial" w:cs="Arial"/>
          <w:kern w:val="2"/>
          <w:sz w:val="22"/>
          <w:szCs w:val="22"/>
        </w:rPr>
        <w:t xml:space="preserve">: Clarify in § 9.6.2(1) whether operational enforcement of the withdrawal cap for a partial-WLPUN configuration applies to total net POI Demand or only the incremental Demand attributable to the WLPUN-designated load; </w:t>
      </w:r>
    </w:p>
    <w:p w14:paraId="3922FC60" w14:textId="77777777" w:rsidR="001358CA" w:rsidRPr="00273680" w:rsidRDefault="001358CA" w:rsidP="001358CA">
      <w:pPr>
        <w:widowControl w:val="0"/>
        <w:numPr>
          <w:ilvl w:val="0"/>
          <w:numId w:val="31"/>
        </w:numPr>
        <w:autoSpaceDE w:val="0"/>
        <w:autoSpaceDN w:val="0"/>
        <w:spacing w:after="240"/>
        <w:jc w:val="both"/>
        <w:rPr>
          <w:rFonts w:ascii="Arial" w:eastAsia="Aptos" w:hAnsi="Arial" w:cs="Arial"/>
          <w:kern w:val="2"/>
          <w:sz w:val="22"/>
          <w:szCs w:val="22"/>
        </w:rPr>
      </w:pPr>
      <w:r w:rsidRPr="00273680">
        <w:rPr>
          <w:rFonts w:ascii="Arial" w:eastAsia="Aptos" w:hAnsi="Arial" w:cs="Arial"/>
          <w:b/>
          <w:bCs/>
          <w:kern w:val="2"/>
          <w:sz w:val="22"/>
          <w:szCs w:val="22"/>
        </w:rPr>
        <w:t>Generation-off load determinations for hybrid configurations</w:t>
      </w:r>
      <w:r w:rsidRPr="00273680">
        <w:rPr>
          <w:rFonts w:ascii="Arial" w:eastAsia="Aptos" w:hAnsi="Arial" w:cs="Arial"/>
          <w:kern w:val="2"/>
          <w:sz w:val="22"/>
          <w:szCs w:val="22"/>
        </w:rPr>
        <w:t xml:space="preserve">: Clarify in § 9.3.2.2(1)(b) how ERCOT will perform the generation-off load determination where the site already includes pre-existing Base Load outside the WLPUN construct; and </w:t>
      </w:r>
    </w:p>
    <w:p w14:paraId="0E38BC21" w14:textId="77777777" w:rsidR="001358CA" w:rsidRPr="00273680" w:rsidRDefault="001358CA" w:rsidP="001358CA">
      <w:pPr>
        <w:widowControl w:val="0"/>
        <w:numPr>
          <w:ilvl w:val="0"/>
          <w:numId w:val="31"/>
        </w:numPr>
        <w:autoSpaceDE w:val="0"/>
        <w:autoSpaceDN w:val="0"/>
        <w:spacing w:after="240"/>
        <w:jc w:val="both"/>
        <w:rPr>
          <w:rFonts w:ascii="Arial" w:eastAsia="Aptos" w:hAnsi="Arial" w:cs="Arial"/>
          <w:kern w:val="2"/>
          <w:sz w:val="22"/>
          <w:szCs w:val="22"/>
        </w:rPr>
      </w:pPr>
      <w:r w:rsidRPr="00273680">
        <w:rPr>
          <w:rFonts w:ascii="Arial" w:eastAsia="Aptos" w:hAnsi="Arial" w:cs="Arial"/>
          <w:b/>
          <w:bCs/>
          <w:kern w:val="2"/>
          <w:sz w:val="22"/>
          <w:szCs w:val="22"/>
        </w:rPr>
        <w:t>Hybrid PUN/WLPUN modeling treatment</w:t>
      </w:r>
      <w:r w:rsidRPr="00273680">
        <w:rPr>
          <w:rFonts w:ascii="Arial" w:eastAsia="Aptos" w:hAnsi="Arial" w:cs="Arial"/>
          <w:kern w:val="2"/>
          <w:sz w:val="22"/>
          <w:szCs w:val="22"/>
        </w:rPr>
        <w:t xml:space="preserve">: Ensure that modeling under § 6.6.2.1 expressly accommodates hybrid PUN configurations involving both Base Load and WLPUN-designated load behind the same POI. </w:t>
      </w:r>
    </w:p>
    <w:p w14:paraId="3195FBE1" w14:textId="77777777" w:rsidR="001358CA" w:rsidRPr="00273680" w:rsidRDefault="001358CA" w:rsidP="004751AD">
      <w:pPr>
        <w:widowControl w:val="0"/>
        <w:autoSpaceDE w:val="0"/>
        <w:autoSpaceDN w:val="0"/>
        <w:spacing w:before="240" w:after="240"/>
        <w:ind w:left="1440" w:right="720" w:hanging="720"/>
        <w:jc w:val="center"/>
        <w:rPr>
          <w:rFonts w:ascii="Arial" w:eastAsia="Aptos" w:hAnsi="Arial" w:cs="Arial"/>
          <w:b/>
          <w:bCs/>
          <w:kern w:val="2"/>
          <w:sz w:val="22"/>
          <w:szCs w:val="22"/>
        </w:rPr>
      </w:pPr>
      <w:r>
        <w:rPr>
          <w:rFonts w:ascii="Arial" w:eastAsia="Aptos" w:hAnsi="Arial" w:cs="Arial"/>
          <w:b/>
          <w:bCs/>
          <w:kern w:val="2"/>
          <w:sz w:val="22"/>
          <w:szCs w:val="22"/>
        </w:rPr>
        <w:br w:type="page"/>
      </w:r>
      <w:r w:rsidRPr="00273680">
        <w:rPr>
          <w:rFonts w:ascii="Arial" w:eastAsia="Aptos" w:hAnsi="Arial" w:cs="Arial"/>
          <w:b/>
          <w:bCs/>
          <w:kern w:val="2"/>
          <w:sz w:val="22"/>
          <w:szCs w:val="22"/>
        </w:rPr>
        <w:lastRenderedPageBreak/>
        <w:t xml:space="preserve">III. </w:t>
      </w:r>
      <w:r w:rsidRPr="00273680">
        <w:rPr>
          <w:rFonts w:ascii="Arial" w:eastAsia="Aptos" w:hAnsi="Arial" w:cs="Arial"/>
          <w:b/>
          <w:bCs/>
          <w:kern w:val="2"/>
          <w:sz w:val="22"/>
          <w:szCs w:val="22"/>
        </w:rPr>
        <w:tab/>
        <w:t>Replacement of the Generation-Decrease Cliff with a Generation-to-Load Ratio Framework</w:t>
      </w:r>
    </w:p>
    <w:p w14:paraId="61ECC1ED" w14:textId="77777777" w:rsidR="001358CA" w:rsidRPr="00273680" w:rsidRDefault="001358CA" w:rsidP="004751AD">
      <w:pPr>
        <w:widowControl w:val="0"/>
        <w:autoSpaceDE w:val="0"/>
        <w:autoSpaceDN w:val="0"/>
        <w:spacing w:after="240"/>
        <w:ind w:firstLine="720"/>
        <w:jc w:val="both"/>
        <w:rPr>
          <w:rFonts w:ascii="Arial" w:eastAsia="Aptos" w:hAnsi="Arial" w:cs="Arial"/>
          <w:b/>
          <w:bCs/>
          <w:kern w:val="2"/>
          <w:sz w:val="22"/>
          <w:szCs w:val="22"/>
        </w:rPr>
      </w:pPr>
      <w:r w:rsidRPr="00273680">
        <w:rPr>
          <w:rFonts w:ascii="Arial" w:eastAsia="Aptos" w:hAnsi="Arial" w:cs="Arial"/>
          <w:b/>
          <w:bCs/>
          <w:kern w:val="2"/>
          <w:sz w:val="22"/>
          <w:szCs w:val="22"/>
        </w:rPr>
        <w:t xml:space="preserve">A. </w:t>
      </w:r>
      <w:r w:rsidRPr="00273680">
        <w:rPr>
          <w:rFonts w:ascii="Arial" w:eastAsia="Aptos" w:hAnsi="Arial" w:cs="Arial"/>
          <w:b/>
          <w:bCs/>
          <w:kern w:val="2"/>
          <w:sz w:val="22"/>
          <w:szCs w:val="22"/>
        </w:rPr>
        <w:tab/>
        <w:t>The Current Proposal Is Overbroad on Reliability Grounds</w:t>
      </w:r>
    </w:p>
    <w:p w14:paraId="52D87D1C"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Section 9.4.2(5)(b) provides that any decrease in the aggregate real power rating of associated generation after July 24, </w:t>
      </w:r>
      <w:proofErr w:type="gramStart"/>
      <w:r w:rsidRPr="00273680">
        <w:rPr>
          <w:rFonts w:ascii="Arial" w:eastAsia="Aptos" w:hAnsi="Arial" w:cs="Arial"/>
          <w:kern w:val="2"/>
          <w:sz w:val="22"/>
          <w:szCs w:val="22"/>
        </w:rPr>
        <w:t>2026</w:t>
      </w:r>
      <w:proofErr w:type="gramEnd"/>
      <w:r w:rsidRPr="00273680">
        <w:rPr>
          <w:rFonts w:ascii="Arial" w:eastAsia="Aptos" w:hAnsi="Arial" w:cs="Arial"/>
          <w:kern w:val="2"/>
          <w:sz w:val="22"/>
          <w:szCs w:val="22"/>
        </w:rPr>
        <w:t xml:space="preserve"> results in the entire WLPUN being deemed to have withdrawn from the Batch Zero Process. This cliff is overbroad because what </w:t>
      </w:r>
      <w:proofErr w:type="gramStart"/>
      <w:r w:rsidRPr="00273680">
        <w:rPr>
          <w:rFonts w:ascii="Arial" w:eastAsia="Aptos" w:hAnsi="Arial" w:cs="Arial"/>
          <w:kern w:val="2"/>
          <w:sz w:val="22"/>
          <w:szCs w:val="22"/>
        </w:rPr>
        <w:t>actually matters</w:t>
      </w:r>
      <w:proofErr w:type="gramEnd"/>
      <w:r w:rsidRPr="00273680">
        <w:rPr>
          <w:rFonts w:ascii="Arial" w:eastAsia="Aptos" w:hAnsi="Arial" w:cs="Arial"/>
          <w:kern w:val="2"/>
          <w:sz w:val="22"/>
          <w:szCs w:val="22"/>
        </w:rPr>
        <w:t xml:space="preserve"> for system reliability is whether the operational and study assumptions underlying the awarded allocation remain satisfied, including the relationship between the associated generation, the MW Withdrawal limit, and the allocated load. For same-technology-type changes that preserve or improve the studied generation-to-load relationship and do not alter the applicable operational constraints, the underlying reliability assumptions may remain materially unchanged even if the aggregate generation nameplate decreases. Importantly, the two principal reliability constraints underpinning the WLPUN construct—the MW Withdrawal limit under § 9.3.2.2(1)(b) and the 90% stability cap under § 9.3.2.2(</w:t>
      </w:r>
      <w:proofErr w:type="gramStart"/>
      <w:r w:rsidRPr="00273680">
        <w:rPr>
          <w:rFonts w:ascii="Arial" w:eastAsia="Aptos" w:hAnsi="Arial" w:cs="Arial"/>
          <w:kern w:val="2"/>
          <w:sz w:val="22"/>
          <w:szCs w:val="22"/>
        </w:rPr>
        <w:t>1)(d</w:t>
      </w:r>
      <w:proofErr w:type="gramEnd"/>
      <w:r w:rsidRPr="00273680">
        <w:rPr>
          <w:rFonts w:ascii="Arial" w:eastAsia="Aptos" w:hAnsi="Arial" w:cs="Arial"/>
          <w:kern w:val="2"/>
          <w:sz w:val="22"/>
          <w:szCs w:val="22"/>
        </w:rPr>
        <w:t>)(</w:t>
      </w:r>
      <w:proofErr w:type="gramStart"/>
      <w:r w:rsidRPr="00273680">
        <w:rPr>
          <w:rFonts w:ascii="Arial" w:eastAsia="Aptos" w:hAnsi="Arial" w:cs="Arial"/>
          <w:kern w:val="2"/>
          <w:sz w:val="22"/>
          <w:szCs w:val="22"/>
        </w:rPr>
        <w:t>iii)—</w:t>
      </w:r>
      <w:proofErr w:type="gramEnd"/>
      <w:r w:rsidRPr="00273680">
        <w:rPr>
          <w:rFonts w:ascii="Arial" w:eastAsia="Aptos" w:hAnsi="Arial" w:cs="Arial"/>
          <w:kern w:val="2"/>
          <w:sz w:val="22"/>
          <w:szCs w:val="22"/>
        </w:rPr>
        <w:t>are both expressly derived under generation-off study conditions. Thus, where generation and load are adjusted proportionally while preserving the operational assumptions reflected in the study, those generation-off reliability calculations may remain materially unchanged notwithstanding a reduction in aggregate generation nameplate. In those circumstances, real-time POI enforcement under § 9.6.2 remains the operative operational constraint.</w:t>
      </w:r>
    </w:p>
    <w:p w14:paraId="5644771C"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The cliff appears aimed at addressing gaming concerns related to prong (ii) of § 9.3.2.2(1)(d), which caps allocatable load at “the MW Withdrawal limit plus the aggregate real power rating of the WLPUN generation.” However, § 9.3.2.2(1)(d) allocates load based on the lesser of three independent constraints: (i) the requested peak Demand; (ii) the MW Withdrawal limit plus generation nameplate; and (iii) 90% of the load level that causes instability or cascading with all WLPUN generation off and with no contingency. As a result, the generation-nameplate cap in (d)(ii) only binds in certain cases. For many projects, the binding allocation constraint may instead be the requested Demand limit under (d)(i) or the stability-based cap under (d)(iii), both of which are independent of the absolute generation nameplate and are evaluated with the WLPUN generation turned off.</w:t>
      </w:r>
    </w:p>
    <w:p w14:paraId="1B9A4225" w14:textId="77777777" w:rsidR="001358CA" w:rsidRPr="00273680" w:rsidRDefault="001358CA" w:rsidP="004751AD">
      <w:pPr>
        <w:widowControl w:val="0"/>
        <w:autoSpaceDE w:val="0"/>
        <w:autoSpaceDN w:val="0"/>
        <w:spacing w:after="240"/>
        <w:ind w:firstLine="720"/>
        <w:jc w:val="both"/>
        <w:rPr>
          <w:rFonts w:ascii="Arial" w:eastAsia="Aptos" w:hAnsi="Arial" w:cs="Arial"/>
          <w:b/>
          <w:bCs/>
          <w:kern w:val="2"/>
          <w:sz w:val="22"/>
          <w:szCs w:val="22"/>
        </w:rPr>
      </w:pPr>
      <w:r w:rsidRPr="00273680">
        <w:rPr>
          <w:rFonts w:ascii="Arial" w:eastAsia="Aptos" w:hAnsi="Arial" w:cs="Arial"/>
          <w:b/>
          <w:bCs/>
          <w:kern w:val="2"/>
          <w:sz w:val="22"/>
          <w:szCs w:val="22"/>
        </w:rPr>
        <w:t xml:space="preserve">B. </w:t>
      </w:r>
      <w:r w:rsidRPr="00273680">
        <w:rPr>
          <w:rFonts w:ascii="Arial" w:eastAsia="Aptos" w:hAnsi="Arial" w:cs="Arial"/>
          <w:b/>
          <w:bCs/>
          <w:kern w:val="2"/>
          <w:sz w:val="22"/>
          <w:szCs w:val="22"/>
        </w:rPr>
        <w:tab/>
        <w:t>The Ratio Principle Should Run in Both Directions</w:t>
      </w:r>
    </w:p>
    <w:p w14:paraId="07E8382C"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ERCOT should replace the § 9.4.2(5)(b) full-withdrawal trigger with a proportional adjustment framework keyed to the studied generation-to-load ratio. This principle should operate in the following directions:</w:t>
      </w:r>
    </w:p>
    <w:p w14:paraId="72BFA255" w14:textId="77777777" w:rsidR="001358CA" w:rsidRPr="00273680" w:rsidRDefault="001358CA" w:rsidP="001358CA">
      <w:pPr>
        <w:widowControl w:val="0"/>
        <w:numPr>
          <w:ilvl w:val="0"/>
          <w:numId w:val="33"/>
        </w:numPr>
        <w:autoSpaceDE w:val="0"/>
        <w:autoSpaceDN w:val="0"/>
        <w:spacing w:after="240"/>
        <w:ind w:left="2074" w:hanging="634"/>
        <w:jc w:val="both"/>
        <w:rPr>
          <w:rFonts w:ascii="Arial" w:eastAsia="Aptos" w:hAnsi="Arial" w:cs="Arial"/>
          <w:b/>
          <w:bCs/>
          <w:kern w:val="2"/>
          <w:sz w:val="22"/>
          <w:szCs w:val="22"/>
        </w:rPr>
      </w:pPr>
      <w:r w:rsidRPr="00273680">
        <w:rPr>
          <w:rFonts w:ascii="Arial" w:eastAsia="Aptos" w:hAnsi="Arial" w:cs="Arial"/>
          <w:b/>
          <w:bCs/>
          <w:kern w:val="2"/>
          <w:sz w:val="22"/>
          <w:szCs w:val="22"/>
        </w:rPr>
        <w:t xml:space="preserve">Generation-to-Load Proportional Resize </w:t>
      </w:r>
    </w:p>
    <w:p w14:paraId="3CC3997B"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If the studied generation-to-load ratio is preserved, a proportional reduction of both generation and load should result in a proportional adjustment to the allocation, not a full withdrawal from the Batch Zero Process, provided the resulting configuration continues to satisfy all operational and reliability constraints established through the Batch Zero study process, including the MW Withdrawal limit, the applicable stability-based allocation constraints, and the telemetry and modeling requirements applicable to the WLPUN configuration. </w:t>
      </w:r>
    </w:p>
    <w:p w14:paraId="36E3CE3D"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To implement this framework, ERCOT should make the following modifications to § 9.4.2(5) and (6):</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7"/>
      </w:tblGrid>
      <w:tr w:rsidR="001358CA" w:rsidRPr="00B434EC" w14:paraId="64CDF4AF" w14:textId="77777777" w:rsidTr="004751AD">
        <w:trPr>
          <w:jc w:val="center"/>
        </w:trPr>
        <w:tc>
          <w:tcPr>
            <w:tcW w:w="9057" w:type="dxa"/>
          </w:tcPr>
          <w:p w14:paraId="5C6BC9BC" w14:textId="77777777" w:rsidR="001358CA" w:rsidRPr="00B434EC" w:rsidRDefault="001358CA" w:rsidP="001358CA">
            <w:pPr>
              <w:widowControl w:val="0"/>
              <w:autoSpaceDE w:val="0"/>
              <w:autoSpaceDN w:val="0"/>
              <w:spacing w:before="120" w:after="120"/>
              <w:ind w:left="720" w:hanging="720"/>
              <w:jc w:val="both"/>
              <w:rPr>
                <w:rFonts w:ascii="Arial" w:eastAsia="Aptos" w:hAnsi="Arial" w:cs="Arial"/>
                <w:b/>
                <w:bCs/>
                <w:kern w:val="2"/>
                <w:sz w:val="20"/>
                <w:szCs w:val="20"/>
              </w:rPr>
            </w:pPr>
            <w:r w:rsidRPr="00B434EC">
              <w:rPr>
                <w:rFonts w:ascii="Arial" w:eastAsia="Aptos" w:hAnsi="Arial" w:cs="Arial"/>
                <w:b/>
                <w:bCs/>
                <w:kern w:val="2"/>
                <w:sz w:val="20"/>
                <w:szCs w:val="20"/>
              </w:rPr>
              <w:lastRenderedPageBreak/>
              <w:t>9.4.2</w:t>
            </w:r>
            <w:r w:rsidRPr="00B434EC">
              <w:rPr>
                <w:rFonts w:ascii="Arial" w:eastAsia="Aptos" w:hAnsi="Arial" w:cs="Arial"/>
                <w:b/>
                <w:bCs/>
                <w:kern w:val="2"/>
                <w:sz w:val="20"/>
                <w:szCs w:val="20"/>
              </w:rPr>
              <w:tab/>
              <w:t>Additional Commitments for Withdrawal-Limited Private Use Networks (WLPUNs)</w:t>
            </w:r>
          </w:p>
          <w:p w14:paraId="2E270764" w14:textId="77777777" w:rsidR="001358CA" w:rsidRPr="00B434EC" w:rsidRDefault="001358CA" w:rsidP="001358CA">
            <w:pPr>
              <w:widowControl w:val="0"/>
              <w:autoSpaceDE w:val="0"/>
              <w:autoSpaceDN w:val="0"/>
              <w:spacing w:before="120" w:after="120"/>
              <w:ind w:left="720" w:hanging="720"/>
              <w:jc w:val="both"/>
              <w:rPr>
                <w:rFonts w:ascii="Arial" w:eastAsia="Aptos" w:hAnsi="Arial" w:cs="Arial"/>
                <w:iCs/>
                <w:kern w:val="2"/>
                <w:sz w:val="20"/>
                <w:szCs w:val="20"/>
              </w:rPr>
            </w:pPr>
            <w:r w:rsidRPr="00B434EC">
              <w:rPr>
                <w:rFonts w:ascii="Arial" w:eastAsia="Aptos" w:hAnsi="Arial" w:cs="Arial"/>
                <w:kern w:val="2"/>
                <w:sz w:val="20"/>
                <w:szCs w:val="20"/>
              </w:rPr>
              <w:t>(5)</w:t>
            </w:r>
            <w:r w:rsidRPr="00B434EC">
              <w:rPr>
                <w:rFonts w:ascii="Arial" w:eastAsia="Aptos" w:hAnsi="Arial" w:cs="Arial"/>
                <w:kern w:val="2"/>
                <w:sz w:val="20"/>
                <w:szCs w:val="20"/>
              </w:rPr>
              <w:tab/>
              <w:t>Any Large Load for which the associated generation meets any of the following criteria</w:t>
            </w:r>
            <w:r w:rsidRPr="00B434EC">
              <w:rPr>
                <w:rFonts w:ascii="Arial" w:eastAsia="Aptos" w:hAnsi="Arial" w:cs="Arial"/>
                <w:iCs/>
                <w:kern w:val="2"/>
                <w:sz w:val="20"/>
                <w:szCs w:val="20"/>
              </w:rPr>
              <w:t xml:space="preserve"> 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p>
          <w:p w14:paraId="2A5355DB"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iCs/>
                <w:kern w:val="2"/>
                <w:sz w:val="20"/>
                <w:szCs w:val="20"/>
              </w:rPr>
            </w:pPr>
            <w:r w:rsidRPr="00B434EC">
              <w:rPr>
                <w:rFonts w:ascii="Arial" w:eastAsia="Aptos" w:hAnsi="Arial" w:cs="Arial"/>
                <w:iCs/>
                <w:kern w:val="2"/>
                <w:sz w:val="20"/>
                <w:szCs w:val="20"/>
              </w:rPr>
              <w:t>(a)</w:t>
            </w:r>
            <w:r w:rsidRPr="00B434EC">
              <w:rPr>
                <w:rFonts w:ascii="Arial" w:eastAsia="Aptos" w:hAnsi="Arial" w:cs="Arial"/>
                <w:iCs/>
                <w:kern w:val="2"/>
                <w:sz w:val="20"/>
                <w:szCs w:val="20"/>
              </w:rPr>
              <w:tab/>
              <w:t>The associated generation does not meet the requirements in paragraph (4) above.</w:t>
            </w:r>
          </w:p>
          <w:p w14:paraId="5A1173D2"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iCs/>
                <w:kern w:val="2"/>
                <w:sz w:val="20"/>
                <w:szCs w:val="20"/>
              </w:rPr>
            </w:pPr>
            <w:r w:rsidRPr="00B434EC">
              <w:rPr>
                <w:rFonts w:ascii="Arial" w:eastAsia="Aptos" w:hAnsi="Arial" w:cs="Arial"/>
                <w:iCs/>
                <w:kern w:val="2"/>
                <w:sz w:val="20"/>
                <w:szCs w:val="20"/>
              </w:rPr>
              <w:t>(b)</w:t>
            </w:r>
            <w:r w:rsidRPr="00B434EC">
              <w:rPr>
                <w:rFonts w:ascii="Arial" w:eastAsia="Aptos" w:hAnsi="Arial" w:cs="Arial"/>
                <w:iCs/>
                <w:kern w:val="2"/>
                <w:sz w:val="20"/>
                <w:szCs w:val="20"/>
              </w:rPr>
              <w:tab/>
              <w:t>After July 24, 2026, the aggregate real power rating of the associated generation decreases from what was recorded in RIOO</w:t>
            </w:r>
            <w:r w:rsidRPr="00B434EC">
              <w:rPr>
                <w:rFonts w:ascii="Arial" w:eastAsia="Aptos" w:hAnsi="Arial" w:cs="Arial"/>
                <w:kern w:val="2"/>
                <w:sz w:val="20"/>
                <w:szCs w:val="20"/>
                <w:u w:val="single"/>
              </w:rPr>
              <w:t xml:space="preserve">, except where: </w:t>
            </w:r>
          </w:p>
          <w:p w14:paraId="6A952125" w14:textId="77777777" w:rsidR="001358CA" w:rsidRPr="00B434EC" w:rsidRDefault="001358CA" w:rsidP="001358CA">
            <w:pPr>
              <w:widowControl w:val="0"/>
              <w:numPr>
                <w:ilvl w:val="0"/>
                <w:numId w:val="35"/>
              </w:numPr>
              <w:autoSpaceDE w:val="0"/>
              <w:autoSpaceDN w:val="0"/>
              <w:spacing w:before="120" w:after="120"/>
              <w:ind w:left="2160"/>
              <w:jc w:val="both"/>
              <w:rPr>
                <w:rFonts w:ascii="Arial" w:eastAsia="Aptos" w:hAnsi="Arial" w:cs="Arial"/>
                <w:kern w:val="2"/>
                <w:sz w:val="20"/>
                <w:szCs w:val="20"/>
                <w:u w:val="single"/>
              </w:rPr>
            </w:pPr>
            <w:r w:rsidRPr="00B434EC">
              <w:rPr>
                <w:rFonts w:ascii="Arial" w:eastAsia="Aptos" w:hAnsi="Arial" w:cs="Arial"/>
                <w:kern w:val="2"/>
                <w:sz w:val="20"/>
                <w:szCs w:val="20"/>
                <w:u w:val="single"/>
              </w:rPr>
              <w:t xml:space="preserve">the reduction is accompanied by a proportional reduction in allocated Load reflected in an updated Load Commissioning Plan (LCP); </w:t>
            </w:r>
          </w:p>
          <w:p w14:paraId="76256AD2" w14:textId="77777777" w:rsidR="001358CA" w:rsidRPr="00B434EC" w:rsidRDefault="001358CA" w:rsidP="001358CA">
            <w:pPr>
              <w:widowControl w:val="0"/>
              <w:numPr>
                <w:ilvl w:val="0"/>
                <w:numId w:val="35"/>
              </w:numPr>
              <w:autoSpaceDE w:val="0"/>
              <w:autoSpaceDN w:val="0"/>
              <w:spacing w:before="120" w:after="120"/>
              <w:ind w:left="2160"/>
              <w:jc w:val="both"/>
              <w:rPr>
                <w:rFonts w:ascii="Arial" w:eastAsia="Aptos" w:hAnsi="Arial" w:cs="Arial"/>
                <w:kern w:val="2"/>
                <w:sz w:val="20"/>
                <w:szCs w:val="20"/>
                <w:u w:val="single"/>
              </w:rPr>
            </w:pPr>
            <w:r w:rsidRPr="00B434EC">
              <w:rPr>
                <w:rFonts w:ascii="Arial" w:eastAsia="Aptos" w:hAnsi="Arial" w:cs="Arial"/>
                <w:kern w:val="2"/>
                <w:sz w:val="20"/>
                <w:szCs w:val="20"/>
                <w:u w:val="single"/>
              </w:rPr>
              <w:t xml:space="preserve">the resulting configuration continues to satisfy the MW Withdrawal limit, applicable stability-based allocation constraints under § 9.3.2.2(1)(d), telemetry requirements, and applicable modeling assumptions; and </w:t>
            </w:r>
          </w:p>
          <w:p w14:paraId="147FE717" w14:textId="77777777" w:rsidR="001358CA" w:rsidRPr="00B434EC" w:rsidRDefault="001358CA" w:rsidP="001358CA">
            <w:pPr>
              <w:widowControl w:val="0"/>
              <w:numPr>
                <w:ilvl w:val="0"/>
                <w:numId w:val="35"/>
              </w:numPr>
              <w:autoSpaceDE w:val="0"/>
              <w:autoSpaceDN w:val="0"/>
              <w:spacing w:before="120" w:after="120"/>
              <w:ind w:left="2160"/>
              <w:jc w:val="both"/>
              <w:rPr>
                <w:rFonts w:ascii="Arial" w:eastAsia="Aptos" w:hAnsi="Arial" w:cs="Arial"/>
                <w:kern w:val="2"/>
                <w:sz w:val="20"/>
                <w:szCs w:val="20"/>
                <w:u w:val="single"/>
              </w:rPr>
            </w:pPr>
            <w:r w:rsidRPr="00B434EC">
              <w:rPr>
                <w:rFonts w:ascii="Arial" w:eastAsia="Aptos" w:hAnsi="Arial" w:cs="Arial"/>
                <w:kern w:val="2"/>
                <w:sz w:val="20"/>
                <w:szCs w:val="20"/>
                <w:u w:val="single"/>
              </w:rPr>
              <w:t>the reduction does not involve a change in generation technology type under § 9.4.2(5)(c)</w:t>
            </w:r>
            <w:r w:rsidRPr="00B434EC">
              <w:rPr>
                <w:rFonts w:ascii="Arial" w:eastAsia="Aptos" w:hAnsi="Arial" w:cs="Arial"/>
                <w:kern w:val="2"/>
                <w:sz w:val="20"/>
                <w:szCs w:val="20"/>
              </w:rPr>
              <w:t>.</w:t>
            </w:r>
          </w:p>
          <w:p w14:paraId="09D106F2"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iCs/>
                <w:kern w:val="2"/>
                <w:sz w:val="20"/>
                <w:szCs w:val="20"/>
              </w:rPr>
            </w:pPr>
            <w:r w:rsidRPr="00B434EC">
              <w:rPr>
                <w:rFonts w:ascii="Arial" w:eastAsia="Aptos" w:hAnsi="Arial" w:cs="Arial"/>
                <w:kern w:val="2"/>
                <w:sz w:val="20"/>
                <w:szCs w:val="20"/>
              </w:rPr>
              <w:t>(c)</w:t>
            </w:r>
            <w:r w:rsidRPr="00B434EC">
              <w:rPr>
                <w:rFonts w:ascii="Arial" w:eastAsia="Aptos" w:hAnsi="Arial" w:cs="Arial"/>
                <w:kern w:val="2"/>
                <w:sz w:val="20"/>
                <w:szCs w:val="20"/>
              </w:rPr>
              <w:tab/>
            </w:r>
            <w:r w:rsidRPr="00B434EC">
              <w:rPr>
                <w:rFonts w:ascii="Arial" w:eastAsia="Aptos" w:hAnsi="Arial" w:cs="Arial"/>
                <w:iCs/>
                <w:kern w:val="2"/>
                <w:sz w:val="20"/>
                <w:szCs w:val="20"/>
              </w:rPr>
              <w:t>After July 24, 2026, the technology type(s) of the associated generation changes from what was recorded in RIOO</w:t>
            </w:r>
            <w:r w:rsidRPr="00B434EC">
              <w:rPr>
                <w:rFonts w:ascii="Arial" w:eastAsia="Aptos" w:hAnsi="Arial" w:cs="Arial"/>
                <w:kern w:val="2"/>
                <w:sz w:val="20"/>
                <w:szCs w:val="20"/>
              </w:rPr>
              <w:t>.</w:t>
            </w:r>
          </w:p>
          <w:p w14:paraId="33041E1F" w14:textId="77777777" w:rsidR="001358CA" w:rsidRPr="00B434EC" w:rsidRDefault="001358CA" w:rsidP="001358CA">
            <w:pPr>
              <w:widowControl w:val="0"/>
              <w:autoSpaceDE w:val="0"/>
              <w:autoSpaceDN w:val="0"/>
              <w:spacing w:before="120" w:after="120"/>
              <w:ind w:left="720" w:hanging="720"/>
              <w:jc w:val="both"/>
              <w:rPr>
                <w:rFonts w:ascii="Arial" w:eastAsia="Aptos" w:hAnsi="Arial" w:cs="Arial"/>
                <w:kern w:val="2"/>
                <w:sz w:val="20"/>
                <w:szCs w:val="20"/>
              </w:rPr>
            </w:pPr>
            <w:r w:rsidRPr="00B434EC">
              <w:rPr>
                <w:rFonts w:ascii="Arial" w:eastAsia="Aptos" w:hAnsi="Arial" w:cs="Arial"/>
                <w:kern w:val="2"/>
                <w:sz w:val="20"/>
                <w:szCs w:val="20"/>
              </w:rPr>
              <w:t>(6)</w:t>
            </w:r>
            <w:r w:rsidRPr="00B434EC">
              <w:rPr>
                <w:rFonts w:ascii="Arial" w:eastAsia="Aptos" w:hAnsi="Arial" w:cs="Arial"/>
                <w:kern w:val="2"/>
                <w:sz w:val="20"/>
                <w:szCs w:val="20"/>
              </w:rPr>
              <w:tab/>
              <w:t>An ILLE for a Large Load studied as a WLPUN may elect one of the following:</w:t>
            </w:r>
          </w:p>
          <w:p w14:paraId="40046B8B"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kern w:val="2"/>
                <w:sz w:val="20"/>
                <w:szCs w:val="20"/>
              </w:rPr>
            </w:pPr>
            <w:r w:rsidRPr="00B434EC">
              <w:rPr>
                <w:rFonts w:ascii="Arial" w:eastAsia="Aptos" w:hAnsi="Arial" w:cs="Arial"/>
                <w:kern w:val="2"/>
                <w:sz w:val="20"/>
                <w:szCs w:val="20"/>
              </w:rPr>
              <w:t>(a)</w:t>
            </w:r>
            <w:r w:rsidRPr="00B434EC">
              <w:rPr>
                <w:rFonts w:ascii="Arial" w:eastAsia="Aptos" w:hAnsi="Arial" w:cs="Arial"/>
                <w:kern w:val="2"/>
                <w:sz w:val="20"/>
                <w:szCs w:val="20"/>
              </w:rPr>
              <w:tab/>
              <w:t>The ILLE accepts the MW Withdrawal limit and allocated MW amounts provided in paragraph (1) above with no modifications; or</w:t>
            </w:r>
          </w:p>
          <w:p w14:paraId="049E9D00"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kern w:val="2"/>
                <w:sz w:val="20"/>
                <w:szCs w:val="20"/>
              </w:rPr>
            </w:pPr>
            <w:r w:rsidRPr="00B434EC">
              <w:rPr>
                <w:rFonts w:ascii="Arial" w:eastAsia="Aptos" w:hAnsi="Arial" w:cs="Arial"/>
                <w:kern w:val="2"/>
                <w:sz w:val="20"/>
                <w:szCs w:val="20"/>
              </w:rPr>
              <w:t>(b)</w:t>
            </w:r>
            <w:r w:rsidRPr="00B434EC">
              <w:rPr>
                <w:rFonts w:ascii="Arial" w:eastAsia="Aptos" w:hAnsi="Arial" w:cs="Arial"/>
                <w:kern w:val="2"/>
                <w:sz w:val="20"/>
                <w:szCs w:val="20"/>
              </w:rPr>
              <w:tab/>
              <w:t>The ILLE accepts the MW Withdrawal limit and allocated MW amounts provided in paragraph (1) above with modifications to either or both values. Each modified value must be less than or equal to the corresponding value provided by ERCOT in paragraph (1) above and must be reflected in an updated LCP.</w:t>
            </w:r>
          </w:p>
          <w:p w14:paraId="53F9B2E2"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kern w:val="2"/>
                <w:sz w:val="20"/>
                <w:szCs w:val="20"/>
                <w:u w:val="single"/>
              </w:rPr>
            </w:pPr>
            <w:r w:rsidRPr="00B434EC">
              <w:rPr>
                <w:rFonts w:ascii="Arial" w:eastAsia="Aptos" w:hAnsi="Arial" w:cs="Arial"/>
                <w:kern w:val="2"/>
                <w:sz w:val="20"/>
                <w:szCs w:val="20"/>
                <w:u w:val="single"/>
              </w:rPr>
              <w:t>(c)</w:t>
            </w:r>
            <w:r w:rsidRPr="00B434EC">
              <w:rPr>
                <w:rFonts w:ascii="Arial" w:eastAsia="Aptos" w:hAnsi="Arial" w:cs="Arial"/>
                <w:kern w:val="2"/>
                <w:sz w:val="20"/>
                <w:szCs w:val="20"/>
                <w:u w:val="single"/>
              </w:rPr>
              <w:tab/>
              <w:t>The ILLE accepts a proportional reduction in both associated generation and allocated peak Demand reflected in an updated LCP, provided:</w:t>
            </w:r>
          </w:p>
          <w:p w14:paraId="2D50768C" w14:textId="77777777" w:rsidR="001358CA" w:rsidRPr="00B434EC" w:rsidRDefault="001358CA" w:rsidP="001358CA">
            <w:pPr>
              <w:widowControl w:val="0"/>
              <w:autoSpaceDE w:val="0"/>
              <w:autoSpaceDN w:val="0"/>
              <w:spacing w:before="120" w:after="120"/>
              <w:ind w:left="2160" w:hanging="720"/>
              <w:jc w:val="both"/>
              <w:rPr>
                <w:rFonts w:ascii="Arial" w:eastAsia="Aptos" w:hAnsi="Arial" w:cs="Arial"/>
                <w:kern w:val="2"/>
                <w:sz w:val="20"/>
                <w:szCs w:val="20"/>
                <w:u w:val="single"/>
              </w:rPr>
            </w:pPr>
            <w:r w:rsidRPr="00B434EC">
              <w:rPr>
                <w:rFonts w:ascii="Arial" w:eastAsia="Aptos" w:hAnsi="Arial" w:cs="Arial"/>
                <w:kern w:val="2"/>
                <w:sz w:val="20"/>
                <w:szCs w:val="20"/>
                <w:u w:val="single"/>
              </w:rPr>
              <w:t>(i)</w:t>
            </w:r>
            <w:r w:rsidRPr="00B434EC">
              <w:rPr>
                <w:rFonts w:ascii="Arial" w:eastAsia="Aptos" w:hAnsi="Arial" w:cs="Arial"/>
                <w:kern w:val="2"/>
                <w:sz w:val="20"/>
                <w:szCs w:val="20"/>
                <w:u w:val="single"/>
              </w:rPr>
              <w:tab/>
              <w:t>the proportional reduction election is made simultaneously with the ILLE’s acceptance of the Batch Zero study results under this paragraph</w:t>
            </w:r>
          </w:p>
          <w:p w14:paraId="02E0A8A9" w14:textId="77777777" w:rsidR="001358CA" w:rsidRPr="00B434EC" w:rsidRDefault="001358CA" w:rsidP="001358CA">
            <w:pPr>
              <w:widowControl w:val="0"/>
              <w:autoSpaceDE w:val="0"/>
              <w:autoSpaceDN w:val="0"/>
              <w:spacing w:before="120" w:after="120"/>
              <w:ind w:left="2160" w:hanging="720"/>
              <w:jc w:val="both"/>
              <w:rPr>
                <w:rFonts w:ascii="Arial" w:eastAsia="Aptos" w:hAnsi="Arial" w:cs="Arial"/>
                <w:kern w:val="2"/>
                <w:sz w:val="20"/>
                <w:szCs w:val="20"/>
                <w:u w:val="single"/>
              </w:rPr>
            </w:pPr>
            <w:r w:rsidRPr="00B434EC">
              <w:rPr>
                <w:rFonts w:ascii="Arial" w:eastAsia="Aptos" w:hAnsi="Arial" w:cs="Arial"/>
                <w:kern w:val="2"/>
                <w:sz w:val="20"/>
                <w:szCs w:val="20"/>
                <w:u w:val="single"/>
              </w:rPr>
              <w:t>(ii)</w:t>
            </w:r>
            <w:r w:rsidRPr="00B434EC">
              <w:rPr>
                <w:rFonts w:ascii="Arial" w:eastAsia="Aptos" w:hAnsi="Arial" w:cs="Arial"/>
                <w:kern w:val="2"/>
                <w:sz w:val="20"/>
                <w:szCs w:val="20"/>
                <w:u w:val="single"/>
              </w:rPr>
              <w:tab/>
              <w:t>the resulting configuration preserves the operational assumptions underlying the Batch Zero Interconnection Study results;</w:t>
            </w:r>
          </w:p>
          <w:p w14:paraId="7FB32006" w14:textId="77777777" w:rsidR="001358CA" w:rsidRPr="00B434EC" w:rsidRDefault="001358CA" w:rsidP="001358CA">
            <w:pPr>
              <w:widowControl w:val="0"/>
              <w:autoSpaceDE w:val="0"/>
              <w:autoSpaceDN w:val="0"/>
              <w:spacing w:before="120" w:after="120"/>
              <w:ind w:left="2160" w:hanging="720"/>
              <w:jc w:val="both"/>
              <w:rPr>
                <w:rFonts w:ascii="Arial" w:eastAsia="Aptos" w:hAnsi="Arial" w:cs="Arial"/>
                <w:kern w:val="2"/>
                <w:sz w:val="20"/>
                <w:szCs w:val="20"/>
                <w:u w:val="single"/>
              </w:rPr>
            </w:pPr>
            <w:r w:rsidRPr="00B434EC">
              <w:rPr>
                <w:rFonts w:ascii="Arial" w:eastAsia="Aptos" w:hAnsi="Arial" w:cs="Arial"/>
                <w:kern w:val="2"/>
                <w:sz w:val="20"/>
                <w:szCs w:val="20"/>
                <w:u w:val="single"/>
              </w:rPr>
              <w:t>(iii)</w:t>
            </w:r>
            <w:r w:rsidRPr="00B434EC">
              <w:rPr>
                <w:rFonts w:ascii="Arial" w:eastAsia="Aptos" w:hAnsi="Arial" w:cs="Arial"/>
                <w:kern w:val="2"/>
                <w:sz w:val="20"/>
                <w:szCs w:val="20"/>
                <w:u w:val="single"/>
              </w:rPr>
              <w:tab/>
              <w:t>the resulting configuration continues to satisfy the MW Withdrawal limit and applicable stability-based allocation constraints under § 9.3.2.2(1)(d);</w:t>
            </w:r>
          </w:p>
          <w:p w14:paraId="15E09513" w14:textId="77777777" w:rsidR="001358CA" w:rsidRPr="00B434EC" w:rsidRDefault="001358CA" w:rsidP="001358CA">
            <w:pPr>
              <w:widowControl w:val="0"/>
              <w:autoSpaceDE w:val="0"/>
              <w:autoSpaceDN w:val="0"/>
              <w:spacing w:before="120" w:after="120"/>
              <w:ind w:left="2160" w:hanging="720"/>
              <w:jc w:val="both"/>
              <w:rPr>
                <w:rFonts w:ascii="Arial" w:eastAsia="Aptos" w:hAnsi="Arial" w:cs="Arial"/>
                <w:kern w:val="2"/>
                <w:sz w:val="20"/>
                <w:szCs w:val="20"/>
                <w:u w:val="single"/>
              </w:rPr>
            </w:pPr>
            <w:r w:rsidRPr="00B434EC">
              <w:rPr>
                <w:rFonts w:ascii="Arial" w:eastAsia="Aptos" w:hAnsi="Arial" w:cs="Arial"/>
                <w:kern w:val="2"/>
                <w:sz w:val="20"/>
                <w:szCs w:val="20"/>
                <w:u w:val="single"/>
              </w:rPr>
              <w:t xml:space="preserve">(iv) </w:t>
            </w:r>
            <w:r w:rsidRPr="00B434EC">
              <w:rPr>
                <w:rFonts w:ascii="Arial" w:eastAsia="Aptos" w:hAnsi="Arial" w:cs="Arial"/>
                <w:kern w:val="2"/>
                <w:sz w:val="20"/>
                <w:szCs w:val="20"/>
                <w:u w:val="single"/>
              </w:rPr>
              <w:tab/>
              <w:t>the associated generation technology type remains unchanged; and</w:t>
            </w:r>
          </w:p>
          <w:p w14:paraId="63C3ACED" w14:textId="77777777" w:rsidR="001358CA" w:rsidRPr="00B434EC" w:rsidRDefault="001358CA" w:rsidP="001358CA">
            <w:pPr>
              <w:widowControl w:val="0"/>
              <w:autoSpaceDE w:val="0"/>
              <w:autoSpaceDN w:val="0"/>
              <w:spacing w:before="120" w:after="120"/>
              <w:ind w:left="2160" w:hanging="720"/>
              <w:jc w:val="both"/>
              <w:rPr>
                <w:rFonts w:ascii="Arial" w:eastAsia="Aptos" w:hAnsi="Arial" w:cs="Arial"/>
                <w:kern w:val="2"/>
                <w:sz w:val="20"/>
                <w:szCs w:val="20"/>
                <w:u w:val="single"/>
              </w:rPr>
            </w:pPr>
            <w:r w:rsidRPr="00B434EC">
              <w:rPr>
                <w:rFonts w:ascii="Arial" w:eastAsia="Aptos" w:hAnsi="Arial" w:cs="Arial"/>
                <w:kern w:val="2"/>
                <w:sz w:val="20"/>
                <w:szCs w:val="20"/>
                <w:u w:val="single"/>
              </w:rPr>
              <w:t>(v)</w:t>
            </w:r>
            <w:r w:rsidRPr="00B434EC">
              <w:rPr>
                <w:rFonts w:ascii="Arial" w:eastAsia="Aptos" w:hAnsi="Arial" w:cs="Arial"/>
                <w:kern w:val="2"/>
                <w:sz w:val="20"/>
                <w:szCs w:val="20"/>
                <w:u w:val="single"/>
              </w:rPr>
              <w:tab/>
              <w:t>ERCOT’s Batch Zero Interconnection Study results demonstrate that the allocation constraint under § 9.3.2.2(1)(d)(ii) was not the binding allocation constraint for the awarded Load level, or the ILLE elects a lower allocated MW amount pursuant to paragraph (b).</w:t>
            </w:r>
          </w:p>
        </w:tc>
      </w:tr>
    </w:tbl>
    <w:p w14:paraId="4C30CFB1" w14:textId="77777777" w:rsidR="001358CA" w:rsidRPr="00273680" w:rsidRDefault="001358CA" w:rsidP="004751AD">
      <w:pPr>
        <w:widowControl w:val="0"/>
        <w:autoSpaceDE w:val="0"/>
        <w:autoSpaceDN w:val="0"/>
        <w:spacing w:before="240" w:after="240"/>
        <w:ind w:left="2160" w:hanging="720"/>
        <w:jc w:val="both"/>
        <w:rPr>
          <w:rFonts w:ascii="Arial" w:eastAsia="Aptos" w:hAnsi="Arial" w:cs="Arial"/>
          <w:b/>
          <w:bCs/>
          <w:kern w:val="2"/>
          <w:sz w:val="22"/>
          <w:szCs w:val="22"/>
        </w:rPr>
      </w:pPr>
      <w:r w:rsidRPr="00273680">
        <w:rPr>
          <w:rFonts w:ascii="Arial" w:eastAsia="Aptos" w:hAnsi="Arial" w:cs="Arial"/>
          <w:b/>
          <w:bCs/>
          <w:kern w:val="2"/>
          <w:sz w:val="22"/>
          <w:szCs w:val="22"/>
        </w:rPr>
        <w:t>2.</w:t>
      </w:r>
      <w:r w:rsidRPr="00273680">
        <w:rPr>
          <w:rFonts w:ascii="Arial" w:eastAsia="Aptos" w:hAnsi="Arial" w:cs="Arial"/>
          <w:b/>
          <w:bCs/>
          <w:kern w:val="2"/>
          <w:sz w:val="22"/>
          <w:szCs w:val="22"/>
        </w:rPr>
        <w:tab/>
        <w:t xml:space="preserve">Phased Load Ramp Tied to Phased Generation Commissioning </w:t>
      </w:r>
    </w:p>
    <w:p w14:paraId="079C8548"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Large generation projects often commission in phases. Current § 9.6.2 effectively creates a binary operational structure under which load remains capped at the MW Withdrawal limit until all associated generation has completed commissioning and operational approval requirements. That approach does not align well with how large multi-unit and phased generation facilities are </w:t>
      </w:r>
      <w:proofErr w:type="gramStart"/>
      <w:r w:rsidRPr="00273680">
        <w:rPr>
          <w:rFonts w:ascii="Arial" w:eastAsia="Aptos" w:hAnsi="Arial" w:cs="Arial"/>
          <w:kern w:val="2"/>
          <w:sz w:val="22"/>
          <w:szCs w:val="22"/>
        </w:rPr>
        <w:t>actually constructed</w:t>
      </w:r>
      <w:proofErr w:type="gramEnd"/>
      <w:r w:rsidRPr="00273680">
        <w:rPr>
          <w:rFonts w:ascii="Arial" w:eastAsia="Aptos" w:hAnsi="Arial" w:cs="Arial"/>
          <w:kern w:val="2"/>
          <w:sz w:val="22"/>
          <w:szCs w:val="22"/>
        </w:rPr>
        <w:t xml:space="preserve"> and synchronized. ERCOT should therefore add an intermediate phase to § </w:t>
      </w:r>
      <w:r w:rsidRPr="00273680">
        <w:rPr>
          <w:rFonts w:ascii="Arial" w:eastAsia="Aptos" w:hAnsi="Arial" w:cs="Arial"/>
          <w:kern w:val="2"/>
          <w:sz w:val="22"/>
          <w:szCs w:val="22"/>
        </w:rPr>
        <w:lastRenderedPageBreak/>
        <w:t xml:space="preserve">9.6.2 permitting load to scale above the MW Withdrawal limit proportionally as generation achieves incremental commissioning milestones that independently satisfy the applicable requirements of § 9.6.2(2), capped at (MW Withdrawal limit + commissioned generation MW), rather than requiring the final MW of generation capacity to come online before any load above the withdrawal limit is permitted. </w:t>
      </w:r>
    </w:p>
    <w:p w14:paraId="1AB1D5AE"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This framework should also address the timing interaction with § 9.4.2(4), which requires associated generation to meet § 6.9 requirements by the commitment deadline. Where generation is commissioned in phases, each phase should be permitted to independently satisfy § 6.9 on a rolling basis consistent with the Load Commissioning Plan (LCP), rather than requiring all generation phases to clear § 6.9 simultaneously by a single deadline.</w:t>
      </w:r>
    </w:p>
    <w:p w14:paraId="335F225E"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Specifically, ERCOT should revise § 9.6.2 as follows:</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7"/>
      </w:tblGrid>
      <w:tr w:rsidR="001358CA" w:rsidRPr="00B434EC" w14:paraId="79BF7FDB" w14:textId="77777777" w:rsidTr="004751AD">
        <w:trPr>
          <w:jc w:val="center"/>
        </w:trPr>
        <w:tc>
          <w:tcPr>
            <w:tcW w:w="9057" w:type="dxa"/>
          </w:tcPr>
          <w:p w14:paraId="63B645CA" w14:textId="77777777" w:rsidR="001358CA" w:rsidRPr="00B434EC" w:rsidRDefault="001358CA" w:rsidP="001358CA">
            <w:pPr>
              <w:widowControl w:val="0"/>
              <w:autoSpaceDE w:val="0"/>
              <w:autoSpaceDN w:val="0"/>
              <w:spacing w:before="120" w:after="120"/>
              <w:ind w:left="720" w:hanging="720"/>
              <w:jc w:val="both"/>
              <w:rPr>
                <w:rFonts w:ascii="Arial" w:eastAsia="Aptos" w:hAnsi="Arial" w:cs="Arial"/>
                <w:kern w:val="2"/>
                <w:sz w:val="20"/>
                <w:szCs w:val="20"/>
              </w:rPr>
            </w:pPr>
            <w:r w:rsidRPr="00B434EC">
              <w:rPr>
                <w:rFonts w:ascii="Arial" w:eastAsia="Aptos" w:hAnsi="Arial" w:cs="Arial"/>
                <w:b/>
                <w:bCs/>
                <w:kern w:val="2"/>
                <w:sz w:val="20"/>
                <w:szCs w:val="20"/>
              </w:rPr>
              <w:t>9.6.2</w:t>
            </w:r>
            <w:r w:rsidRPr="00B434EC">
              <w:rPr>
                <w:rFonts w:ascii="Arial" w:eastAsia="Aptos" w:hAnsi="Arial" w:cs="Arial"/>
                <w:b/>
                <w:bCs/>
                <w:kern w:val="2"/>
                <w:sz w:val="20"/>
                <w:szCs w:val="20"/>
              </w:rPr>
              <w:tab/>
              <w:t>Additional Energization and Operation Requirements for Withdrawal-Limited Private Use Networks (WLPUNs)</w:t>
            </w:r>
          </w:p>
          <w:p w14:paraId="62A047D3" w14:textId="77777777" w:rsidR="001358CA" w:rsidRPr="00B434EC" w:rsidRDefault="001358CA" w:rsidP="001358CA">
            <w:pPr>
              <w:widowControl w:val="0"/>
              <w:autoSpaceDE w:val="0"/>
              <w:autoSpaceDN w:val="0"/>
              <w:spacing w:before="120" w:after="120"/>
              <w:ind w:left="720" w:hanging="720"/>
              <w:jc w:val="both"/>
              <w:rPr>
                <w:rFonts w:ascii="Arial" w:eastAsia="Aptos" w:hAnsi="Arial" w:cs="Arial"/>
                <w:kern w:val="2"/>
                <w:sz w:val="20"/>
                <w:szCs w:val="20"/>
              </w:rPr>
            </w:pPr>
            <w:r w:rsidRPr="00B434EC">
              <w:rPr>
                <w:rFonts w:ascii="Arial" w:eastAsia="Aptos" w:hAnsi="Arial" w:cs="Arial"/>
                <w:kern w:val="2"/>
                <w:sz w:val="20"/>
                <w:szCs w:val="20"/>
              </w:rPr>
              <w:t>(1)</w:t>
            </w:r>
            <w:r w:rsidRPr="00B434EC">
              <w:rPr>
                <w:rFonts w:ascii="Arial" w:eastAsia="Aptos" w:hAnsi="Arial" w:cs="Arial"/>
                <w:kern w:val="2"/>
                <w:sz w:val="20"/>
                <w:szCs w:val="20"/>
              </w:rPr>
              <w:tab/>
              <w:t>A Large Load in a Withdrawal-Limited Private Use Network (WLPUN) will be granted Initial Energization upon meeting the requirements of paragraph (1) of Section 9.6 and receiving written approval to energize from ERCOT.  Until the associated generation Resource Commissioning Date, the Large Load shall not consume at a level of gross Demand that causes the net Demand at the Point of Interconnection (POI) to exceed the identified MW Withdrawal limit</w:t>
            </w:r>
            <w:r w:rsidRPr="00B434EC">
              <w:rPr>
                <w:rFonts w:ascii="Arial" w:eastAsia="Aptos" w:hAnsi="Arial" w:cs="Arial"/>
                <w:kern w:val="2"/>
                <w:sz w:val="20"/>
                <w:szCs w:val="20"/>
                <w:u w:val="single"/>
              </w:rPr>
              <w:t>, except as otherwise permitted under paragraph (2) for generation phases that have independently satisfied the applicable requirements of paragraph (2)</w:t>
            </w:r>
            <w:r w:rsidRPr="00B434EC">
              <w:rPr>
                <w:rFonts w:ascii="Arial" w:eastAsia="Aptos" w:hAnsi="Arial" w:cs="Arial"/>
                <w:kern w:val="2"/>
                <w:sz w:val="20"/>
                <w:szCs w:val="20"/>
              </w:rPr>
              <w:t>.</w:t>
            </w:r>
          </w:p>
          <w:p w14:paraId="39F043A4" w14:textId="77777777" w:rsidR="001358CA" w:rsidRPr="00B434EC" w:rsidRDefault="001358CA" w:rsidP="001358CA">
            <w:pPr>
              <w:widowControl w:val="0"/>
              <w:autoSpaceDE w:val="0"/>
              <w:autoSpaceDN w:val="0"/>
              <w:spacing w:before="120" w:after="120"/>
              <w:ind w:left="720" w:hanging="720"/>
              <w:jc w:val="both"/>
              <w:rPr>
                <w:rFonts w:ascii="Arial" w:eastAsia="Aptos" w:hAnsi="Arial" w:cs="Arial"/>
                <w:kern w:val="2"/>
                <w:sz w:val="20"/>
                <w:szCs w:val="20"/>
              </w:rPr>
            </w:pPr>
            <w:r w:rsidRPr="00B434EC">
              <w:rPr>
                <w:rFonts w:ascii="Arial" w:eastAsia="Aptos" w:hAnsi="Arial" w:cs="Arial"/>
                <w:kern w:val="2"/>
                <w:sz w:val="20"/>
                <w:szCs w:val="20"/>
              </w:rPr>
              <w:t>(2)</w:t>
            </w:r>
            <w:r w:rsidRPr="00B434EC">
              <w:rPr>
                <w:rFonts w:ascii="Arial" w:eastAsia="Aptos" w:hAnsi="Arial" w:cs="Arial"/>
                <w:kern w:val="2"/>
                <w:sz w:val="20"/>
                <w:szCs w:val="20"/>
              </w:rPr>
              <w:tab/>
              <w:t>A Large Load within a WLPUN that has been granted Initial Energization per paragraph (1) above shall not consume above a level that causes the net Demand at the POI to exceed the withdrawal limit until:</w:t>
            </w:r>
          </w:p>
          <w:p w14:paraId="515FCA30"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kern w:val="2"/>
                <w:sz w:val="20"/>
                <w:szCs w:val="20"/>
              </w:rPr>
            </w:pPr>
            <w:r w:rsidRPr="00B434EC">
              <w:rPr>
                <w:rFonts w:ascii="Arial" w:eastAsia="Aptos" w:hAnsi="Arial" w:cs="Arial"/>
                <w:kern w:val="2"/>
                <w:sz w:val="20"/>
                <w:szCs w:val="20"/>
              </w:rPr>
              <w:t>(a)</w:t>
            </w:r>
            <w:r w:rsidRPr="00B434EC">
              <w:rPr>
                <w:rFonts w:ascii="Arial" w:eastAsia="Aptos" w:hAnsi="Arial" w:cs="Arial"/>
                <w:kern w:val="2"/>
                <w:sz w:val="20"/>
                <w:szCs w:val="20"/>
              </w:rPr>
              <w:tab/>
              <w:t>The associated generation has completed all applicable interconnection requirements under Planning Guide Section 5, Generator Interconnection or Modification, and has been added to the ERCOT Network Operations Model;</w:t>
            </w:r>
          </w:p>
          <w:p w14:paraId="62DC6495"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kern w:val="2"/>
                <w:sz w:val="20"/>
                <w:szCs w:val="20"/>
              </w:rPr>
            </w:pPr>
            <w:r w:rsidRPr="00B434EC">
              <w:rPr>
                <w:rFonts w:ascii="Arial" w:eastAsia="Aptos" w:hAnsi="Arial" w:cs="Arial"/>
                <w:kern w:val="2"/>
                <w:sz w:val="20"/>
                <w:szCs w:val="20"/>
              </w:rPr>
              <w:t>(b)</w:t>
            </w:r>
            <w:r w:rsidRPr="00B434EC">
              <w:rPr>
                <w:rFonts w:ascii="Arial" w:eastAsia="Aptos" w:hAnsi="Arial" w:cs="Arial"/>
                <w:kern w:val="2"/>
                <w:sz w:val="20"/>
                <w:szCs w:val="20"/>
              </w:rPr>
              <w:tab/>
              <w:t>All required telemetry for the generation and the Large Load is operational and of good quality;</w:t>
            </w:r>
          </w:p>
          <w:p w14:paraId="3C0B9D78"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kern w:val="2"/>
                <w:sz w:val="20"/>
                <w:szCs w:val="20"/>
              </w:rPr>
            </w:pPr>
            <w:r w:rsidRPr="00B434EC">
              <w:rPr>
                <w:rFonts w:ascii="Arial" w:eastAsia="Aptos" w:hAnsi="Arial" w:cs="Arial"/>
                <w:kern w:val="2"/>
                <w:sz w:val="20"/>
                <w:szCs w:val="20"/>
              </w:rPr>
              <w:t>(c)</w:t>
            </w:r>
            <w:r w:rsidRPr="00B434EC">
              <w:rPr>
                <w:rFonts w:ascii="Arial" w:eastAsia="Aptos" w:hAnsi="Arial" w:cs="Arial"/>
                <w:kern w:val="2"/>
                <w:sz w:val="20"/>
                <w:szCs w:val="20"/>
              </w:rPr>
              <w:tab/>
              <w:t>The MW Withdrawal limit has been recorded in the Resource Registration data and incorporated in the ERCOT Network Operations Model pursuant to Section 3.10.7.3.1; and</w:t>
            </w:r>
          </w:p>
          <w:p w14:paraId="24A4C94E"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kern w:val="2"/>
                <w:sz w:val="20"/>
                <w:szCs w:val="20"/>
              </w:rPr>
            </w:pPr>
            <w:proofErr w:type="gramStart"/>
            <w:r w:rsidRPr="00B434EC">
              <w:rPr>
                <w:rFonts w:ascii="Arial" w:eastAsia="Aptos" w:hAnsi="Arial" w:cs="Arial"/>
                <w:kern w:val="2"/>
                <w:sz w:val="20"/>
                <w:szCs w:val="20"/>
              </w:rPr>
              <w:t>(d)</w:t>
            </w:r>
            <w:r w:rsidRPr="00B434EC">
              <w:rPr>
                <w:rFonts w:ascii="Arial" w:eastAsia="Aptos" w:hAnsi="Arial" w:cs="Arial"/>
                <w:kern w:val="2"/>
                <w:sz w:val="20"/>
                <w:szCs w:val="20"/>
              </w:rPr>
              <w:tab/>
              <w:t>ERCOT</w:t>
            </w:r>
            <w:proofErr w:type="gramEnd"/>
            <w:r w:rsidRPr="00B434EC">
              <w:rPr>
                <w:rFonts w:ascii="Arial" w:eastAsia="Aptos" w:hAnsi="Arial" w:cs="Arial"/>
                <w:kern w:val="2"/>
                <w:sz w:val="20"/>
                <w:szCs w:val="20"/>
              </w:rPr>
              <w:t xml:space="preserve"> provides the Resource Entity with written confirmation that the requirements of this paragraph have been met.</w:t>
            </w:r>
          </w:p>
          <w:p w14:paraId="60CB7E77" w14:textId="77777777" w:rsidR="001358CA" w:rsidRPr="00B434EC" w:rsidRDefault="001358CA" w:rsidP="001358CA">
            <w:pPr>
              <w:widowControl w:val="0"/>
              <w:autoSpaceDE w:val="0"/>
              <w:autoSpaceDN w:val="0"/>
              <w:spacing w:before="120" w:after="120"/>
              <w:ind w:left="720"/>
              <w:jc w:val="both"/>
              <w:rPr>
                <w:rFonts w:ascii="Arial" w:eastAsia="Aptos" w:hAnsi="Arial" w:cs="Arial"/>
                <w:kern w:val="2"/>
                <w:sz w:val="20"/>
                <w:szCs w:val="20"/>
              </w:rPr>
            </w:pPr>
            <w:r w:rsidRPr="00B434EC">
              <w:rPr>
                <w:rFonts w:ascii="Arial" w:eastAsia="Aptos" w:hAnsi="Arial" w:cs="Arial"/>
                <w:kern w:val="2"/>
                <w:sz w:val="20"/>
                <w:szCs w:val="20"/>
                <w:u w:val="single"/>
              </w:rPr>
              <w:t>For phased generation configurations reflected in the approved Load Commissioning Plan (LCP), ERCOT may permit incremental increases in Load above the MW Withdrawal limit corresponding to associated generation phases for which the applicable interconnection, telemetry, modeling, registration, and operational approval requirements of subparagraphs (a) through (d) have independently been satisfied, provided such increases remain capped at the sum of: (i) the MW Withdrawal limit; and (ii) the commissioned generation MW for generation phases that have satisfied this paragraph.</w:t>
            </w:r>
          </w:p>
        </w:tc>
      </w:tr>
    </w:tbl>
    <w:p w14:paraId="4298F297" w14:textId="77777777" w:rsidR="001358CA" w:rsidRPr="00273680" w:rsidRDefault="001358CA" w:rsidP="004751AD">
      <w:pPr>
        <w:widowControl w:val="0"/>
        <w:autoSpaceDE w:val="0"/>
        <w:autoSpaceDN w:val="0"/>
        <w:spacing w:before="240" w:after="240"/>
        <w:jc w:val="both"/>
        <w:rPr>
          <w:rFonts w:ascii="Arial" w:eastAsia="Aptos" w:hAnsi="Arial" w:cs="Arial"/>
          <w:kern w:val="2"/>
          <w:sz w:val="22"/>
          <w:szCs w:val="22"/>
        </w:rPr>
      </w:pPr>
      <w:r w:rsidRPr="00273680">
        <w:rPr>
          <w:rFonts w:ascii="Arial" w:eastAsia="Aptos" w:hAnsi="Arial" w:cs="Arial"/>
          <w:kern w:val="2"/>
          <w:sz w:val="22"/>
          <w:szCs w:val="22"/>
        </w:rPr>
        <w:t>ERCOT should also revise § 6.6.2.1 as follows:</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7"/>
      </w:tblGrid>
      <w:tr w:rsidR="001358CA" w:rsidRPr="00B434EC" w14:paraId="644743D4" w14:textId="77777777" w:rsidTr="004751AD">
        <w:trPr>
          <w:jc w:val="center"/>
        </w:trPr>
        <w:tc>
          <w:tcPr>
            <w:tcW w:w="8967" w:type="dxa"/>
          </w:tcPr>
          <w:p w14:paraId="009F526B" w14:textId="77777777" w:rsidR="001358CA" w:rsidRPr="00B434EC" w:rsidRDefault="001358CA" w:rsidP="001358CA">
            <w:pPr>
              <w:widowControl w:val="0"/>
              <w:autoSpaceDE w:val="0"/>
              <w:autoSpaceDN w:val="0"/>
              <w:spacing w:before="120" w:after="120"/>
              <w:ind w:left="720" w:hanging="720"/>
              <w:jc w:val="both"/>
              <w:rPr>
                <w:rFonts w:ascii="Arial" w:eastAsia="Aptos" w:hAnsi="Arial" w:cs="Arial"/>
                <w:kern w:val="2"/>
                <w:sz w:val="20"/>
                <w:szCs w:val="20"/>
              </w:rPr>
            </w:pPr>
            <w:r w:rsidRPr="00B434EC">
              <w:rPr>
                <w:rFonts w:ascii="Arial" w:eastAsia="Aptos" w:hAnsi="Arial" w:cs="Arial"/>
                <w:b/>
                <w:bCs/>
                <w:kern w:val="2"/>
                <w:sz w:val="20"/>
                <w:szCs w:val="20"/>
              </w:rPr>
              <w:t xml:space="preserve">6.6.2.1 </w:t>
            </w:r>
            <w:r w:rsidRPr="00B434EC">
              <w:rPr>
                <w:rFonts w:ascii="Arial" w:eastAsia="Aptos" w:hAnsi="Arial" w:cs="Arial"/>
                <w:b/>
                <w:bCs/>
                <w:kern w:val="2"/>
                <w:sz w:val="20"/>
                <w:szCs w:val="20"/>
              </w:rPr>
              <w:tab/>
              <w:t>Modeling of Large Loads within a Withdrawal-Limited Private Use Network</w:t>
            </w:r>
          </w:p>
          <w:p w14:paraId="7B2971E3" w14:textId="77777777" w:rsidR="001358CA" w:rsidRPr="00B434EC" w:rsidRDefault="001358CA" w:rsidP="001358CA">
            <w:pPr>
              <w:widowControl w:val="0"/>
              <w:autoSpaceDE w:val="0"/>
              <w:autoSpaceDN w:val="0"/>
              <w:spacing w:before="120" w:after="120"/>
              <w:ind w:left="720" w:hanging="720"/>
              <w:jc w:val="both"/>
              <w:rPr>
                <w:rFonts w:ascii="Arial" w:eastAsia="Aptos" w:hAnsi="Arial" w:cs="Arial"/>
                <w:kern w:val="2"/>
                <w:sz w:val="20"/>
                <w:szCs w:val="20"/>
              </w:rPr>
            </w:pPr>
            <w:r w:rsidRPr="00B434EC">
              <w:rPr>
                <w:rFonts w:ascii="Arial" w:eastAsia="Aptos" w:hAnsi="Arial" w:cs="Arial"/>
                <w:kern w:val="2"/>
                <w:sz w:val="20"/>
                <w:szCs w:val="20"/>
              </w:rPr>
              <w:t>(1)</w:t>
            </w:r>
            <w:r w:rsidRPr="00B434EC">
              <w:rPr>
                <w:rFonts w:ascii="Arial" w:eastAsia="Aptos" w:hAnsi="Arial" w:cs="Arial"/>
                <w:kern w:val="2"/>
                <w:sz w:val="20"/>
                <w:szCs w:val="20"/>
              </w:rPr>
              <w:tab/>
              <w:t xml:space="preserve">The Resource Entity for a generator in a Withdrawal-Limited Private Use Network (WLPUN) shall include model data for the generator and the Large Load in the WLPUN during the </w:t>
            </w:r>
            <w:r w:rsidRPr="00B434EC">
              <w:rPr>
                <w:rFonts w:ascii="Arial" w:eastAsia="Aptos" w:hAnsi="Arial" w:cs="Arial"/>
                <w:kern w:val="2"/>
                <w:sz w:val="20"/>
                <w:szCs w:val="20"/>
              </w:rPr>
              <w:lastRenderedPageBreak/>
              <w:t xml:space="preserve">Resource Registration process. The Large Load shall not be included in the Network Operations Model until the following requirements have been </w:t>
            </w:r>
            <w:proofErr w:type="gramStart"/>
            <w:r w:rsidRPr="00B434EC">
              <w:rPr>
                <w:rFonts w:ascii="Arial" w:eastAsia="Aptos" w:hAnsi="Arial" w:cs="Arial"/>
                <w:kern w:val="2"/>
                <w:sz w:val="20"/>
                <w:szCs w:val="20"/>
              </w:rPr>
              <w:t>satisfied</w:t>
            </w:r>
            <w:proofErr w:type="gramEnd"/>
            <w:r w:rsidRPr="00B434EC">
              <w:rPr>
                <w:rFonts w:ascii="Arial" w:eastAsia="Aptos" w:hAnsi="Arial" w:cs="Arial"/>
                <w:kern w:val="2"/>
                <w:sz w:val="20"/>
                <w:szCs w:val="20"/>
              </w:rPr>
              <w:t>:</w:t>
            </w:r>
          </w:p>
          <w:p w14:paraId="00031951"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kern w:val="2"/>
                <w:sz w:val="20"/>
                <w:szCs w:val="20"/>
              </w:rPr>
            </w:pPr>
            <w:r w:rsidRPr="00B434EC">
              <w:rPr>
                <w:rFonts w:ascii="Arial" w:eastAsia="Aptos" w:hAnsi="Arial" w:cs="Arial"/>
                <w:kern w:val="2"/>
                <w:sz w:val="20"/>
                <w:szCs w:val="20"/>
              </w:rPr>
              <w:t>(a)</w:t>
            </w:r>
            <w:r w:rsidRPr="00B434EC">
              <w:rPr>
                <w:rFonts w:ascii="Arial" w:eastAsia="Aptos" w:hAnsi="Arial" w:cs="Arial"/>
                <w:kern w:val="2"/>
                <w:sz w:val="20"/>
                <w:szCs w:val="20"/>
              </w:rPr>
              <w:tab/>
              <w:t>The Large Load has met the requirements for inclusion in the quarterly stability assessment as described in paragraph (5) of Section 5.3.5, ERCOT Quarterly Stability Assessment;</w:t>
            </w:r>
          </w:p>
          <w:p w14:paraId="11EEDD38"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kern w:val="2"/>
                <w:sz w:val="20"/>
                <w:szCs w:val="20"/>
              </w:rPr>
            </w:pPr>
            <w:r w:rsidRPr="00B434EC">
              <w:rPr>
                <w:rFonts w:ascii="Arial" w:eastAsia="Aptos" w:hAnsi="Arial" w:cs="Arial"/>
                <w:kern w:val="2"/>
                <w:sz w:val="20"/>
                <w:szCs w:val="20"/>
              </w:rPr>
              <w:t>(b)</w:t>
            </w:r>
            <w:r w:rsidRPr="00B434EC">
              <w:rPr>
                <w:rFonts w:ascii="Arial" w:eastAsia="Aptos" w:hAnsi="Arial" w:cs="Arial"/>
                <w:kern w:val="2"/>
                <w:sz w:val="20"/>
                <w:szCs w:val="20"/>
              </w:rPr>
              <w:tab/>
              <w:t>All applicable requirements of Section 6.9, Addition of Proposed Generation to the Planning Models, have been completed; and</w:t>
            </w:r>
          </w:p>
          <w:p w14:paraId="13A967F1" w14:textId="77777777" w:rsidR="001358CA" w:rsidRPr="00B434EC" w:rsidRDefault="001358CA" w:rsidP="001358CA">
            <w:pPr>
              <w:widowControl w:val="0"/>
              <w:autoSpaceDE w:val="0"/>
              <w:autoSpaceDN w:val="0"/>
              <w:spacing w:before="120" w:after="120"/>
              <w:ind w:left="1440" w:hanging="720"/>
              <w:jc w:val="both"/>
              <w:rPr>
                <w:rFonts w:ascii="Arial" w:eastAsia="Aptos" w:hAnsi="Arial" w:cs="Arial"/>
                <w:kern w:val="2"/>
                <w:sz w:val="20"/>
                <w:szCs w:val="20"/>
              </w:rPr>
            </w:pPr>
            <w:r w:rsidRPr="00B434EC">
              <w:rPr>
                <w:rFonts w:ascii="Arial" w:eastAsia="Aptos" w:hAnsi="Arial" w:cs="Arial"/>
                <w:kern w:val="2"/>
                <w:sz w:val="20"/>
                <w:szCs w:val="20"/>
              </w:rPr>
              <w:t>(c)</w:t>
            </w:r>
            <w:r w:rsidRPr="00B434EC">
              <w:rPr>
                <w:rFonts w:ascii="Arial" w:eastAsia="Aptos" w:hAnsi="Arial" w:cs="Arial"/>
                <w:kern w:val="2"/>
                <w:sz w:val="20"/>
                <w:szCs w:val="20"/>
              </w:rPr>
              <w:tab/>
              <w:t>The MW Withdrawal limit has been recorded in the Resource Registration data pursuant to Section 3.10.7.3.1, Withdrawal-Limited Private Use Networks.</w:t>
            </w:r>
          </w:p>
          <w:p w14:paraId="65054B7F" w14:textId="77777777" w:rsidR="001358CA" w:rsidRPr="00B434EC" w:rsidRDefault="001358CA" w:rsidP="001358CA">
            <w:pPr>
              <w:widowControl w:val="0"/>
              <w:autoSpaceDE w:val="0"/>
              <w:autoSpaceDN w:val="0"/>
              <w:spacing w:before="120" w:after="120"/>
              <w:ind w:left="720" w:hanging="720"/>
              <w:jc w:val="both"/>
              <w:rPr>
                <w:rFonts w:ascii="Arial" w:eastAsia="Aptos" w:hAnsi="Arial" w:cs="Arial"/>
                <w:kern w:val="2"/>
                <w:sz w:val="20"/>
                <w:szCs w:val="20"/>
              </w:rPr>
            </w:pPr>
            <w:r w:rsidRPr="00B434EC">
              <w:rPr>
                <w:rFonts w:ascii="Arial" w:eastAsia="Aptos" w:hAnsi="Arial" w:cs="Arial"/>
                <w:kern w:val="2"/>
                <w:sz w:val="20"/>
                <w:szCs w:val="20"/>
              </w:rPr>
              <w:t>(2)</w:t>
            </w:r>
            <w:r w:rsidRPr="00B434EC">
              <w:rPr>
                <w:rFonts w:ascii="Arial" w:eastAsia="Aptos" w:hAnsi="Arial" w:cs="Arial"/>
                <w:kern w:val="2"/>
                <w:sz w:val="20"/>
                <w:szCs w:val="20"/>
              </w:rPr>
              <w:tab/>
              <w:t>The addition of a new Large Load to an existing WLPUN,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With the new or increased Load, the MW Withdrawal at the Point of Interconnection (POI) shall not exceed the established MW Withdrawal limit</w:t>
            </w:r>
            <w:r w:rsidRPr="00B434EC">
              <w:rPr>
                <w:rFonts w:ascii="Arial" w:eastAsia="Aptos" w:hAnsi="Arial" w:cs="Arial"/>
                <w:kern w:val="2"/>
                <w:sz w:val="20"/>
                <w:szCs w:val="20"/>
                <w:u w:val="single"/>
              </w:rPr>
              <w:t>, except as otherwise permitted pursuant to § 9.6.2 for associated generation phases that have independently satisfied the applicable commissioning and operational approval requirements</w:t>
            </w:r>
            <w:r w:rsidRPr="00B434EC">
              <w:rPr>
                <w:rFonts w:ascii="Arial" w:eastAsia="Aptos" w:hAnsi="Arial" w:cs="Arial"/>
                <w:kern w:val="2"/>
                <w:sz w:val="20"/>
                <w:szCs w:val="20"/>
              </w:rPr>
              <w:t>.</w:t>
            </w:r>
          </w:p>
          <w:p w14:paraId="172E3F83" w14:textId="77777777" w:rsidR="001358CA" w:rsidRPr="00B434EC" w:rsidRDefault="001358CA" w:rsidP="001358CA">
            <w:pPr>
              <w:widowControl w:val="0"/>
              <w:autoSpaceDE w:val="0"/>
              <w:autoSpaceDN w:val="0"/>
              <w:spacing w:before="120" w:after="120"/>
              <w:ind w:left="720" w:hanging="720"/>
              <w:jc w:val="both"/>
              <w:rPr>
                <w:rFonts w:ascii="Arial" w:eastAsia="Aptos" w:hAnsi="Arial" w:cs="Arial"/>
                <w:b/>
                <w:bCs/>
                <w:i/>
                <w:kern w:val="2"/>
                <w:sz w:val="20"/>
                <w:szCs w:val="20"/>
              </w:rPr>
            </w:pPr>
            <w:r w:rsidRPr="00B434EC">
              <w:rPr>
                <w:rFonts w:ascii="Arial" w:eastAsia="Aptos" w:hAnsi="Arial" w:cs="Arial"/>
                <w:kern w:val="2"/>
                <w:sz w:val="20"/>
                <w:szCs w:val="20"/>
              </w:rPr>
              <w:t>(3)</w:t>
            </w:r>
            <w:r w:rsidRPr="00B434EC">
              <w:rPr>
                <w:rFonts w:ascii="Arial" w:eastAsia="Aptos" w:hAnsi="Arial" w:cs="Arial"/>
                <w:kern w:val="2"/>
                <w:sz w:val="20"/>
                <w:szCs w:val="20"/>
              </w:rPr>
              <w:tab/>
              <w:t>The addition of generation to an existing Withdrawal-Limited Private Use Network is subject to the generation interconnection process under Planning Guide Section 5, Generator Interconnection or Modification, and the requirements of Section 6.9, Addition of Proposed Generation to the Planning Models.</w:t>
            </w:r>
          </w:p>
        </w:tc>
      </w:tr>
    </w:tbl>
    <w:p w14:paraId="1D02018C" w14:textId="77777777" w:rsidR="001358CA" w:rsidRPr="00273680" w:rsidRDefault="001358CA" w:rsidP="004751AD">
      <w:pPr>
        <w:widowControl w:val="0"/>
        <w:autoSpaceDE w:val="0"/>
        <w:autoSpaceDN w:val="0"/>
        <w:spacing w:before="240" w:after="240"/>
        <w:ind w:left="720" w:firstLine="720"/>
        <w:jc w:val="both"/>
        <w:rPr>
          <w:rFonts w:ascii="Arial" w:eastAsia="Aptos" w:hAnsi="Arial" w:cs="Arial"/>
          <w:kern w:val="2"/>
          <w:sz w:val="22"/>
          <w:szCs w:val="22"/>
        </w:rPr>
      </w:pPr>
      <w:r w:rsidRPr="00273680">
        <w:rPr>
          <w:rFonts w:ascii="Arial" w:eastAsia="Aptos" w:hAnsi="Arial" w:cs="Arial"/>
          <w:b/>
          <w:bCs/>
          <w:kern w:val="2"/>
          <w:sz w:val="22"/>
          <w:szCs w:val="22"/>
        </w:rPr>
        <w:lastRenderedPageBreak/>
        <w:t>3.</w:t>
      </w:r>
      <w:r w:rsidRPr="00273680">
        <w:rPr>
          <w:rFonts w:ascii="Arial" w:eastAsia="Aptos" w:hAnsi="Arial" w:cs="Arial"/>
          <w:b/>
          <w:bCs/>
          <w:kern w:val="2"/>
          <w:sz w:val="22"/>
          <w:szCs w:val="22"/>
        </w:rPr>
        <w:tab/>
        <w:t>Generation Commissioning Tracking Actual Load Ramp</w:t>
      </w:r>
      <w:r w:rsidRPr="00273680">
        <w:rPr>
          <w:rFonts w:ascii="Arial" w:eastAsia="Aptos" w:hAnsi="Arial" w:cs="Arial"/>
          <w:kern w:val="2"/>
          <w:sz w:val="22"/>
          <w:szCs w:val="22"/>
        </w:rPr>
        <w:t xml:space="preserve"> </w:t>
      </w:r>
    </w:p>
    <w:p w14:paraId="7102100E"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If load ramps more slowly than expected or never reaches full allocated peak, the Interconnecting Large Load Entity (ILLE) should not be forced to commission associated generation materially </w:t>
      </w:r>
      <w:proofErr w:type="gramStart"/>
      <w:r w:rsidRPr="00273680">
        <w:rPr>
          <w:rFonts w:ascii="Arial" w:eastAsia="Aptos" w:hAnsi="Arial" w:cs="Arial"/>
          <w:kern w:val="2"/>
          <w:sz w:val="22"/>
          <w:szCs w:val="22"/>
        </w:rPr>
        <w:t>in excess of</w:t>
      </w:r>
      <w:proofErr w:type="gramEnd"/>
      <w:r w:rsidRPr="00273680">
        <w:rPr>
          <w:rFonts w:ascii="Arial" w:eastAsia="Aptos" w:hAnsi="Arial" w:cs="Arial"/>
          <w:kern w:val="2"/>
          <w:sz w:val="22"/>
          <w:szCs w:val="22"/>
        </w:rPr>
        <w:t xml:space="preserve"> the load </w:t>
      </w:r>
      <w:proofErr w:type="gramStart"/>
      <w:r w:rsidRPr="00273680">
        <w:rPr>
          <w:rFonts w:ascii="Arial" w:eastAsia="Aptos" w:hAnsi="Arial" w:cs="Arial"/>
          <w:kern w:val="2"/>
          <w:sz w:val="22"/>
          <w:szCs w:val="22"/>
        </w:rPr>
        <w:t>actually energized</w:t>
      </w:r>
      <w:proofErr w:type="gramEnd"/>
      <w:r w:rsidRPr="00273680">
        <w:rPr>
          <w:rFonts w:ascii="Arial" w:eastAsia="Aptos" w:hAnsi="Arial" w:cs="Arial"/>
          <w:kern w:val="2"/>
          <w:sz w:val="22"/>
          <w:szCs w:val="22"/>
        </w:rPr>
        <w:t xml:space="preserve"> solely to avoid the § 9.4.2(5)(b) withdrawal trigger. Where the operational relationship between commissioned generation and energized load remains consistent with the studied generation-to-load ratio and the assumptions reflected in the approved study and updated Load Commissioning Plan (LCP), generation commissioning should be permitted to track the actual load ramp without being deemed a prohibited “decrease” in associated generation under the revised proportional-adjustment framework proposed above for § 9.4.2(5)(b). In such circumstances, the applicable MW Withdrawal limit, telemetry requirements, stability-based allocation constraints, and POI-level operational protections would remain unchanged and continue to govern real-time operations</w:t>
      </w:r>
    </w:p>
    <w:p w14:paraId="772ECBC3" w14:textId="77777777" w:rsidR="001358CA" w:rsidRPr="00273680" w:rsidRDefault="001358CA" w:rsidP="004751AD">
      <w:pPr>
        <w:widowControl w:val="0"/>
        <w:autoSpaceDE w:val="0"/>
        <w:autoSpaceDN w:val="0"/>
        <w:spacing w:after="240"/>
        <w:ind w:firstLine="720"/>
        <w:jc w:val="both"/>
        <w:rPr>
          <w:rFonts w:ascii="Arial" w:eastAsia="Aptos" w:hAnsi="Arial" w:cs="Arial"/>
          <w:b/>
          <w:bCs/>
          <w:kern w:val="2"/>
          <w:sz w:val="22"/>
          <w:szCs w:val="22"/>
        </w:rPr>
      </w:pPr>
      <w:r w:rsidRPr="00273680">
        <w:rPr>
          <w:rFonts w:ascii="Arial" w:eastAsia="Aptos" w:hAnsi="Arial" w:cs="Arial"/>
          <w:b/>
          <w:bCs/>
          <w:kern w:val="2"/>
          <w:sz w:val="22"/>
          <w:szCs w:val="22"/>
        </w:rPr>
        <w:t xml:space="preserve">C. </w:t>
      </w:r>
      <w:r w:rsidRPr="00273680">
        <w:rPr>
          <w:rFonts w:ascii="Arial" w:eastAsia="Aptos" w:hAnsi="Arial" w:cs="Arial"/>
          <w:b/>
          <w:bCs/>
          <w:kern w:val="2"/>
          <w:sz w:val="22"/>
          <w:szCs w:val="22"/>
        </w:rPr>
        <w:tab/>
        <w:t>Retention of Appropriate Safeguards</w:t>
      </w:r>
    </w:p>
    <w:p w14:paraId="594C0095"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The full-withdrawal trigger should be retained for technology type changes under § 9.4.2(5)(c), where dynamic study integrity is genuinely affected. Section 9.4.2(5)(a) should remain unchanged, as failure to clear § 6.9 requirements by commitment is a separate issue warranting distinct treatment.</w:t>
      </w:r>
    </w:p>
    <w:p w14:paraId="53BF4100"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Under this framework, ERCOT  would retain the existing reliability protections embedded in the WLPUN construct. Because the MW Withdrawal limit and the stability-based cap are both calculated under generation-off conditions, proportional adjustments that preserve the studied </w:t>
      </w:r>
      <w:r w:rsidRPr="00273680">
        <w:rPr>
          <w:rFonts w:ascii="Arial" w:eastAsia="Aptos" w:hAnsi="Arial" w:cs="Arial"/>
          <w:kern w:val="2"/>
          <w:sz w:val="22"/>
          <w:szCs w:val="22"/>
        </w:rPr>
        <w:lastRenderedPageBreak/>
        <w:t xml:space="preserve">operational relationship between generation and load do not necessarily invalidate the underlying reliability analysis where the applicable operational assumptions remain </w:t>
      </w:r>
      <w:proofErr w:type="gramStart"/>
      <w:r w:rsidRPr="00273680">
        <w:rPr>
          <w:rFonts w:ascii="Arial" w:eastAsia="Aptos" w:hAnsi="Arial" w:cs="Arial"/>
          <w:kern w:val="2"/>
          <w:sz w:val="22"/>
          <w:szCs w:val="22"/>
        </w:rPr>
        <w:t>unchanged..</w:t>
      </w:r>
      <w:proofErr w:type="gramEnd"/>
      <w:r w:rsidRPr="00273680">
        <w:rPr>
          <w:rFonts w:ascii="Arial" w:eastAsia="Aptos" w:hAnsi="Arial" w:cs="Arial"/>
          <w:kern w:val="2"/>
          <w:sz w:val="22"/>
          <w:szCs w:val="22"/>
        </w:rPr>
        <w:t xml:space="preserve"> POI enforcement remains unchanged—the MW Withdrawal limit is still the binding real-time constraint. The anti-gaming intent in § 9.3.2.2(1)(d)(ii) is preserved by capping any proportional adjustment at the originally filed generation-to-load ratio. The telemetry and modeling conditions in § 9.6.2(2)(b) – (c) can be satisfied incrementally as each generation phase is commissioned—while maintaining ERCOT’s existing operational visibility and control requirements throughout the phased commissioning process.</w:t>
      </w:r>
    </w:p>
    <w:p w14:paraId="6B2D73EA" w14:textId="77777777" w:rsidR="001358CA" w:rsidRPr="00273680" w:rsidRDefault="001358CA" w:rsidP="004751AD">
      <w:pPr>
        <w:widowControl w:val="0"/>
        <w:autoSpaceDE w:val="0"/>
        <w:autoSpaceDN w:val="0"/>
        <w:spacing w:after="240"/>
        <w:ind w:left="1440" w:hanging="720"/>
        <w:jc w:val="both"/>
        <w:rPr>
          <w:rFonts w:ascii="Arial" w:eastAsia="Aptos" w:hAnsi="Arial" w:cs="Arial"/>
          <w:b/>
          <w:bCs/>
          <w:kern w:val="2"/>
          <w:sz w:val="22"/>
          <w:szCs w:val="22"/>
        </w:rPr>
      </w:pPr>
      <w:r w:rsidRPr="00273680">
        <w:rPr>
          <w:rFonts w:ascii="Arial" w:eastAsia="Aptos" w:hAnsi="Arial" w:cs="Arial"/>
          <w:b/>
          <w:bCs/>
          <w:kern w:val="2"/>
          <w:sz w:val="22"/>
          <w:szCs w:val="22"/>
        </w:rPr>
        <w:t xml:space="preserve">D. </w:t>
      </w:r>
      <w:r w:rsidRPr="00273680">
        <w:rPr>
          <w:rFonts w:ascii="Arial" w:eastAsia="Aptos" w:hAnsi="Arial" w:cs="Arial"/>
          <w:b/>
          <w:bCs/>
          <w:kern w:val="2"/>
          <w:sz w:val="22"/>
          <w:szCs w:val="22"/>
        </w:rPr>
        <w:tab/>
        <w:t>Fallback: Right-Sizing at Commitment When Stability Is the Binding Constraint</w:t>
      </w:r>
    </w:p>
    <w:p w14:paraId="49C4CCD2"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At minimum, if the broad ratio framework is not adopted, ERCOT should allow right-sizing of associated generation at the commitment stage when the stability cap—not the generation nameplate—was the binding allocation constraint. </w:t>
      </w:r>
    </w:p>
    <w:p w14:paraId="1DF27506"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Under § 9.3.2.2(1)(d)(iii), the 90% stability cap is calculated with all WLPUN generation off. If stability is the binding prong, the generation nameplate is not the operative constraint determining the awarded allocation and may therefore become oversized relative to the allocation ERCOT awards.  An ILLE that filed Form X with generation sized for what it reasonably expected to be a deliverability case—only to have ERCOT’s own study reveal that stability is the binding constraint—cannot right-size its generation without triggering full withdrawal. This outcome is inequitable:  the ILLE did not change course; rather, ERCOT’s study output may demonstrate that a lower generation amount would preserve the same awarded allocation and operational protections. Locking in oversized generation creates real cost burden to investment for no corresponding reliability benefit where the generation-nameplate cap is not the binding allocation constraint.</w:t>
      </w:r>
    </w:p>
    <w:p w14:paraId="79802DC2"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To address this concern, ERCOT should add a new subparagraph to § 9.4.2(6)—as shown above—alongside the existing election options, permitting a one-time proportional generation downsize tied to the load adjustment, made simultaneously with the Load Commissioning Plan acceptance under § 9.4.2(6). This election would be available when: (i) the § 9.3.2.2(1)(d)(iii) stability cap (or any prong other than (ii)) was the binding allocation constraint; or (ii) the ILLE elects a lower allocated MW under § 9.4.2(6)(b) (modified acceptance). The generation reduction should be capped at the same percentage as the load </w:t>
      </w:r>
      <w:proofErr w:type="gramStart"/>
      <w:r w:rsidRPr="00273680">
        <w:rPr>
          <w:rFonts w:ascii="Arial" w:eastAsia="Aptos" w:hAnsi="Arial" w:cs="Arial"/>
          <w:kern w:val="2"/>
          <w:sz w:val="22"/>
          <w:szCs w:val="22"/>
        </w:rPr>
        <w:t>reduction from</w:t>
      </w:r>
      <w:proofErr w:type="gramEnd"/>
      <w:r w:rsidRPr="00273680">
        <w:rPr>
          <w:rFonts w:ascii="Arial" w:eastAsia="Aptos" w:hAnsi="Arial" w:cs="Arial"/>
          <w:kern w:val="2"/>
          <w:sz w:val="22"/>
          <w:szCs w:val="22"/>
        </w:rPr>
        <w:t xml:space="preserve"> requested to allocated, so the generation-to-load ratio remains as originally proposed. Post-commitment, the cliff in § 9.4.2(5)(b) would continue to apply.</w:t>
      </w:r>
    </w:p>
    <w:p w14:paraId="45686FBA" w14:textId="77777777" w:rsidR="001358CA" w:rsidRPr="00273680" w:rsidRDefault="001358CA" w:rsidP="004751AD">
      <w:pPr>
        <w:widowControl w:val="0"/>
        <w:autoSpaceDE w:val="0"/>
        <w:autoSpaceDN w:val="0"/>
        <w:spacing w:before="240" w:after="240"/>
        <w:jc w:val="center"/>
        <w:rPr>
          <w:rFonts w:ascii="Arial" w:eastAsia="Aptos" w:hAnsi="Arial" w:cs="Arial"/>
          <w:b/>
          <w:bCs/>
          <w:kern w:val="2"/>
          <w:sz w:val="22"/>
          <w:szCs w:val="22"/>
        </w:rPr>
      </w:pPr>
      <w:r w:rsidRPr="00273680">
        <w:rPr>
          <w:rFonts w:ascii="Arial" w:eastAsia="Aptos" w:hAnsi="Arial" w:cs="Arial"/>
          <w:b/>
          <w:bCs/>
          <w:kern w:val="2"/>
          <w:sz w:val="22"/>
          <w:szCs w:val="22"/>
        </w:rPr>
        <w:t xml:space="preserve">IV. </w:t>
      </w:r>
      <w:r w:rsidRPr="00273680">
        <w:rPr>
          <w:rFonts w:ascii="Arial" w:eastAsia="Aptos" w:hAnsi="Arial" w:cs="Arial"/>
          <w:b/>
          <w:bCs/>
          <w:kern w:val="2"/>
          <w:sz w:val="22"/>
          <w:szCs w:val="22"/>
        </w:rPr>
        <w:tab/>
        <w:t>CONCLUSION</w:t>
      </w:r>
    </w:p>
    <w:p w14:paraId="5292FCF9"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Intersect supports ERCOT’s continued development of the Batch Zero Process and the WLPUN construct as important mechanisms for facilitating co-located generation and load configurations within the ERCOT System. However, as currently drafted, the proposal does not clearly accommodate: (i) incremental expansion of existing firm-load PUN facilities; or (ii) phased generation and load development where the operational relationship between generation and load remains consistent with the assumptions underlying the Batch Zero study results.</w:t>
      </w:r>
    </w:p>
    <w:p w14:paraId="6BFFC475"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The targeted refinements proposed herein would preserve ERCOT’s existing operational protections—including the MW Withdrawal limit, generation-off stability analysis, telemetry requirements, and POI-level operational enforcement—while clarifying how those protections apply in hybrid and phased-development configurations. In particular, the current § 9.4.2(5)(b) </w:t>
      </w:r>
      <w:r w:rsidRPr="00273680">
        <w:rPr>
          <w:rFonts w:ascii="Arial" w:eastAsia="Aptos" w:hAnsi="Arial" w:cs="Arial"/>
          <w:kern w:val="2"/>
          <w:sz w:val="22"/>
          <w:szCs w:val="22"/>
        </w:rPr>
        <w:lastRenderedPageBreak/>
        <w:t>generation-decrease cliff is unnecessarily rigid where ERCOT’s own study methodology demonstrates that the awarded allocation is constrained by generation-off reliability limits rather than the absolute generation nameplate itself. Importantly, the requested revisions are narrowly tailored and would not disturb the existing withdrawal framework for technology-type changes under § 9.4.2(5)(c) or failure to satisfy § 6.9 requirements under § 9.4.2(5)(a), both of which appropriately address distinct reliability and study-integrity concerns.</w:t>
      </w:r>
    </w:p>
    <w:p w14:paraId="4E209AD7" w14:textId="77777777" w:rsidR="001358CA" w:rsidRPr="00273680" w:rsidRDefault="001358CA" w:rsidP="004751AD">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 xml:space="preserve">Accordingly, Intersect respectfully requests that ERCOT undertake the following revisions to its May 2, </w:t>
      </w:r>
      <w:proofErr w:type="gramStart"/>
      <w:r w:rsidRPr="00273680">
        <w:rPr>
          <w:rFonts w:ascii="Arial" w:eastAsia="Aptos" w:hAnsi="Arial" w:cs="Arial"/>
          <w:kern w:val="2"/>
          <w:sz w:val="22"/>
          <w:szCs w:val="22"/>
        </w:rPr>
        <w:t>2026</w:t>
      </w:r>
      <w:proofErr w:type="gramEnd"/>
      <w:r w:rsidRPr="00273680">
        <w:rPr>
          <w:rFonts w:ascii="Arial" w:eastAsia="Aptos" w:hAnsi="Arial" w:cs="Arial"/>
          <w:kern w:val="2"/>
          <w:sz w:val="22"/>
          <w:szCs w:val="22"/>
        </w:rPr>
        <w:t xml:space="preserve"> comments:</w:t>
      </w:r>
    </w:p>
    <w:p w14:paraId="53E0F7F4" w14:textId="77777777" w:rsidR="001358CA" w:rsidRPr="00273680" w:rsidRDefault="001358CA" w:rsidP="001358CA">
      <w:pPr>
        <w:widowControl w:val="0"/>
        <w:numPr>
          <w:ilvl w:val="0"/>
          <w:numId w:val="34"/>
        </w:numPr>
        <w:autoSpaceDE w:val="0"/>
        <w:autoSpaceDN w:val="0"/>
        <w:spacing w:after="240"/>
        <w:jc w:val="both"/>
        <w:rPr>
          <w:rFonts w:ascii="Arial" w:eastAsia="Aptos" w:hAnsi="Arial" w:cs="Arial"/>
          <w:kern w:val="2"/>
          <w:sz w:val="22"/>
          <w:szCs w:val="22"/>
        </w:rPr>
      </w:pPr>
      <w:r w:rsidRPr="00273680">
        <w:rPr>
          <w:rFonts w:ascii="Arial" w:eastAsia="Aptos" w:hAnsi="Arial" w:cs="Arial"/>
          <w:b/>
          <w:bCs/>
          <w:kern w:val="2"/>
          <w:sz w:val="22"/>
          <w:szCs w:val="22"/>
          <w:u w:val="single"/>
        </w:rPr>
        <w:t>Sections 6.6.2.1 and 9.2.2.2</w:t>
      </w:r>
      <w:r w:rsidRPr="00273680">
        <w:rPr>
          <w:rFonts w:ascii="Arial" w:eastAsia="Aptos" w:hAnsi="Arial" w:cs="Arial"/>
          <w:kern w:val="2"/>
          <w:sz w:val="22"/>
          <w:szCs w:val="22"/>
        </w:rPr>
        <w:t xml:space="preserve"> should expressly accommodate incremental WLPUN treatment for expansions of existing PUNs, including hybrid configurations in which pre-existing Base Load remains outside the WLPUN construct while incremental load is designated and operated as a WLPUN;</w:t>
      </w:r>
    </w:p>
    <w:p w14:paraId="78954146" w14:textId="77777777" w:rsidR="001358CA" w:rsidRPr="00273680" w:rsidRDefault="001358CA" w:rsidP="001358CA">
      <w:pPr>
        <w:widowControl w:val="0"/>
        <w:numPr>
          <w:ilvl w:val="0"/>
          <w:numId w:val="34"/>
        </w:numPr>
        <w:autoSpaceDE w:val="0"/>
        <w:autoSpaceDN w:val="0"/>
        <w:spacing w:after="240"/>
        <w:jc w:val="both"/>
        <w:rPr>
          <w:rFonts w:ascii="Arial" w:eastAsia="Aptos" w:hAnsi="Arial" w:cs="Arial"/>
          <w:kern w:val="2"/>
          <w:sz w:val="22"/>
          <w:szCs w:val="22"/>
        </w:rPr>
      </w:pPr>
      <w:r w:rsidRPr="00273680">
        <w:rPr>
          <w:rFonts w:ascii="Arial" w:eastAsia="Aptos" w:hAnsi="Arial" w:cs="Arial"/>
          <w:b/>
          <w:bCs/>
          <w:kern w:val="2"/>
          <w:sz w:val="22"/>
          <w:szCs w:val="22"/>
          <w:u w:val="single"/>
        </w:rPr>
        <w:t>Sections 9.3.2.2 and 9.6.2</w:t>
      </w:r>
      <w:r w:rsidRPr="00273680">
        <w:rPr>
          <w:rFonts w:ascii="Arial" w:eastAsia="Aptos" w:hAnsi="Arial" w:cs="Arial"/>
          <w:kern w:val="2"/>
          <w:sz w:val="22"/>
          <w:szCs w:val="22"/>
        </w:rPr>
        <w:t xml:space="preserve"> should clarify how MW Withdrawal limits, generation-off load determinations, and POI-level operational enforcement apply where a site includes both Base Load and WLPUN-designated load behind the same POI, including confirmation that pre-existing Base Load is not </w:t>
      </w:r>
      <w:proofErr w:type="gramStart"/>
      <w:r w:rsidRPr="00273680">
        <w:rPr>
          <w:rFonts w:ascii="Arial" w:eastAsia="Aptos" w:hAnsi="Arial" w:cs="Arial"/>
          <w:kern w:val="2"/>
          <w:sz w:val="22"/>
          <w:szCs w:val="22"/>
        </w:rPr>
        <w:t>subjected</w:t>
      </w:r>
      <w:proofErr w:type="gramEnd"/>
      <w:r w:rsidRPr="00273680">
        <w:rPr>
          <w:rFonts w:ascii="Arial" w:eastAsia="Aptos" w:hAnsi="Arial" w:cs="Arial"/>
          <w:kern w:val="2"/>
          <w:sz w:val="22"/>
          <w:szCs w:val="22"/>
        </w:rPr>
        <w:t xml:space="preserve"> to incremental WLPUN withdrawal restrictions;</w:t>
      </w:r>
    </w:p>
    <w:p w14:paraId="10F62161" w14:textId="77777777" w:rsidR="001358CA" w:rsidRPr="00273680" w:rsidRDefault="001358CA" w:rsidP="001358CA">
      <w:pPr>
        <w:widowControl w:val="0"/>
        <w:numPr>
          <w:ilvl w:val="0"/>
          <w:numId w:val="34"/>
        </w:numPr>
        <w:autoSpaceDE w:val="0"/>
        <w:autoSpaceDN w:val="0"/>
        <w:spacing w:after="240"/>
        <w:jc w:val="both"/>
        <w:rPr>
          <w:rFonts w:ascii="Arial" w:eastAsia="Aptos" w:hAnsi="Arial" w:cs="Arial"/>
          <w:kern w:val="2"/>
          <w:sz w:val="22"/>
          <w:szCs w:val="22"/>
        </w:rPr>
      </w:pPr>
      <w:r w:rsidRPr="00273680">
        <w:rPr>
          <w:rFonts w:ascii="Arial" w:eastAsia="Aptos" w:hAnsi="Arial" w:cs="Arial"/>
          <w:b/>
          <w:bCs/>
          <w:kern w:val="2"/>
          <w:sz w:val="22"/>
          <w:szCs w:val="22"/>
          <w:u w:val="single"/>
        </w:rPr>
        <w:t>Section 9.4.2(5)(b)</w:t>
      </w:r>
      <w:r w:rsidRPr="00273680">
        <w:rPr>
          <w:rFonts w:ascii="Arial" w:eastAsia="Aptos" w:hAnsi="Arial" w:cs="Arial"/>
          <w:kern w:val="2"/>
          <w:sz w:val="22"/>
          <w:szCs w:val="22"/>
        </w:rPr>
        <w:t xml:space="preserve"> should permit proportional generation-to-load adjustments that preserve the operational assumptions underlying the Batch Zero study results, including continued satisfaction of the MW Withdrawal limit, stability-based allocation constraints, telemetry requirements, and other applicable operational protections;</w:t>
      </w:r>
    </w:p>
    <w:p w14:paraId="4D6B3EF5" w14:textId="77777777" w:rsidR="001358CA" w:rsidRPr="00273680" w:rsidRDefault="001358CA" w:rsidP="001358CA">
      <w:pPr>
        <w:widowControl w:val="0"/>
        <w:numPr>
          <w:ilvl w:val="0"/>
          <w:numId w:val="34"/>
        </w:numPr>
        <w:autoSpaceDE w:val="0"/>
        <w:autoSpaceDN w:val="0"/>
        <w:spacing w:after="240"/>
        <w:jc w:val="both"/>
        <w:rPr>
          <w:rFonts w:ascii="Arial" w:eastAsia="Aptos" w:hAnsi="Arial" w:cs="Arial"/>
          <w:kern w:val="2"/>
          <w:sz w:val="22"/>
          <w:szCs w:val="22"/>
        </w:rPr>
      </w:pPr>
      <w:r w:rsidRPr="00273680">
        <w:rPr>
          <w:rFonts w:ascii="Arial" w:eastAsia="Aptos" w:hAnsi="Arial" w:cs="Arial"/>
          <w:b/>
          <w:bCs/>
          <w:kern w:val="2"/>
          <w:sz w:val="22"/>
          <w:szCs w:val="22"/>
          <w:u w:val="single"/>
        </w:rPr>
        <w:t>Section 9.6.2</w:t>
      </w:r>
      <w:r w:rsidRPr="00273680">
        <w:rPr>
          <w:rFonts w:ascii="Arial" w:eastAsia="Aptos" w:hAnsi="Arial" w:cs="Arial"/>
          <w:kern w:val="2"/>
          <w:sz w:val="22"/>
          <w:szCs w:val="22"/>
        </w:rPr>
        <w:t xml:space="preserve"> should allow phased load ramp above the MW Withdrawal limit as associated generation phases independently satisfy the applicable commissioning, telemetry, modeling, and operational approval requirements under § 9.6.2(2); and</w:t>
      </w:r>
    </w:p>
    <w:p w14:paraId="265B2A1A" w14:textId="77777777" w:rsidR="001358CA" w:rsidRPr="00273680" w:rsidRDefault="001358CA" w:rsidP="001358CA">
      <w:pPr>
        <w:widowControl w:val="0"/>
        <w:numPr>
          <w:ilvl w:val="0"/>
          <w:numId w:val="34"/>
        </w:numPr>
        <w:autoSpaceDE w:val="0"/>
        <w:autoSpaceDN w:val="0"/>
        <w:spacing w:after="240"/>
        <w:jc w:val="both"/>
        <w:rPr>
          <w:rFonts w:ascii="Arial" w:eastAsia="Aptos" w:hAnsi="Arial" w:cs="Arial"/>
          <w:kern w:val="2"/>
          <w:sz w:val="22"/>
          <w:szCs w:val="22"/>
        </w:rPr>
      </w:pPr>
      <w:r w:rsidRPr="00273680">
        <w:rPr>
          <w:rFonts w:ascii="Arial" w:eastAsia="Aptos" w:hAnsi="Arial" w:cs="Arial"/>
          <w:b/>
          <w:bCs/>
          <w:kern w:val="2"/>
          <w:sz w:val="22"/>
          <w:szCs w:val="22"/>
          <w:u w:val="single"/>
        </w:rPr>
        <w:t>Section 9.4.2(6)</w:t>
      </w:r>
      <w:r w:rsidRPr="00273680">
        <w:rPr>
          <w:rFonts w:ascii="Arial" w:eastAsia="Aptos" w:hAnsi="Arial" w:cs="Arial"/>
          <w:kern w:val="2"/>
          <w:sz w:val="22"/>
          <w:szCs w:val="22"/>
        </w:rPr>
        <w:t xml:space="preserve"> should permit a limited, commitment-stage right-sizing election tied to proportional load adjustment where ERCOT’s own study results demonstrate that the generation-nameplate cap in § 9.3.2.2(</w:t>
      </w:r>
      <w:proofErr w:type="gramStart"/>
      <w:r w:rsidRPr="00273680">
        <w:rPr>
          <w:rFonts w:ascii="Arial" w:eastAsia="Aptos" w:hAnsi="Arial" w:cs="Arial"/>
          <w:kern w:val="2"/>
          <w:sz w:val="22"/>
          <w:szCs w:val="22"/>
        </w:rPr>
        <w:t>1)(d</w:t>
      </w:r>
      <w:proofErr w:type="gramEnd"/>
      <w:r w:rsidRPr="00273680">
        <w:rPr>
          <w:rFonts w:ascii="Arial" w:eastAsia="Aptos" w:hAnsi="Arial" w:cs="Arial"/>
          <w:kern w:val="2"/>
          <w:sz w:val="22"/>
          <w:szCs w:val="22"/>
        </w:rPr>
        <w:t>)(ii) is not the binding allocation constraint.</w:t>
      </w:r>
    </w:p>
    <w:p w14:paraId="126AECE8" w14:textId="77777777" w:rsidR="001358CA" w:rsidRPr="00273680" w:rsidRDefault="001358CA" w:rsidP="001358CA">
      <w:pPr>
        <w:widowControl w:val="0"/>
        <w:autoSpaceDE w:val="0"/>
        <w:autoSpaceDN w:val="0"/>
        <w:spacing w:after="240"/>
        <w:jc w:val="both"/>
        <w:rPr>
          <w:rFonts w:ascii="Arial" w:eastAsia="Aptos" w:hAnsi="Arial" w:cs="Arial"/>
          <w:kern w:val="2"/>
          <w:sz w:val="22"/>
          <w:szCs w:val="22"/>
        </w:rPr>
      </w:pPr>
      <w:r w:rsidRPr="00273680">
        <w:rPr>
          <w:rFonts w:ascii="Arial" w:eastAsia="Aptos" w:hAnsi="Arial" w:cs="Arial"/>
          <w:kern w:val="2"/>
          <w:sz w:val="22"/>
          <w:szCs w:val="22"/>
        </w:rPr>
        <w:t>These refinements would improve the administrability and real-world applicability of the WLPUN construct without undermining ERCOT’s reliability objectives or the integrity of the Batch Zero study process.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bookmarkEnd w:id="0"/>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C59B7FA" w14:textId="743F579D" w:rsidR="00B76F17" w:rsidRPr="00B76F17" w:rsidRDefault="00613709" w:rsidP="00613709">
      <w:pPr>
        <w:pStyle w:val="NormalArial"/>
        <w:spacing w:before="120" w:after="120"/>
      </w:pPr>
      <w:r>
        <w:t>None</w:t>
      </w:r>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5A2F" w14:textId="77777777" w:rsidR="006D366E" w:rsidRDefault="006D366E">
      <w:r>
        <w:separator/>
      </w:r>
    </w:p>
  </w:endnote>
  <w:endnote w:type="continuationSeparator" w:id="0">
    <w:p w14:paraId="5F0C49F9" w14:textId="77777777" w:rsidR="006D366E" w:rsidRDefault="006D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4E6CDE9"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FF1D47">
      <w:rPr>
        <w:rFonts w:ascii="Arial" w:hAnsi="Arial" w:cs="Arial"/>
        <w:sz w:val="18"/>
      </w:rPr>
      <w:t>90</w:t>
    </w:r>
    <w:r>
      <w:rPr>
        <w:rFonts w:ascii="Arial" w:hAnsi="Arial" w:cs="Arial"/>
        <w:sz w:val="18"/>
      </w:rPr>
      <w:t xml:space="preserve"> </w:t>
    </w:r>
    <w:r w:rsidR="00FF1D47">
      <w:rPr>
        <w:rFonts w:ascii="Arial" w:hAnsi="Arial" w:cs="Arial"/>
        <w:sz w:val="18"/>
      </w:rPr>
      <w:t>Intersect USA</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w:t>
    </w:r>
    <w:r w:rsidR="00FF1D47">
      <w:rPr>
        <w:rFonts w:ascii="Arial" w:hAnsi="Arial" w:cs="Arial"/>
        <w:sz w:val="18"/>
      </w:rPr>
      <w:t>512</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5F26" w14:textId="77777777" w:rsidR="006D366E" w:rsidRDefault="006D366E">
      <w:r>
        <w:separator/>
      </w:r>
    </w:p>
  </w:footnote>
  <w:footnote w:type="continuationSeparator" w:id="0">
    <w:p w14:paraId="7176434B" w14:textId="77777777" w:rsidR="006D366E" w:rsidRDefault="006D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54399C"/>
    <w:multiLevelType w:val="hybridMultilevel"/>
    <w:tmpl w:val="8A3A4B6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080019"/>
    <w:multiLevelType w:val="hybridMultilevel"/>
    <w:tmpl w:val="5F12B9A8"/>
    <w:lvl w:ilvl="0" w:tplc="36A4C22A">
      <w:start w:val="1"/>
      <w:numFmt w:val="lowerRoman"/>
      <w:lvlText w:val="(%1)"/>
      <w:lvlJc w:val="left"/>
      <w:pPr>
        <w:ind w:left="6300" w:hanging="72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685D8D"/>
    <w:multiLevelType w:val="hybridMultilevel"/>
    <w:tmpl w:val="4ECE85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9"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71F64"/>
    <w:multiLevelType w:val="hybridMultilevel"/>
    <w:tmpl w:val="EB547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56A198F"/>
    <w:multiLevelType w:val="multilevel"/>
    <w:tmpl w:val="0AC6CB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27768A"/>
    <w:multiLevelType w:val="multilevel"/>
    <w:tmpl w:val="6F626BD6"/>
    <w:lvl w:ilvl="0">
      <w:start w:val="1"/>
      <w:numFmt w:val="bullet"/>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3"/>
  </w:num>
  <w:num w:numId="3" w16cid:durableId="1465851006">
    <w:abstractNumId w:val="26"/>
  </w:num>
  <w:num w:numId="4" w16cid:durableId="2101876533">
    <w:abstractNumId w:val="1"/>
  </w:num>
  <w:num w:numId="5" w16cid:durableId="90930211">
    <w:abstractNumId w:val="19"/>
  </w:num>
  <w:num w:numId="6" w16cid:durableId="147064057">
    <w:abstractNumId w:val="19"/>
  </w:num>
  <w:num w:numId="7" w16cid:durableId="1755010341">
    <w:abstractNumId w:val="19"/>
  </w:num>
  <w:num w:numId="8" w16cid:durableId="1467819988">
    <w:abstractNumId w:val="19"/>
  </w:num>
  <w:num w:numId="9" w16cid:durableId="2243846">
    <w:abstractNumId w:val="19"/>
  </w:num>
  <w:num w:numId="10" w16cid:durableId="1707677871">
    <w:abstractNumId w:val="19"/>
  </w:num>
  <w:num w:numId="11" w16cid:durableId="1251043373">
    <w:abstractNumId w:val="19"/>
  </w:num>
  <w:num w:numId="12" w16cid:durableId="2116292320">
    <w:abstractNumId w:val="19"/>
  </w:num>
  <w:num w:numId="13" w16cid:durableId="1336956191">
    <w:abstractNumId w:val="19"/>
  </w:num>
  <w:num w:numId="14" w16cid:durableId="2090686666">
    <w:abstractNumId w:val="10"/>
  </w:num>
  <w:num w:numId="15" w16cid:durableId="437800973">
    <w:abstractNumId w:val="18"/>
  </w:num>
  <w:num w:numId="16" w16cid:durableId="700282402">
    <w:abstractNumId w:val="21"/>
  </w:num>
  <w:num w:numId="17" w16cid:durableId="1309476948">
    <w:abstractNumId w:val="22"/>
  </w:num>
  <w:num w:numId="18" w16cid:durableId="550963706">
    <w:abstractNumId w:val="11"/>
  </w:num>
  <w:num w:numId="19" w16cid:durableId="1284192548">
    <w:abstractNumId w:val="20"/>
  </w:num>
  <w:num w:numId="20" w16cid:durableId="856843399">
    <w:abstractNumId w:val="4"/>
  </w:num>
  <w:num w:numId="21" w16cid:durableId="1171601898">
    <w:abstractNumId w:val="8"/>
  </w:num>
  <w:num w:numId="22" w16cid:durableId="190920732">
    <w:abstractNumId w:val="5"/>
  </w:num>
  <w:num w:numId="23" w16cid:durableId="519398895">
    <w:abstractNumId w:val="25"/>
  </w:num>
  <w:num w:numId="24" w16cid:durableId="935097043">
    <w:abstractNumId w:val="9"/>
  </w:num>
  <w:num w:numId="25" w16cid:durableId="2064131136">
    <w:abstractNumId w:val="14"/>
  </w:num>
  <w:num w:numId="26" w16cid:durableId="1268149142">
    <w:abstractNumId w:val="12"/>
  </w:num>
  <w:num w:numId="27" w16cid:durableId="81950189">
    <w:abstractNumId w:val="7"/>
  </w:num>
  <w:num w:numId="28" w16cid:durableId="2050251956">
    <w:abstractNumId w:val="17"/>
  </w:num>
  <w:num w:numId="29" w16cid:durableId="460730629">
    <w:abstractNumId w:val="15"/>
  </w:num>
  <w:num w:numId="30" w16cid:durableId="189228275">
    <w:abstractNumId w:val="24"/>
  </w:num>
  <w:num w:numId="31" w16cid:durableId="1313365023">
    <w:abstractNumId w:val="16"/>
  </w:num>
  <w:num w:numId="32" w16cid:durableId="1488665256">
    <w:abstractNumId w:val="6"/>
  </w:num>
  <w:num w:numId="33" w16cid:durableId="2109883319">
    <w:abstractNumId w:val="2"/>
  </w:num>
  <w:num w:numId="34" w16cid:durableId="43143191">
    <w:abstractNumId w:val="13"/>
  </w:num>
  <w:num w:numId="35" w16cid:durableId="1079134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4ED1"/>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11"/>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8CA"/>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663"/>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9"/>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DAC"/>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D17"/>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6FC2"/>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3E8"/>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2C"/>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7C8"/>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0E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3F7E"/>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942"/>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1D4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ch@intersec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2.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4.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3957</Words>
  <Characters>24165</Characters>
  <Application>Microsoft Office Word</Application>
  <DocSecurity>0</DocSecurity>
  <Lines>635</Lines>
  <Paragraphs>334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27788</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Vistra 051226</cp:lastModifiedBy>
  <cp:revision>4</cp:revision>
  <cp:lastPrinted>2013-11-17T06:11:00Z</cp:lastPrinted>
  <dcterms:created xsi:type="dcterms:W3CDTF">2026-05-12T21:35:00Z</dcterms:created>
  <dcterms:modified xsi:type="dcterms:W3CDTF">2026-05-12T21:40:00Z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