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9A7551C" w:rsidR="004C29D3" w:rsidRDefault="00BA2D11">
            <w:pPr>
              <w:pStyle w:val="NormalArial"/>
            </w:pPr>
            <w:r>
              <w:t>May 6</w:t>
            </w:r>
            <w:r w:rsidR="004C29D3">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FF6605" w14:paraId="2A49A05A" w14:textId="77777777">
        <w:trPr>
          <w:trHeight w:val="350"/>
        </w:trPr>
        <w:tc>
          <w:tcPr>
            <w:tcW w:w="2880" w:type="dxa"/>
            <w:shd w:val="clear" w:color="auto" w:fill="FFFFFF"/>
            <w:vAlign w:val="center"/>
          </w:tcPr>
          <w:p w14:paraId="6CA1BDF9" w14:textId="77777777" w:rsidR="00FF6605" w:rsidRPr="00EC55B3" w:rsidRDefault="00FF6605" w:rsidP="00FF6605">
            <w:pPr>
              <w:pStyle w:val="Header"/>
            </w:pPr>
            <w:r w:rsidRPr="00EC55B3">
              <w:t>Name</w:t>
            </w:r>
          </w:p>
        </w:tc>
        <w:tc>
          <w:tcPr>
            <w:tcW w:w="7560" w:type="dxa"/>
            <w:vAlign w:val="center"/>
          </w:tcPr>
          <w:p w14:paraId="5CBCA3C1" w14:textId="77777777" w:rsidR="00FF6605" w:rsidRDefault="00FF6605" w:rsidP="00FF6605">
            <w:pPr>
              <w:pStyle w:val="NormalArial"/>
              <w:rPr>
                <w:rFonts w:cs="Arial"/>
              </w:rPr>
            </w:pPr>
            <w:r w:rsidRPr="00570A9E">
              <w:rPr>
                <w:rFonts w:cs="Arial"/>
              </w:rPr>
              <w:t>Orijit Ghoshal</w:t>
            </w:r>
            <w:r>
              <w:rPr>
                <w:rFonts w:cs="Arial"/>
              </w:rPr>
              <w:t xml:space="preserve"> (VP, Regulatory Affairs – Tract)</w:t>
            </w:r>
          </w:p>
          <w:p w14:paraId="1401F611" w14:textId="4BE30D83" w:rsidR="00FF6605" w:rsidRDefault="00FF6605" w:rsidP="00FF6605">
            <w:pPr>
              <w:pStyle w:val="NormalArial"/>
            </w:pPr>
            <w:r w:rsidRPr="00570A9E">
              <w:rPr>
                <w:rFonts w:cs="Arial"/>
              </w:rPr>
              <w:t xml:space="preserve">David </w:t>
            </w:r>
            <w:r>
              <w:rPr>
                <w:rFonts w:cs="Arial"/>
              </w:rPr>
              <w:t xml:space="preserve">L. </w:t>
            </w:r>
            <w:r w:rsidRPr="00570A9E">
              <w:rPr>
                <w:rFonts w:cs="Arial"/>
              </w:rPr>
              <w:t>Thompson</w:t>
            </w:r>
            <w:r>
              <w:rPr>
                <w:rFonts w:cs="Arial"/>
              </w:rPr>
              <w:t xml:space="preserve"> (Good Company Associates)</w:t>
            </w:r>
            <w:r w:rsidRPr="00570A9E">
              <w:rPr>
                <w:rFonts w:cs="Arial"/>
              </w:rPr>
              <w:t xml:space="preserve"> </w:t>
            </w:r>
          </w:p>
        </w:tc>
      </w:tr>
      <w:tr w:rsidR="00FF6605" w14:paraId="68280F29" w14:textId="77777777">
        <w:trPr>
          <w:trHeight w:val="350"/>
        </w:trPr>
        <w:tc>
          <w:tcPr>
            <w:tcW w:w="2880" w:type="dxa"/>
            <w:shd w:val="clear" w:color="auto" w:fill="FFFFFF"/>
            <w:vAlign w:val="center"/>
          </w:tcPr>
          <w:p w14:paraId="65995CAF" w14:textId="77777777" w:rsidR="00FF6605" w:rsidRPr="00EC55B3" w:rsidRDefault="00FF6605" w:rsidP="00FF6605">
            <w:pPr>
              <w:pStyle w:val="Header"/>
            </w:pPr>
            <w:r w:rsidRPr="00EC55B3">
              <w:t>E-mail Address</w:t>
            </w:r>
          </w:p>
        </w:tc>
        <w:tc>
          <w:tcPr>
            <w:tcW w:w="7560" w:type="dxa"/>
            <w:vAlign w:val="center"/>
          </w:tcPr>
          <w:p w14:paraId="30A2B64A" w14:textId="77777777" w:rsidR="00FF6605" w:rsidRDefault="00FF6605" w:rsidP="00FF6605">
            <w:pPr>
              <w:pStyle w:val="NormalArial"/>
              <w:rPr>
                <w:rFonts w:cs="Arial"/>
              </w:rPr>
            </w:pPr>
            <w:hyperlink r:id="rId12" w:history="1">
              <w:r w:rsidRPr="00DD38B3">
                <w:rPr>
                  <w:rStyle w:val="Hyperlink"/>
                  <w:rFonts w:cs="Arial"/>
                </w:rPr>
                <w:t>orijit.ghoshal@tract.com</w:t>
              </w:r>
            </w:hyperlink>
          </w:p>
          <w:p w14:paraId="4785840F" w14:textId="6D38092D" w:rsidR="00FF6605" w:rsidRDefault="00FF6605" w:rsidP="00FF6605">
            <w:pPr>
              <w:pStyle w:val="NormalArial"/>
            </w:pPr>
            <w:hyperlink r:id="rId13" w:history="1">
              <w:r w:rsidRPr="00DD38B3">
                <w:rPr>
                  <w:rStyle w:val="Hyperlink"/>
                  <w:rFonts w:cs="Arial"/>
                </w:rPr>
                <w:t>dthompson@goodcompanyassociates.com</w:t>
              </w:r>
            </w:hyperlink>
            <w:r w:rsidRPr="00570A9E">
              <w:rPr>
                <w:rFonts w:cs="Arial"/>
              </w:rPr>
              <w:t xml:space="preserve">, </w:t>
            </w:r>
          </w:p>
        </w:tc>
      </w:tr>
      <w:tr w:rsidR="00FF6605" w14:paraId="67C9231D" w14:textId="77777777">
        <w:trPr>
          <w:trHeight w:val="350"/>
        </w:trPr>
        <w:tc>
          <w:tcPr>
            <w:tcW w:w="2880" w:type="dxa"/>
            <w:shd w:val="clear" w:color="auto" w:fill="FFFFFF"/>
            <w:vAlign w:val="center"/>
          </w:tcPr>
          <w:p w14:paraId="63DA7E52" w14:textId="77777777" w:rsidR="00FF6605" w:rsidRPr="00EC55B3" w:rsidRDefault="00FF6605" w:rsidP="00FF6605">
            <w:pPr>
              <w:pStyle w:val="Header"/>
            </w:pPr>
            <w:r w:rsidRPr="00EC55B3">
              <w:t>Company</w:t>
            </w:r>
          </w:p>
        </w:tc>
        <w:tc>
          <w:tcPr>
            <w:tcW w:w="7560" w:type="dxa"/>
            <w:vAlign w:val="center"/>
          </w:tcPr>
          <w:p w14:paraId="32631538" w14:textId="77777777" w:rsidR="00FF6605" w:rsidRDefault="00FF6605" w:rsidP="00FF6605">
            <w:pPr>
              <w:pStyle w:val="NormalArial"/>
              <w:rPr>
                <w:rFonts w:cs="Arial"/>
              </w:rPr>
            </w:pPr>
            <w:r w:rsidRPr="00570A9E">
              <w:rPr>
                <w:rFonts w:cs="Arial"/>
              </w:rPr>
              <w:t>Tract</w:t>
            </w:r>
            <w:r>
              <w:rPr>
                <w:rFonts w:cs="Arial"/>
              </w:rPr>
              <w:t xml:space="preserve"> Holding Company I, LLC</w:t>
            </w:r>
          </w:p>
          <w:p w14:paraId="502CF53E" w14:textId="1E31DE36" w:rsidR="00FF6605" w:rsidRDefault="00FF6605" w:rsidP="00FF6605">
            <w:pPr>
              <w:pStyle w:val="NormalArial"/>
            </w:pPr>
            <w:r w:rsidRPr="00570A9E">
              <w:rPr>
                <w:rFonts w:cs="Arial"/>
              </w:rPr>
              <w:t>Good Company Associates</w:t>
            </w:r>
          </w:p>
        </w:tc>
      </w:tr>
      <w:tr w:rsidR="00FF6605" w14:paraId="47013855" w14:textId="77777777">
        <w:trPr>
          <w:trHeight w:val="350"/>
        </w:trPr>
        <w:tc>
          <w:tcPr>
            <w:tcW w:w="2880" w:type="dxa"/>
            <w:tcBorders>
              <w:bottom w:val="single" w:sz="4" w:space="0" w:color="auto"/>
            </w:tcBorders>
            <w:shd w:val="clear" w:color="auto" w:fill="FFFFFF"/>
            <w:vAlign w:val="center"/>
          </w:tcPr>
          <w:p w14:paraId="2A54F657" w14:textId="77777777" w:rsidR="00FF6605" w:rsidRPr="00EC55B3" w:rsidRDefault="00FF6605" w:rsidP="00FF6605">
            <w:pPr>
              <w:pStyle w:val="Header"/>
            </w:pPr>
            <w:r w:rsidRPr="00EC55B3">
              <w:t>Phone Number</w:t>
            </w:r>
          </w:p>
        </w:tc>
        <w:tc>
          <w:tcPr>
            <w:tcW w:w="7560" w:type="dxa"/>
            <w:tcBorders>
              <w:bottom w:val="single" w:sz="4" w:space="0" w:color="auto"/>
            </w:tcBorders>
            <w:vAlign w:val="center"/>
          </w:tcPr>
          <w:p w14:paraId="32401B33" w14:textId="77777777" w:rsidR="00FF6605" w:rsidRDefault="00FF6605" w:rsidP="00FF6605">
            <w:pPr>
              <w:pStyle w:val="NormalArial"/>
              <w:rPr>
                <w:rFonts w:cs="Arial"/>
              </w:rPr>
            </w:pPr>
            <w:r w:rsidRPr="00570A9E">
              <w:rPr>
                <w:rFonts w:cs="Arial"/>
              </w:rPr>
              <w:t>303-276-7950</w:t>
            </w:r>
            <w:r>
              <w:rPr>
                <w:rFonts w:cs="Arial"/>
              </w:rPr>
              <w:t xml:space="preserve"> (Orijit Ghoshal)</w:t>
            </w:r>
          </w:p>
          <w:p w14:paraId="187B232D" w14:textId="60603CE1" w:rsidR="00FF6605" w:rsidRDefault="00FF6605" w:rsidP="00FF6605">
            <w:pPr>
              <w:pStyle w:val="NormalArial"/>
            </w:pPr>
            <w:r w:rsidRPr="00570A9E">
              <w:rPr>
                <w:rFonts w:cs="Arial"/>
              </w:rPr>
              <w:t>512</w:t>
            </w:r>
            <w:r>
              <w:rPr>
                <w:rFonts w:cs="Arial"/>
              </w:rPr>
              <w:t>-</w:t>
            </w:r>
            <w:r w:rsidRPr="00570A9E">
              <w:rPr>
                <w:rFonts w:cs="Arial"/>
              </w:rPr>
              <w:t>413</w:t>
            </w:r>
            <w:r>
              <w:rPr>
                <w:rFonts w:cs="Arial"/>
              </w:rPr>
              <w:t>-</w:t>
            </w:r>
            <w:r w:rsidRPr="00570A9E">
              <w:rPr>
                <w:rFonts w:cs="Arial"/>
              </w:rPr>
              <w:t>4299</w:t>
            </w:r>
            <w:r>
              <w:rPr>
                <w:rFonts w:cs="Arial"/>
              </w:rPr>
              <w:t xml:space="preserve"> (David L. Thompson)</w:t>
            </w:r>
          </w:p>
        </w:tc>
      </w:tr>
      <w:tr w:rsidR="00FF6605" w14:paraId="55B5B9B1" w14:textId="77777777">
        <w:trPr>
          <w:trHeight w:val="350"/>
        </w:trPr>
        <w:tc>
          <w:tcPr>
            <w:tcW w:w="2880" w:type="dxa"/>
            <w:shd w:val="clear" w:color="auto" w:fill="FFFFFF"/>
            <w:vAlign w:val="center"/>
          </w:tcPr>
          <w:p w14:paraId="14DAFD8F" w14:textId="77777777" w:rsidR="00FF6605" w:rsidRPr="00EC55B3" w:rsidRDefault="00FF6605" w:rsidP="00FF6605">
            <w:pPr>
              <w:pStyle w:val="Header"/>
            </w:pPr>
            <w:r>
              <w:t>Cell</w:t>
            </w:r>
            <w:r w:rsidRPr="00EC55B3">
              <w:t xml:space="preserve"> Number</w:t>
            </w:r>
          </w:p>
        </w:tc>
        <w:tc>
          <w:tcPr>
            <w:tcW w:w="7560" w:type="dxa"/>
            <w:vAlign w:val="center"/>
          </w:tcPr>
          <w:p w14:paraId="303E00E9" w14:textId="670C7D45" w:rsidR="00FF6605" w:rsidRDefault="00FF6605" w:rsidP="00FF6605">
            <w:pPr>
              <w:pStyle w:val="NormalArial"/>
            </w:pPr>
            <w:r w:rsidRPr="00570A9E">
              <w:rPr>
                <w:rFonts w:cs="Arial"/>
              </w:rPr>
              <w:t>406-202-4519</w:t>
            </w:r>
            <w:r>
              <w:rPr>
                <w:rFonts w:cs="Arial"/>
              </w:rPr>
              <w:t xml:space="preserve"> (Orijit Ghoshal)</w:t>
            </w:r>
          </w:p>
        </w:tc>
      </w:tr>
      <w:tr w:rsidR="00FF6605" w14:paraId="6B81D4D2" w14:textId="77777777">
        <w:trPr>
          <w:trHeight w:val="350"/>
        </w:trPr>
        <w:tc>
          <w:tcPr>
            <w:tcW w:w="2880" w:type="dxa"/>
            <w:tcBorders>
              <w:bottom w:val="single" w:sz="4" w:space="0" w:color="auto"/>
            </w:tcBorders>
            <w:shd w:val="clear" w:color="auto" w:fill="FFFFFF"/>
            <w:vAlign w:val="center"/>
          </w:tcPr>
          <w:p w14:paraId="37A1AD58" w14:textId="77777777" w:rsidR="00FF6605" w:rsidRPr="00EC55B3" w:rsidDel="00075A94" w:rsidRDefault="00FF6605" w:rsidP="00FF6605">
            <w:pPr>
              <w:pStyle w:val="Header"/>
            </w:pPr>
            <w:r>
              <w:t>Market Segment</w:t>
            </w:r>
          </w:p>
        </w:tc>
        <w:tc>
          <w:tcPr>
            <w:tcW w:w="7560" w:type="dxa"/>
            <w:tcBorders>
              <w:bottom w:val="single" w:sz="4" w:space="0" w:color="auto"/>
            </w:tcBorders>
            <w:vAlign w:val="center"/>
          </w:tcPr>
          <w:p w14:paraId="5083CDFA" w14:textId="4B6541D4" w:rsidR="00FF6605" w:rsidRDefault="00FF6605" w:rsidP="00FF6605">
            <w:pPr>
              <w:pStyle w:val="NormalArial"/>
            </w:pPr>
            <w:r w:rsidRPr="00570A9E">
              <w:rPr>
                <w:rFonts w:cs="Arial"/>
              </w:rPr>
              <w:t>Not applicable</w:t>
            </w:r>
          </w:p>
        </w:tc>
      </w:tr>
    </w:tbl>
    <w:p w14:paraId="1E1C572F" w14:textId="77777777" w:rsidR="00FF6605" w:rsidRDefault="00FF6605"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1754C49D" w14:textId="77777777" w:rsidR="00FF6605" w:rsidRPr="00FF6605" w:rsidRDefault="00FF6605" w:rsidP="00FF6605">
      <w:pPr>
        <w:rPr>
          <w:rFonts w:ascii="Arial" w:hAnsi="Arial" w:cs="Arial"/>
        </w:rPr>
      </w:pPr>
    </w:p>
    <w:p w14:paraId="2A077242" w14:textId="77777777" w:rsidR="00FF6605" w:rsidRPr="00FF6605" w:rsidRDefault="00FF6605" w:rsidP="00FF6605">
      <w:pPr>
        <w:rPr>
          <w:rFonts w:ascii="Arial" w:hAnsi="Arial" w:cs="Arial"/>
        </w:rPr>
      </w:pPr>
      <w:r w:rsidRPr="00FF6605">
        <w:rPr>
          <w:rFonts w:ascii="Arial" w:hAnsi="Arial" w:cs="Arial"/>
        </w:rPr>
        <w:t xml:space="preserve">Tract Holding Company I, LLC, through its affiliates (collectively, “Tract”), acquires and develops land with a focus on master planning data center technology parks. Tract is developing several such projects in Texas and has four across three TSPs that have completed or are in advanced stages of the ERCOT LLIS and RPG processes.  </w:t>
      </w:r>
    </w:p>
    <w:p w14:paraId="7AB722CB" w14:textId="77777777" w:rsidR="00FF6605" w:rsidRPr="00FF6605" w:rsidRDefault="00FF6605" w:rsidP="00FF6605">
      <w:pPr>
        <w:rPr>
          <w:rFonts w:ascii="Arial" w:hAnsi="Arial" w:cs="Arial"/>
        </w:rPr>
      </w:pPr>
    </w:p>
    <w:p w14:paraId="2C59B7FA" w14:textId="219137F3" w:rsidR="00B76F17" w:rsidRDefault="00FF6605" w:rsidP="00BA2D11">
      <w:pPr>
        <w:rPr>
          <w:rFonts w:ascii="Arial" w:hAnsi="Arial" w:cs="Arial"/>
        </w:rPr>
      </w:pPr>
      <w:r w:rsidRPr="00FF6605">
        <w:rPr>
          <w:rFonts w:ascii="Arial" w:hAnsi="Arial" w:cs="Arial"/>
        </w:rPr>
        <w:t xml:space="preserve">We appreciate the efforts from ERCOT and stakeholders to meet the goals of the proposed Batch Zero Process for Large Load Interconnections (“Batch Zero Process”) in an expedited manner. </w:t>
      </w:r>
      <w:r w:rsidR="00E00034">
        <w:rPr>
          <w:rFonts w:ascii="Arial" w:hAnsi="Arial" w:cs="Arial"/>
        </w:rPr>
        <w:t>We are posting the</w:t>
      </w:r>
      <w:r w:rsidR="00321C4C">
        <w:rPr>
          <w:rFonts w:ascii="Arial" w:hAnsi="Arial" w:cs="Arial"/>
        </w:rPr>
        <w:t xml:space="preserve"> Tract</w:t>
      </w:r>
      <w:r w:rsidR="00E00034">
        <w:rPr>
          <w:rFonts w:ascii="Arial" w:hAnsi="Arial" w:cs="Arial"/>
        </w:rPr>
        <w:t xml:space="preserve"> comments posted to PUCT Project </w:t>
      </w:r>
      <w:r w:rsidR="00E376A7">
        <w:rPr>
          <w:rFonts w:ascii="Arial" w:hAnsi="Arial" w:cs="Arial"/>
        </w:rPr>
        <w:t xml:space="preserve">59142 on </w:t>
      </w:r>
      <w:r w:rsidR="00321C4C">
        <w:rPr>
          <w:rFonts w:ascii="Arial" w:hAnsi="Arial" w:cs="Arial"/>
        </w:rPr>
        <w:t xml:space="preserve">5/4/2026 here to facilitate </w:t>
      </w:r>
      <w:r w:rsidR="00520B34">
        <w:rPr>
          <w:rFonts w:ascii="Arial" w:hAnsi="Arial" w:cs="Arial"/>
        </w:rPr>
        <w:t xml:space="preserve">and ease the inclusion of these vital topics in the discussions in the ERCOT stakeholder process. </w:t>
      </w:r>
    </w:p>
    <w:p w14:paraId="5172236A" w14:textId="77777777" w:rsidR="00F25137" w:rsidRDefault="00F25137" w:rsidP="00D756C3">
      <w:pPr>
        <w:rPr>
          <w:rFonts w:ascii="Arial" w:hAnsi="Arial" w:cs="Arial"/>
        </w:rPr>
      </w:pPr>
    </w:p>
    <w:p w14:paraId="1E65E6B3" w14:textId="05C631CF" w:rsidR="00F25137" w:rsidRPr="00D756C3" w:rsidRDefault="00F25137" w:rsidP="00D756C3">
      <w:pPr>
        <w:pStyle w:val="ListParagraph"/>
        <w:numPr>
          <w:ilvl w:val="0"/>
          <w:numId w:val="31"/>
        </w:numPr>
        <w:spacing w:before="240" w:after="5"/>
        <w:rPr>
          <w:rFonts w:ascii="Arial" w:hAnsi="Arial" w:cs="Arial"/>
          <w:b/>
          <w:bCs/>
        </w:rPr>
      </w:pPr>
      <w:r w:rsidRPr="00520B34">
        <w:rPr>
          <w:rFonts w:ascii="Arial" w:hAnsi="Arial" w:cs="Arial"/>
          <w:b/>
          <w:bCs/>
        </w:rPr>
        <w:t>Contract for End User</w:t>
      </w:r>
    </w:p>
    <w:p w14:paraId="46502BF5" w14:textId="77777777" w:rsidR="00F25137" w:rsidRPr="00520B34" w:rsidRDefault="00F25137" w:rsidP="00D756C3">
      <w:pPr>
        <w:pStyle w:val="ListParagraph"/>
        <w:spacing w:after="170"/>
        <w:ind w:left="9" w:right="4"/>
        <w:jc w:val="both"/>
        <w:rPr>
          <w:rFonts w:ascii="Arial" w:hAnsi="Arial" w:cs="Arial"/>
        </w:rPr>
      </w:pPr>
      <w:r w:rsidRPr="00520B34">
        <w:rPr>
          <w:rFonts w:ascii="Arial" w:hAnsi="Arial" w:cs="Arial"/>
        </w:rPr>
        <w:t>ERCOT should not require an Interconnecting Large Load Entity (“ILLE”) to have a contract with an end user for a large load request to qualify for Batch Zero Base. This proposed requirement is not objectively verifiable, is ineffective, and is unnecessary to demonstrate that a project is ready to proceed.</w:t>
      </w:r>
    </w:p>
    <w:p w14:paraId="0CB3220F" w14:textId="77777777" w:rsidR="00F25137" w:rsidRPr="00520B34" w:rsidRDefault="00F25137" w:rsidP="00D756C3">
      <w:pPr>
        <w:pStyle w:val="ListParagraph"/>
        <w:spacing w:after="170"/>
        <w:ind w:left="9" w:right="4"/>
        <w:jc w:val="both"/>
        <w:rPr>
          <w:rFonts w:ascii="Arial" w:hAnsi="Arial" w:cs="Arial"/>
        </w:rPr>
      </w:pPr>
    </w:p>
    <w:p w14:paraId="4F2E5AF0" w14:textId="77777777" w:rsidR="00F25137" w:rsidRPr="00520B34" w:rsidRDefault="00F25137" w:rsidP="00D756C3">
      <w:pPr>
        <w:pStyle w:val="ListParagraph"/>
        <w:spacing w:after="170"/>
        <w:ind w:left="9" w:right="4"/>
        <w:jc w:val="both"/>
        <w:rPr>
          <w:rFonts w:ascii="Arial" w:hAnsi="Arial" w:cs="Arial"/>
        </w:rPr>
      </w:pPr>
      <w:r w:rsidRPr="00520B34">
        <w:rPr>
          <w:rFonts w:ascii="Arial" w:hAnsi="Arial" w:cs="Arial"/>
        </w:rPr>
        <w:t>Instead, ERCOT should adopt Tract’s proposal from its April 16</w:t>
      </w:r>
      <w:r w:rsidRPr="00520B34">
        <w:rPr>
          <w:rFonts w:ascii="Arial" w:hAnsi="Arial" w:cs="Arial"/>
          <w:vertAlign w:val="superscript"/>
        </w:rPr>
        <w:t>th</w:t>
      </w:r>
      <w:r w:rsidRPr="00520B34">
        <w:rPr>
          <w:rFonts w:ascii="Arial" w:hAnsi="Arial" w:cs="Arial"/>
        </w:rPr>
        <w:t xml:space="preserve"> comments, which would require stricter site control and local approvals for a large load to qualify for Batch Zero Base. These requirements reflect the legal prerequisites necessary for a load request to energize and ensure meaningful local review, without involving ERCOT or the PUCT in local land</w:t>
      </w:r>
      <w:r w:rsidRPr="00520B34">
        <w:rPr>
          <w:rFonts w:ascii="Cambria Math" w:hAnsi="Cambria Math" w:cs="Cambria Math"/>
        </w:rPr>
        <w:t>‑</w:t>
      </w:r>
      <w:r w:rsidRPr="00520B34">
        <w:rPr>
          <w:rFonts w:ascii="Arial" w:hAnsi="Arial" w:cs="Arial"/>
        </w:rPr>
        <w:t>use or permitting decisions.</w:t>
      </w:r>
    </w:p>
    <w:p w14:paraId="40637996" w14:textId="77777777" w:rsidR="00F25137" w:rsidRPr="00520B34" w:rsidRDefault="00F25137" w:rsidP="00D756C3">
      <w:pPr>
        <w:pStyle w:val="ListParagraph"/>
        <w:spacing w:after="170"/>
        <w:ind w:left="9" w:right="4"/>
        <w:jc w:val="both"/>
        <w:rPr>
          <w:rFonts w:ascii="Arial" w:hAnsi="Arial" w:cs="Arial"/>
        </w:rPr>
      </w:pPr>
    </w:p>
    <w:p w14:paraId="433C4583" w14:textId="77777777" w:rsidR="00F25137" w:rsidRPr="00520B34" w:rsidRDefault="00F25137" w:rsidP="002542F8">
      <w:pPr>
        <w:pStyle w:val="ListParagraph"/>
        <w:numPr>
          <w:ilvl w:val="0"/>
          <w:numId w:val="32"/>
        </w:numPr>
        <w:ind w:right="4"/>
        <w:jc w:val="both"/>
        <w:rPr>
          <w:rFonts w:ascii="Arial" w:hAnsi="Arial" w:cs="Arial"/>
          <w:b/>
          <w:bCs/>
        </w:rPr>
      </w:pPr>
      <w:r w:rsidRPr="00520B34">
        <w:rPr>
          <w:rFonts w:ascii="Arial" w:hAnsi="Arial" w:cs="Arial"/>
          <w:b/>
          <w:bCs/>
        </w:rPr>
        <w:lastRenderedPageBreak/>
        <w:t>The proposed requirement to have a contract with an end-user is not objectively verifiable</w:t>
      </w:r>
    </w:p>
    <w:p w14:paraId="7A437A25" w14:textId="77777777" w:rsidR="00F25137" w:rsidRPr="00520B34" w:rsidRDefault="00F25137" w:rsidP="002542F8">
      <w:pPr>
        <w:ind w:left="360" w:firstLine="360"/>
        <w:rPr>
          <w:rFonts w:ascii="Arial" w:hAnsi="Arial" w:cs="Arial"/>
        </w:rPr>
      </w:pPr>
      <w:r w:rsidRPr="00520B34">
        <w:rPr>
          <w:rFonts w:ascii="Arial" w:hAnsi="Arial" w:cs="Arial"/>
        </w:rPr>
        <w:t xml:space="preserve">Tract opposes the requirement to attest that it is the end-use customer or has signed a contract with an end-use customer for inclusion in Batch Zero Base because this attestation is not objectively verifiable as it lacks sufficient details to ensure the end-use agreement is enforceable. Moreover, as proposed, this requirement could be met with a nominal contract for less than the full contracted peak demand, incentivizing token compliance rather than demonstrating project maturity. </w:t>
      </w:r>
    </w:p>
    <w:p w14:paraId="09B1C931" w14:textId="77777777" w:rsidR="00F25137" w:rsidRPr="00520B34" w:rsidRDefault="00F25137" w:rsidP="00D756C3">
      <w:pPr>
        <w:ind w:left="360" w:firstLine="360"/>
        <w:rPr>
          <w:rFonts w:ascii="Arial" w:hAnsi="Arial" w:cs="Arial"/>
        </w:rPr>
      </w:pPr>
      <w:r w:rsidRPr="00520B34">
        <w:rPr>
          <w:rFonts w:ascii="Arial" w:hAnsi="Arial" w:cs="Arial"/>
        </w:rPr>
        <w:t xml:space="preserve">There is a wide range of business models covering a spectrum of industries that qualify as large loads in ERCOT. Requiring all ILLE to attest that it is either a developer or an end-use customer is incomplete at best and discriminatory at worst. There could be end-users who plan or pivot to renting out some or </w:t>
      </w:r>
      <w:proofErr w:type="gramStart"/>
      <w:r w:rsidRPr="00520B34">
        <w:rPr>
          <w:rFonts w:ascii="Arial" w:hAnsi="Arial" w:cs="Arial"/>
        </w:rPr>
        <w:t>all of</w:t>
      </w:r>
      <w:proofErr w:type="gramEnd"/>
      <w:r w:rsidRPr="00520B34">
        <w:rPr>
          <w:rFonts w:ascii="Arial" w:hAnsi="Arial" w:cs="Arial"/>
        </w:rPr>
        <w:t xml:space="preserve"> their load capacity or there could be developers who transition to consuming the load themselves. Individual ILLEs may also have mixed business models, where even at one load request the ILLE could be the end-user as well as a developer for the end-use by others. By making </w:t>
      </w:r>
      <w:proofErr w:type="gramStart"/>
      <w:r w:rsidRPr="00520B34">
        <w:rPr>
          <w:rFonts w:ascii="Arial" w:hAnsi="Arial" w:cs="Arial"/>
        </w:rPr>
        <w:t>the</w:t>
      </w:r>
      <w:proofErr w:type="gramEnd"/>
      <w:r w:rsidRPr="00520B34">
        <w:rPr>
          <w:rFonts w:ascii="Arial" w:hAnsi="Arial" w:cs="Arial"/>
        </w:rPr>
        <w:t xml:space="preserve"> arbitrary distinction between development and end-use, the proposal would require ILLEs to make premature warranties that do not meet the intent of ERCOT’s proposal.</w:t>
      </w:r>
    </w:p>
    <w:p w14:paraId="04801813" w14:textId="77777777" w:rsidR="00F25137" w:rsidRPr="00520B34" w:rsidRDefault="00F25137" w:rsidP="00D756C3">
      <w:pPr>
        <w:ind w:left="360" w:firstLine="360"/>
        <w:rPr>
          <w:rFonts w:ascii="Arial" w:hAnsi="Arial" w:cs="Arial"/>
        </w:rPr>
      </w:pPr>
      <w:r w:rsidRPr="00520B34">
        <w:rPr>
          <w:rFonts w:ascii="Arial" w:hAnsi="Arial" w:cs="Arial"/>
        </w:rPr>
        <w:t xml:space="preserve">Because it is incomplete and not objectively verifiable, this proposed requirement could encourage unscrupulous business practices. These could include creating token agreements solely to comply with this requirement, which contain several methods for either party to cancel or terminate the contract. This type of gamesmanship is not rationally related to whether any </w:t>
      </w:r>
      <w:proofErr w:type="gramStart"/>
      <w:r w:rsidRPr="00520B34">
        <w:rPr>
          <w:rFonts w:ascii="Arial" w:hAnsi="Arial" w:cs="Arial"/>
        </w:rPr>
        <w:t>particular ILLE’s</w:t>
      </w:r>
      <w:proofErr w:type="gramEnd"/>
      <w:r w:rsidRPr="00520B34">
        <w:rPr>
          <w:rFonts w:ascii="Arial" w:hAnsi="Arial" w:cs="Arial"/>
        </w:rPr>
        <w:t xml:space="preserve"> large load request is “real,” “ready,” or otherwise more likely to become operational than another.</w:t>
      </w:r>
    </w:p>
    <w:p w14:paraId="41283804" w14:textId="77777777" w:rsidR="00F25137" w:rsidRPr="00520B34" w:rsidRDefault="00F25137" w:rsidP="00D756C3">
      <w:pPr>
        <w:ind w:left="360" w:firstLine="360"/>
        <w:rPr>
          <w:rFonts w:ascii="Arial" w:hAnsi="Arial" w:cs="Arial"/>
        </w:rPr>
      </w:pPr>
      <w:r w:rsidRPr="00520B34">
        <w:rPr>
          <w:rFonts w:ascii="Arial" w:hAnsi="Arial" w:cs="Arial"/>
        </w:rPr>
        <w:t xml:space="preserve">Similarly, ILLEs could bring contracts with affiliates, or other related parties to validly attest to having a signed contract with an end-use customer. As in above, these contracts could be easily terminated without financial </w:t>
      </w:r>
      <w:proofErr w:type="gramStart"/>
      <w:r w:rsidRPr="00520B34">
        <w:rPr>
          <w:rFonts w:ascii="Arial" w:hAnsi="Arial" w:cs="Arial"/>
        </w:rPr>
        <w:t>penalty</w:t>
      </w:r>
      <w:proofErr w:type="gramEnd"/>
      <w:r w:rsidRPr="00520B34">
        <w:rPr>
          <w:rFonts w:ascii="Arial" w:hAnsi="Arial" w:cs="Arial"/>
        </w:rPr>
        <w:t>.  These agreements also cannot be independently verified by ERCOT or the PUCT with the counterparty. There is no mechanism by which ERCOT could determine whether an ILLE is, in fact, an “end-use customer.” Therefore, requiring such attestation to obtain an interconnection agreement or be included in Batch Zero Base will not be an effective way to decipher real and ready projects from those that are neither.</w:t>
      </w:r>
    </w:p>
    <w:p w14:paraId="3EF9C440" w14:textId="77777777" w:rsidR="00F25137" w:rsidRDefault="00F25137" w:rsidP="00D756C3">
      <w:pPr>
        <w:ind w:left="360" w:firstLine="360"/>
        <w:rPr>
          <w:rFonts w:ascii="Arial" w:hAnsi="Arial" w:cs="Arial"/>
        </w:rPr>
      </w:pPr>
      <w:r w:rsidRPr="00520B34">
        <w:rPr>
          <w:rFonts w:ascii="Arial" w:hAnsi="Arial" w:cs="Arial"/>
        </w:rPr>
        <w:t xml:space="preserve">In addition, despite every effort by the large load </w:t>
      </w:r>
      <w:proofErr w:type="gramStart"/>
      <w:r w:rsidRPr="00520B34">
        <w:rPr>
          <w:rFonts w:ascii="Arial" w:hAnsi="Arial" w:cs="Arial"/>
        </w:rPr>
        <w:t>customer</w:t>
      </w:r>
      <w:proofErr w:type="gramEnd"/>
      <w:r w:rsidRPr="00520B34">
        <w:rPr>
          <w:rFonts w:ascii="Arial" w:hAnsi="Arial" w:cs="Arial"/>
        </w:rPr>
        <w:t xml:space="preserve"> to obtain such a contract, the introduction of ERCOT’s PGRR 145 and the Commission’s proposed rules in Project No. 58481 have introduced regulatory uncertainty into the marketplace. Regardless of the source of that uncertainty, tenants have expressed a desire for certainty regarding where a large load request will land under these new rules before </w:t>
      </w:r>
      <w:proofErr w:type="gramStart"/>
      <w:r w:rsidRPr="00520B34">
        <w:rPr>
          <w:rFonts w:ascii="Arial" w:hAnsi="Arial" w:cs="Arial"/>
        </w:rPr>
        <w:t>entering into</w:t>
      </w:r>
      <w:proofErr w:type="gramEnd"/>
      <w:r w:rsidRPr="00520B34">
        <w:rPr>
          <w:rFonts w:ascii="Arial" w:hAnsi="Arial" w:cs="Arial"/>
        </w:rPr>
        <w:t xml:space="preserve"> a contract, precluding the ability of some large load requests, that have otherwise met all existing requirements, from </w:t>
      </w:r>
      <w:proofErr w:type="gramStart"/>
      <w:r w:rsidRPr="00520B34">
        <w:rPr>
          <w:rFonts w:ascii="Arial" w:hAnsi="Arial" w:cs="Arial"/>
        </w:rPr>
        <w:t>entering into</w:t>
      </w:r>
      <w:proofErr w:type="gramEnd"/>
      <w:r w:rsidRPr="00520B34">
        <w:rPr>
          <w:rFonts w:ascii="Arial" w:hAnsi="Arial" w:cs="Arial"/>
        </w:rPr>
        <w:t xml:space="preserve"> contracts with tenants.</w:t>
      </w:r>
    </w:p>
    <w:p w14:paraId="163FA898" w14:textId="77777777" w:rsidR="0026615E" w:rsidRDefault="0026615E" w:rsidP="00D756C3">
      <w:pPr>
        <w:ind w:left="360" w:firstLine="360"/>
        <w:rPr>
          <w:rFonts w:ascii="Arial" w:hAnsi="Arial" w:cs="Arial"/>
        </w:rPr>
      </w:pPr>
    </w:p>
    <w:p w14:paraId="0A0739E4" w14:textId="77777777" w:rsidR="0026615E" w:rsidRDefault="0026615E" w:rsidP="00D756C3">
      <w:pPr>
        <w:ind w:left="360" w:firstLine="360"/>
        <w:rPr>
          <w:rFonts w:ascii="Arial" w:hAnsi="Arial" w:cs="Arial"/>
        </w:rPr>
      </w:pPr>
    </w:p>
    <w:p w14:paraId="2D6C16A5" w14:textId="77777777" w:rsidR="0026615E" w:rsidRDefault="0026615E" w:rsidP="00D756C3">
      <w:pPr>
        <w:ind w:left="360" w:firstLine="360"/>
        <w:rPr>
          <w:rFonts w:ascii="Arial" w:hAnsi="Arial" w:cs="Arial"/>
        </w:rPr>
      </w:pPr>
    </w:p>
    <w:p w14:paraId="6A3788EA" w14:textId="77777777" w:rsidR="0026615E" w:rsidRPr="00520B34" w:rsidRDefault="0026615E" w:rsidP="00D756C3">
      <w:pPr>
        <w:ind w:left="360" w:firstLine="360"/>
        <w:rPr>
          <w:rFonts w:ascii="Arial" w:hAnsi="Arial" w:cs="Arial"/>
        </w:rPr>
      </w:pPr>
    </w:p>
    <w:p w14:paraId="0EEA9A14" w14:textId="77777777" w:rsidR="00F25137" w:rsidRPr="00520B34" w:rsidRDefault="00F25137" w:rsidP="002542F8">
      <w:pPr>
        <w:numPr>
          <w:ilvl w:val="0"/>
          <w:numId w:val="33"/>
        </w:numPr>
        <w:rPr>
          <w:rFonts w:ascii="Arial" w:hAnsi="Arial" w:cs="Arial"/>
          <w:b/>
          <w:bCs/>
        </w:rPr>
      </w:pPr>
      <w:r w:rsidRPr="00520B34">
        <w:rPr>
          <w:rFonts w:ascii="Arial" w:hAnsi="Arial" w:cs="Arial"/>
          <w:b/>
          <w:bCs/>
        </w:rPr>
        <w:lastRenderedPageBreak/>
        <w:t>The proposed requirement has been ineffective in other contexts</w:t>
      </w:r>
    </w:p>
    <w:p w14:paraId="5925A809" w14:textId="77777777" w:rsidR="00F25137" w:rsidRPr="00520B34" w:rsidRDefault="00F25137" w:rsidP="002542F8">
      <w:pPr>
        <w:ind w:left="360" w:firstLine="360"/>
        <w:rPr>
          <w:rFonts w:ascii="Arial" w:hAnsi="Arial" w:cs="Arial"/>
        </w:rPr>
      </w:pPr>
      <w:r w:rsidRPr="00520B34">
        <w:rPr>
          <w:rFonts w:ascii="Arial" w:hAnsi="Arial" w:cs="Arial"/>
        </w:rPr>
        <w:t>Across the country, Tract is not aware of any utility or RTO/ISO that requires an end-use customer contract prior to entering into a load interconnection agreement. However, a few utilities and RTOs/ISOs have required analogous offtake agreements for generator interconnection. All such reforms that Tract is aware of demonstrate that having an offtake agreement is not a reliable indicator of whether a project is “real,” “ready,” or otherwise likely to materialize.</w:t>
      </w:r>
    </w:p>
    <w:p w14:paraId="14AC5902" w14:textId="77777777" w:rsidR="00F25137" w:rsidRPr="00520B34" w:rsidRDefault="00F25137" w:rsidP="00D756C3">
      <w:pPr>
        <w:ind w:left="360" w:firstLine="360"/>
        <w:rPr>
          <w:rFonts w:ascii="Arial" w:hAnsi="Arial" w:cs="Arial"/>
        </w:rPr>
      </w:pPr>
      <w:r w:rsidRPr="00520B34">
        <w:rPr>
          <w:rFonts w:ascii="Arial" w:hAnsi="Arial" w:cs="Arial"/>
        </w:rPr>
        <w:t>In 2020, Tri-State Generation and Transmission (“Tri-State”) received Federal Energy Regulatory Commission (“FERC”) approval to reform its generator interconnection queue to include a term sheet or power purchase agreement requirement as a prerequisite to receive interconnection. However, subsequent queue clusters resulted in ballooning requests that equaled three times Tri-State’s network load. This is because generation projects could enter into agreements with affiliates and agreements with multiple “no-fault” cancellation provisions by either party. Thus, a requirement for offtake agreement failed to deter speculative projects or serve as a gate-keeping mechanism. FERC learned from this failure and refused to adopt a commercial offtake agreement requirement in Order 2023, which reformed generation interconnection processes across the country.</w:t>
      </w:r>
    </w:p>
    <w:p w14:paraId="32DF5F3E" w14:textId="77777777" w:rsidR="00F25137" w:rsidRDefault="00F25137" w:rsidP="00D756C3">
      <w:pPr>
        <w:ind w:left="360" w:firstLine="360"/>
        <w:rPr>
          <w:rFonts w:ascii="Arial" w:hAnsi="Arial" w:cs="Arial"/>
        </w:rPr>
      </w:pPr>
      <w:r w:rsidRPr="00520B34">
        <w:rPr>
          <w:rFonts w:ascii="Arial" w:hAnsi="Arial" w:cs="Arial"/>
        </w:rPr>
        <w:t>In 2025, MISO received FERC approval for its Expedited Resource Addition Study process, in which generator interconnection applications must be accompanied by executed legally binding agreements with entities with a claimed resource adequacy or reliability need. Despite only starting late last year, eight projects have already withdrawn from the process despite having provided executed offtake agreements.</w:t>
      </w:r>
      <w:r w:rsidRPr="00520B34">
        <w:rPr>
          <w:rFonts w:ascii="Arial" w:hAnsi="Arial" w:cs="Arial"/>
          <w:vertAlign w:val="superscript"/>
        </w:rPr>
        <w:footnoteReference w:id="1"/>
      </w:r>
      <w:r w:rsidRPr="00520B34">
        <w:rPr>
          <w:rFonts w:ascii="Arial" w:hAnsi="Arial" w:cs="Arial"/>
        </w:rPr>
        <w:t xml:space="preserve"> These withdrawals demonstrate that, in the closest analog to what ERCOT is proposing for load interconnection, having executed end-user agreements has not been a reliable indicator of whether a project will </w:t>
      </w:r>
      <w:proofErr w:type="gramStart"/>
      <w:r w:rsidRPr="00520B34">
        <w:rPr>
          <w:rFonts w:ascii="Arial" w:hAnsi="Arial" w:cs="Arial"/>
        </w:rPr>
        <w:t>actually become</w:t>
      </w:r>
      <w:proofErr w:type="gramEnd"/>
      <w:r w:rsidRPr="00520B34">
        <w:rPr>
          <w:rFonts w:ascii="Arial" w:hAnsi="Arial" w:cs="Arial"/>
        </w:rPr>
        <w:t xml:space="preserve"> operational. Indeed, queue sizes have increased and so called “real” projects have nevertheless withdrawn.</w:t>
      </w:r>
    </w:p>
    <w:p w14:paraId="78C2B8ED" w14:textId="77777777" w:rsidR="0026615E" w:rsidRDefault="0026615E" w:rsidP="00D756C3">
      <w:pPr>
        <w:ind w:left="360" w:firstLine="360"/>
        <w:rPr>
          <w:rFonts w:ascii="Arial" w:hAnsi="Arial" w:cs="Arial"/>
        </w:rPr>
      </w:pPr>
    </w:p>
    <w:p w14:paraId="0AB73FF7" w14:textId="77777777" w:rsidR="0026615E" w:rsidRPr="00520B34" w:rsidRDefault="0026615E" w:rsidP="00D756C3">
      <w:pPr>
        <w:ind w:left="360" w:firstLine="360"/>
        <w:rPr>
          <w:rFonts w:ascii="Arial" w:hAnsi="Arial" w:cs="Arial"/>
        </w:rPr>
      </w:pPr>
    </w:p>
    <w:p w14:paraId="3E55AC3C" w14:textId="77777777" w:rsidR="00F25137" w:rsidRPr="00520B34" w:rsidRDefault="00F25137" w:rsidP="002542F8">
      <w:pPr>
        <w:numPr>
          <w:ilvl w:val="0"/>
          <w:numId w:val="33"/>
        </w:numPr>
        <w:rPr>
          <w:rFonts w:ascii="Arial" w:hAnsi="Arial" w:cs="Arial"/>
          <w:b/>
          <w:bCs/>
        </w:rPr>
      </w:pPr>
      <w:r w:rsidRPr="00520B34">
        <w:rPr>
          <w:rFonts w:ascii="Arial" w:hAnsi="Arial" w:cs="Arial"/>
          <w:b/>
          <w:bCs/>
        </w:rPr>
        <w:t>The proposed requirement is not necessary to demonstrate maturity - developers have energized projects that are not fully contracted</w:t>
      </w:r>
    </w:p>
    <w:p w14:paraId="77BD440C" w14:textId="77777777" w:rsidR="00F25137" w:rsidRPr="00520B34" w:rsidRDefault="00F25137" w:rsidP="002542F8">
      <w:pPr>
        <w:ind w:left="360" w:firstLine="360"/>
        <w:rPr>
          <w:rFonts w:ascii="Arial" w:hAnsi="Arial" w:cs="Arial"/>
        </w:rPr>
      </w:pPr>
      <w:r w:rsidRPr="00520B34">
        <w:rPr>
          <w:rFonts w:ascii="Arial" w:hAnsi="Arial" w:cs="Arial"/>
        </w:rPr>
        <w:t>In 2025 across the country, data center vacancy remained at a record low of 1% for the second year in a row, with 92% of capacity currently under construction pre-committed, either through binding lease agreements or owner-occupation.</w:t>
      </w:r>
      <w:r w:rsidRPr="00520B34">
        <w:rPr>
          <w:rFonts w:ascii="Arial" w:hAnsi="Arial" w:cs="Arial"/>
          <w:vertAlign w:val="superscript"/>
        </w:rPr>
        <w:footnoteReference w:id="2"/>
      </w:r>
      <w:r w:rsidRPr="00520B34">
        <w:rPr>
          <w:rFonts w:ascii="Arial" w:hAnsi="Arial" w:cs="Arial"/>
        </w:rPr>
        <w:t xml:space="preserve"> Even in the tightest market, at least 8% of data center capacity under construction is not yet owned by the end-user or contracted by an end-user. While 8% may seem like a small number, the point remains that it is not strictly necessary for a project to be owned by an end-user or be under contract with an end-user to materialize as steel in the ground. In the context of ERCOT’s 400 GW+ load interconnection queue, 8% is not a small number, and implies that there are up to 32 GW of large load requests in ERCOT’s interconnection queue that could be constructed without an end-user under contract. Perhaps even more if the vacancy rate increases. This demonstrates </w:t>
      </w:r>
      <w:r w:rsidRPr="00520B34">
        <w:rPr>
          <w:rFonts w:ascii="Arial" w:hAnsi="Arial" w:cs="Arial"/>
        </w:rPr>
        <w:lastRenderedPageBreak/>
        <w:t>the value of developer owned projects, they create a liquid inventory from which end-users can choose. Today, the vast majority of data center capacity in the United States is owned by companies that are not end-users, and by 2030, those same companies are expected to own 60% of data center capacity.</w:t>
      </w:r>
      <w:r w:rsidRPr="00520B34">
        <w:rPr>
          <w:rFonts w:ascii="Arial" w:hAnsi="Arial" w:cs="Arial"/>
          <w:vertAlign w:val="superscript"/>
        </w:rPr>
        <w:footnoteReference w:id="3"/>
      </w:r>
      <w:r w:rsidRPr="00520B34">
        <w:rPr>
          <w:rFonts w:ascii="Arial" w:hAnsi="Arial" w:cs="Arial"/>
        </w:rPr>
        <w:t xml:space="preserve"> Looking forward to the next 10-15 years, even a majority of </w:t>
      </w:r>
      <w:proofErr w:type="spellStart"/>
      <w:r w:rsidRPr="00520B34">
        <w:rPr>
          <w:rFonts w:ascii="Arial" w:hAnsi="Arial" w:cs="Arial"/>
        </w:rPr>
        <w:t>hyperscaler</w:t>
      </w:r>
      <w:proofErr w:type="spellEnd"/>
      <w:r w:rsidRPr="00520B34">
        <w:rPr>
          <w:rFonts w:ascii="Arial" w:hAnsi="Arial" w:cs="Arial"/>
        </w:rPr>
        <w:t xml:space="preserve"> capacity is expected to be leased from third-party operators </w:t>
      </w:r>
    </w:p>
    <w:p w14:paraId="32E880CA" w14:textId="77777777" w:rsidR="00F25137" w:rsidRDefault="00F25137" w:rsidP="00D756C3">
      <w:pPr>
        <w:ind w:left="360" w:firstLine="360"/>
        <w:rPr>
          <w:rFonts w:ascii="Arial" w:hAnsi="Arial" w:cs="Arial"/>
        </w:rPr>
      </w:pPr>
      <w:r w:rsidRPr="00520B34">
        <w:rPr>
          <w:rFonts w:ascii="Arial" w:hAnsi="Arial" w:cs="Arial"/>
        </w:rPr>
        <w:t xml:space="preserve">In ERCOT already, several developers have successfully deployed the “powered shell” model, whereby at least some construction and likely initial energization </w:t>
      </w:r>
      <w:proofErr w:type="gramStart"/>
      <w:r w:rsidRPr="00520B34">
        <w:rPr>
          <w:rFonts w:ascii="Arial" w:hAnsi="Arial" w:cs="Arial"/>
        </w:rPr>
        <w:t>occurs</w:t>
      </w:r>
      <w:proofErr w:type="gramEnd"/>
      <w:r w:rsidRPr="00520B34">
        <w:rPr>
          <w:rFonts w:ascii="Arial" w:hAnsi="Arial" w:cs="Arial"/>
        </w:rPr>
        <w:t xml:space="preserve"> ahead of committed tenants. While pre-leasing a project is certainly the preferred business model, large loads have energized in ERCOT without having fully contracted the end-user load and national level data suggests this will continue to occur, even in low vacancy rate environments.</w:t>
      </w:r>
    </w:p>
    <w:p w14:paraId="274FD9C7" w14:textId="77777777" w:rsidR="002542F8" w:rsidRPr="00520B34" w:rsidRDefault="002542F8" w:rsidP="00D756C3">
      <w:pPr>
        <w:ind w:left="360" w:firstLine="360"/>
        <w:rPr>
          <w:rFonts w:ascii="Arial" w:hAnsi="Arial" w:cs="Arial"/>
        </w:rPr>
      </w:pPr>
    </w:p>
    <w:p w14:paraId="1CA185C0" w14:textId="77777777" w:rsidR="00F25137" w:rsidRPr="00520B34" w:rsidRDefault="00F25137" w:rsidP="002542F8">
      <w:pPr>
        <w:numPr>
          <w:ilvl w:val="0"/>
          <w:numId w:val="33"/>
        </w:numPr>
        <w:rPr>
          <w:rFonts w:ascii="Arial" w:hAnsi="Arial" w:cs="Arial"/>
          <w:b/>
          <w:bCs/>
        </w:rPr>
      </w:pPr>
      <w:r w:rsidRPr="00520B34">
        <w:rPr>
          <w:rFonts w:ascii="Arial" w:hAnsi="Arial" w:cs="Arial"/>
          <w:b/>
          <w:bCs/>
        </w:rPr>
        <w:t xml:space="preserve">The proposed requirement is not sufficient to demonstrate maturity - end-user contracted projects have been cancelled </w:t>
      </w:r>
    </w:p>
    <w:p w14:paraId="7B94CB59" w14:textId="77777777" w:rsidR="00F25137" w:rsidRDefault="00F25137" w:rsidP="002542F8">
      <w:pPr>
        <w:ind w:left="360" w:firstLine="360"/>
        <w:rPr>
          <w:rFonts w:ascii="Arial" w:hAnsi="Arial" w:cs="Arial"/>
        </w:rPr>
      </w:pPr>
      <w:r w:rsidRPr="00520B34">
        <w:rPr>
          <w:rFonts w:ascii="Arial" w:hAnsi="Arial" w:cs="Arial"/>
        </w:rPr>
        <w:t>Data reflects that there are many data center projects that are developed by the end-user or for which the end-user has contracted and that have failed to energize, therefore an attestation that such a user is contracted is insufficient to demonstrate that a project is “real,” or “ready.” A large end-user was reported to have walked away from ~2 GW of data center projects, which included hundreds of megawatts of lease cancellations, deferrals, and project sales.</w:t>
      </w:r>
      <w:r w:rsidRPr="00520B34">
        <w:rPr>
          <w:rFonts w:ascii="Arial" w:hAnsi="Arial" w:cs="Arial"/>
          <w:vertAlign w:val="superscript"/>
        </w:rPr>
        <w:footnoteReference w:id="4"/>
      </w:r>
      <w:r w:rsidRPr="00520B34">
        <w:rPr>
          <w:rFonts w:ascii="Arial" w:hAnsi="Arial" w:cs="Arial"/>
        </w:rPr>
        <w:t xml:space="preserve"> Another large end-user was reported to have cancelled multiple data center construction projects.</w:t>
      </w:r>
      <w:r w:rsidRPr="00520B34">
        <w:rPr>
          <w:rFonts w:ascii="Arial" w:hAnsi="Arial" w:cs="Arial"/>
          <w:vertAlign w:val="superscript"/>
        </w:rPr>
        <w:footnoteReference w:id="5"/>
      </w:r>
      <w:r w:rsidRPr="00520B34">
        <w:rPr>
          <w:rFonts w:ascii="Arial" w:hAnsi="Arial" w:cs="Arial"/>
        </w:rPr>
        <w:t xml:space="preserve"> Other projects developed directly by end-users have been cancelled due to failure to receive local zoning or entitlements. Simply identifying an end-user associated with a project or requiring a developer to contract with such an end-user is insufficient to demonstrate project maturity.</w:t>
      </w:r>
    </w:p>
    <w:p w14:paraId="01B12433" w14:textId="77777777" w:rsidR="002542F8" w:rsidRPr="00520B34" w:rsidRDefault="002542F8" w:rsidP="00D756C3">
      <w:pPr>
        <w:ind w:left="360" w:firstLine="360"/>
        <w:rPr>
          <w:rFonts w:ascii="Arial" w:hAnsi="Arial" w:cs="Arial"/>
        </w:rPr>
      </w:pPr>
    </w:p>
    <w:p w14:paraId="164A02CE" w14:textId="77777777" w:rsidR="00F25137" w:rsidRPr="00520B34" w:rsidRDefault="00F25137" w:rsidP="002542F8">
      <w:pPr>
        <w:numPr>
          <w:ilvl w:val="0"/>
          <w:numId w:val="33"/>
        </w:numPr>
        <w:rPr>
          <w:rFonts w:ascii="Arial" w:hAnsi="Arial" w:cs="Arial"/>
          <w:b/>
          <w:bCs/>
        </w:rPr>
      </w:pPr>
      <w:r w:rsidRPr="00520B34">
        <w:rPr>
          <w:rFonts w:ascii="Arial" w:hAnsi="Arial" w:cs="Arial"/>
          <w:b/>
          <w:bCs/>
        </w:rPr>
        <w:t>Instead, local zoning and approvals should be used to filter Batch Zero Base</w:t>
      </w:r>
    </w:p>
    <w:p w14:paraId="305A5AD9" w14:textId="77777777" w:rsidR="00F25137" w:rsidRPr="00520B34" w:rsidRDefault="00F25137" w:rsidP="002542F8">
      <w:pPr>
        <w:ind w:left="360" w:firstLine="360"/>
        <w:rPr>
          <w:rFonts w:ascii="Arial" w:hAnsi="Arial" w:cs="Arial"/>
        </w:rPr>
      </w:pPr>
      <w:r w:rsidRPr="00520B34">
        <w:rPr>
          <w:rFonts w:ascii="Arial" w:hAnsi="Arial" w:cs="Arial"/>
        </w:rPr>
        <w:t xml:space="preserve">Tract’s proposed alternative to requiring either a contract for power or contract for end-use is to require stricter site control requirements (reverting to the last version of ERCOT’s comments on PGRR145) and require local zoning/permitting approval. At the 4/17 Open Meeting, the PUCT Staff’s feedback to the local zoning/permitting proposal was that it happens too early in the process and is not a sufficient indicator of project maturity. Nevertheless, having local </w:t>
      </w:r>
      <w:proofErr w:type="gramStart"/>
      <w:r w:rsidRPr="00520B34">
        <w:rPr>
          <w:rFonts w:ascii="Arial" w:hAnsi="Arial" w:cs="Arial"/>
        </w:rPr>
        <w:t>zoning</w:t>
      </w:r>
      <w:proofErr w:type="gramEnd"/>
      <w:r w:rsidRPr="00520B34">
        <w:rPr>
          <w:rFonts w:ascii="Arial" w:hAnsi="Arial" w:cs="Arial"/>
        </w:rPr>
        <w:t xml:space="preserve"> or entitlement, where required, is strictly necessary for the load to be built. Even if it is true that these approvals may be obtained early in project development, there is no harm in requiring them at the interconnection agreement stage. </w:t>
      </w:r>
    </w:p>
    <w:p w14:paraId="155C11A6" w14:textId="77777777" w:rsidR="00F25137" w:rsidRPr="00520B34" w:rsidRDefault="00F25137" w:rsidP="00D756C3">
      <w:pPr>
        <w:ind w:left="360" w:firstLine="360"/>
        <w:rPr>
          <w:rFonts w:ascii="Arial" w:hAnsi="Arial" w:cs="Arial"/>
        </w:rPr>
      </w:pPr>
      <w:r w:rsidRPr="00520B34">
        <w:rPr>
          <w:rFonts w:ascii="Arial" w:hAnsi="Arial" w:cs="Arial"/>
        </w:rPr>
        <w:t xml:space="preserve">Furthermore, requiring Batch Zero Base projects to have local </w:t>
      </w:r>
      <w:proofErr w:type="gramStart"/>
      <w:r w:rsidRPr="00520B34">
        <w:rPr>
          <w:rFonts w:ascii="Arial" w:hAnsi="Arial" w:cs="Arial"/>
        </w:rPr>
        <w:t>approvals</w:t>
      </w:r>
      <w:proofErr w:type="gramEnd"/>
      <w:r w:rsidRPr="00520B34">
        <w:rPr>
          <w:rFonts w:ascii="Arial" w:hAnsi="Arial" w:cs="Arial"/>
        </w:rPr>
        <w:t xml:space="preserve"> should help assuage local concerns that ERCOT or the PUCT are forcing projects onto localities. It also allows the PUCT and ERCOT to stay out of local disagreements by </w:t>
      </w:r>
      <w:r w:rsidRPr="00520B34">
        <w:rPr>
          <w:rFonts w:ascii="Arial" w:hAnsi="Arial" w:cs="Arial"/>
        </w:rPr>
        <w:lastRenderedPageBreak/>
        <w:t>only allowing projects into Batch Zero Base that demonstrate they have the local approvals necessary to build.</w:t>
      </w:r>
    </w:p>
    <w:p w14:paraId="081DC67B" w14:textId="77777777" w:rsidR="00F25137" w:rsidRPr="00520B34" w:rsidRDefault="00F25137" w:rsidP="00D756C3">
      <w:pPr>
        <w:ind w:left="360" w:firstLine="360"/>
        <w:rPr>
          <w:rFonts w:ascii="Arial" w:hAnsi="Arial" w:cs="Arial"/>
        </w:rPr>
      </w:pPr>
      <w:r w:rsidRPr="00520B34">
        <w:rPr>
          <w:rFonts w:ascii="Arial" w:hAnsi="Arial" w:cs="Arial"/>
        </w:rPr>
        <w:t>Such a gating item has been used by Dominion Energy in Virginia, the utility with the nation’s largest amount of large load users. Dominion does not advance power studies for loads unless the customer can prove that they have zoning/entitlement/permitting to construct their project.  For large loads, Dominion verifies necessary approvals using public records before moving forward with load studies.  This has been the practice since the 2010s, when large loads became common in Virginia.</w:t>
      </w:r>
    </w:p>
    <w:p w14:paraId="7954007F" w14:textId="77777777" w:rsidR="00F25137" w:rsidRPr="00520B34" w:rsidRDefault="00F25137" w:rsidP="00D756C3">
      <w:pPr>
        <w:ind w:left="360" w:firstLine="360"/>
        <w:rPr>
          <w:rFonts w:ascii="Arial" w:hAnsi="Arial" w:cs="Arial"/>
        </w:rPr>
      </w:pPr>
      <w:r w:rsidRPr="00520B34">
        <w:rPr>
          <w:rFonts w:ascii="Arial" w:hAnsi="Arial" w:cs="Arial"/>
        </w:rPr>
        <w:t>Tract suggests deletion of the contract for end-user requirement and inclusion of the following language instead:</w:t>
      </w:r>
    </w:p>
    <w:p w14:paraId="26A40199" w14:textId="77777777" w:rsidR="00F25137" w:rsidRPr="00520B34" w:rsidRDefault="00F25137" w:rsidP="00D756C3">
      <w:pPr>
        <w:ind w:left="360" w:firstLine="360"/>
        <w:rPr>
          <w:rFonts w:ascii="Arial" w:hAnsi="Arial" w:cs="Arial"/>
        </w:rPr>
      </w:pPr>
      <w:r w:rsidRPr="00520B34">
        <w:rPr>
          <w:rFonts w:ascii="Arial" w:hAnsi="Arial" w:cs="Arial"/>
        </w:rPr>
        <w:t>“On or before July 25, 2026, the Interconnecting DSP or the Interconnecting TSP has informed ERCOT that an officer or official with binding authority over the large load customer has attested and provided documentation to the DSP/TSP demonstrating that the large load has obtained the local zoning approvals required to construct the large load, or that local zoning approvals are not required.”</w:t>
      </w:r>
    </w:p>
    <w:p w14:paraId="7CDE0EFD" w14:textId="77777777" w:rsidR="00F25137" w:rsidRPr="00520B34" w:rsidRDefault="00F25137" w:rsidP="00D756C3">
      <w:pPr>
        <w:pStyle w:val="ListParagraph"/>
        <w:numPr>
          <w:ilvl w:val="0"/>
          <w:numId w:val="31"/>
        </w:numPr>
        <w:spacing w:before="240" w:after="5"/>
        <w:rPr>
          <w:rFonts w:ascii="Arial" w:hAnsi="Arial" w:cs="Arial"/>
          <w:b/>
          <w:bCs/>
        </w:rPr>
      </w:pPr>
      <w:r w:rsidRPr="00520B34">
        <w:rPr>
          <w:rFonts w:ascii="Arial" w:hAnsi="Arial" w:cs="Arial"/>
          <w:b/>
          <w:bCs/>
        </w:rPr>
        <w:t>Contract for Power</w:t>
      </w:r>
    </w:p>
    <w:p w14:paraId="6DF1F9E4" w14:textId="77777777" w:rsidR="00F25137" w:rsidRPr="00520B34" w:rsidRDefault="00F25137" w:rsidP="00D756C3">
      <w:pPr>
        <w:ind w:firstLine="720"/>
        <w:rPr>
          <w:rFonts w:ascii="Arial" w:hAnsi="Arial" w:cs="Arial"/>
        </w:rPr>
      </w:pPr>
      <w:r w:rsidRPr="00520B34">
        <w:rPr>
          <w:rFonts w:ascii="Arial" w:hAnsi="Arial" w:cs="Arial"/>
        </w:rPr>
        <w:t>Tract agrees with other commentors, including Lower Colorado River Authority (“LCRA”) and TEBA PGRR 145 Comments, that the contract for power requirement is premature, commercially unworkable, and could have unanticipated impacts on the ERCOT market. If the power contract requirement is retained, it at least should allow Non-Opt-In Entities (“NOIE”) standard offer tariffs to qualify as evidence of a contract for power.</w:t>
      </w:r>
    </w:p>
    <w:p w14:paraId="770C94F0" w14:textId="77777777" w:rsidR="00F25137" w:rsidRPr="00520B34" w:rsidRDefault="00F25137" w:rsidP="00D756C3">
      <w:pPr>
        <w:pStyle w:val="ListParagraph"/>
        <w:numPr>
          <w:ilvl w:val="0"/>
          <w:numId w:val="31"/>
        </w:numPr>
        <w:spacing w:before="240" w:after="5"/>
        <w:rPr>
          <w:rFonts w:ascii="Arial" w:hAnsi="Arial" w:cs="Arial"/>
          <w:b/>
          <w:bCs/>
        </w:rPr>
      </w:pPr>
      <w:r w:rsidRPr="00520B34">
        <w:rPr>
          <w:rFonts w:ascii="Arial" w:hAnsi="Arial" w:cs="Arial"/>
          <w:b/>
          <w:bCs/>
        </w:rPr>
        <w:t>Site Control</w:t>
      </w:r>
    </w:p>
    <w:p w14:paraId="38BAB7CB" w14:textId="12A94CB5" w:rsidR="00F25137" w:rsidRPr="00520B34" w:rsidRDefault="00F25137" w:rsidP="00D756C3">
      <w:pPr>
        <w:ind w:firstLine="720"/>
        <w:rPr>
          <w:rFonts w:ascii="Arial" w:hAnsi="Arial" w:cs="Arial"/>
        </w:rPr>
      </w:pPr>
      <w:r w:rsidRPr="00520B34">
        <w:rPr>
          <w:rFonts w:ascii="Arial" w:hAnsi="Arial" w:cs="Arial"/>
        </w:rPr>
        <w:t xml:space="preserve">A purchase and sale agreement (“PSA”) is insufficient to demonstrate a serious or mature project because a PSA is an executory contract where the title to the land required to construct the project does not pass to the buyer until the deed is delivered at closing. A project has more at stake and is committed to the land once it has deed in hand, which conveys the </w:t>
      </w:r>
      <w:r w:rsidR="000B1C84">
        <w:rPr>
          <w:rFonts w:ascii="Arial" w:hAnsi="Arial" w:cs="Arial"/>
        </w:rPr>
        <w:t>legal rights</w:t>
      </w:r>
      <w:r w:rsidRPr="00520B34">
        <w:rPr>
          <w:rFonts w:ascii="Arial" w:hAnsi="Arial" w:cs="Arial"/>
        </w:rPr>
        <w:t xml:space="preserve"> needed for full control and financing. PSAs have provisions allowing a buyer or seller to terminate, not so for a deed. PSAs can be terminated based on due diligence, lack of financing, inspection, environmental, zoning, title defects, or any other mutually agreed upon condition. Other legal remedies like those for fraud or rescission could also apply to terminate or invalidate a PSA. This could lead to a scenario where a project is reserved or allocated interconnection capacity by ERCOT in Batch Zero Base but is unable to construct the load consuming facilities because it lacks the legal authority to enter, possess, or construct on the land. </w:t>
      </w:r>
    </w:p>
    <w:p w14:paraId="6E29C348" w14:textId="77777777" w:rsidR="00F25137" w:rsidRPr="00520B34" w:rsidRDefault="00F25137" w:rsidP="00D756C3">
      <w:pPr>
        <w:ind w:firstLine="720"/>
        <w:rPr>
          <w:rFonts w:ascii="Arial" w:hAnsi="Arial" w:cs="Arial"/>
        </w:rPr>
      </w:pPr>
      <w:r w:rsidRPr="00520B34">
        <w:rPr>
          <w:rFonts w:ascii="Arial" w:hAnsi="Arial" w:cs="Arial"/>
        </w:rPr>
        <w:t>Even if there were no legal concerns, practically speaking, projects that are seeking to energize in the next few years are less likely to do so if they do not have a lease or deed by the time an interconnection agreement is executed.</w:t>
      </w:r>
    </w:p>
    <w:p w14:paraId="53358782" w14:textId="04797E24" w:rsidR="00F25137" w:rsidRPr="00EA6641" w:rsidRDefault="00F25137" w:rsidP="00D756C3">
      <w:pPr>
        <w:ind w:firstLine="720"/>
        <w:rPr>
          <w:rFonts w:ascii="Arial" w:hAnsi="Arial" w:cs="Arial"/>
        </w:rPr>
      </w:pPr>
      <w:r w:rsidRPr="00520B34">
        <w:rPr>
          <w:rFonts w:ascii="Arial" w:hAnsi="Arial" w:cs="Arial"/>
        </w:rPr>
        <w:t xml:space="preserve">We respectfully recommend that ERCOT revert to prior drafts of PGRR145 that require an ILLE to demonstrate to the DSP or TSP that it has a lease or deed to be included in Batch Zero Base.  If the requirement of having an executed PSA is retained </w:t>
      </w:r>
      <w:proofErr w:type="gramStart"/>
      <w:r w:rsidRPr="00520B34">
        <w:rPr>
          <w:rFonts w:ascii="Arial" w:hAnsi="Arial" w:cs="Arial"/>
        </w:rPr>
        <w:t>as a way to</w:t>
      </w:r>
      <w:proofErr w:type="gramEnd"/>
      <w:r w:rsidRPr="00520B34">
        <w:rPr>
          <w:rFonts w:ascii="Arial" w:hAnsi="Arial" w:cs="Arial"/>
        </w:rPr>
        <w:t xml:space="preserve"> qualify as Batch Zero Base, those ILLEs should at least be required to demonstrate local zoning </w:t>
      </w:r>
      <w:proofErr w:type="gramStart"/>
      <w:r w:rsidRPr="00520B34">
        <w:rPr>
          <w:rFonts w:ascii="Arial" w:hAnsi="Arial" w:cs="Arial"/>
        </w:rPr>
        <w:t>approval</w:t>
      </w:r>
      <w:proofErr w:type="gramEnd"/>
      <w:r w:rsidRPr="00520B34">
        <w:rPr>
          <w:rFonts w:ascii="Arial" w:hAnsi="Arial" w:cs="Arial"/>
        </w:rPr>
        <w:t xml:space="preserve"> or they should be subject to increased financial security to account for the additional risk that the PSA may not close. Treating executed </w:t>
      </w:r>
      <w:r w:rsidRPr="00520B34">
        <w:rPr>
          <w:rFonts w:ascii="Arial" w:hAnsi="Arial" w:cs="Arial"/>
        </w:rPr>
        <w:lastRenderedPageBreak/>
        <w:t xml:space="preserve">PSAs as equal to a warranty deed fails to recognize the high </w:t>
      </w:r>
      <w:r w:rsidRPr="00EA6641">
        <w:rPr>
          <w:rFonts w:ascii="Arial" w:hAnsi="Arial" w:cs="Arial"/>
        </w:rPr>
        <w:t>degree of project maturity necessary to build the load.</w:t>
      </w:r>
    </w:p>
    <w:p w14:paraId="0F39C8BA" w14:textId="77777777" w:rsidR="00F25137" w:rsidRPr="00EA6641" w:rsidRDefault="00F25137" w:rsidP="00D756C3">
      <w:pPr>
        <w:rPr>
          <w:rFonts w:ascii="Arial" w:hAnsi="Arial" w:cs="Arial"/>
        </w:rPr>
      </w:pPr>
    </w:p>
    <w:p w14:paraId="0A1CD77C" w14:textId="77777777" w:rsidR="00EA6641" w:rsidRPr="00EA6641" w:rsidRDefault="00EA6641" w:rsidP="00EA6641">
      <w:pPr>
        <w:pStyle w:val="ListParagraph"/>
        <w:numPr>
          <w:ilvl w:val="0"/>
          <w:numId w:val="31"/>
        </w:numPr>
        <w:spacing w:line="269" w:lineRule="auto"/>
        <w:ind w:right="4"/>
        <w:jc w:val="both"/>
        <w:rPr>
          <w:rFonts w:ascii="Arial" w:hAnsi="Arial" w:cs="Arial"/>
          <w:b/>
          <w:bCs/>
        </w:rPr>
      </w:pPr>
      <w:r w:rsidRPr="00EA6641">
        <w:rPr>
          <w:rFonts w:ascii="Arial" w:hAnsi="Arial" w:cs="Arial"/>
          <w:b/>
          <w:bCs/>
        </w:rPr>
        <w:t>Conclusion</w:t>
      </w:r>
    </w:p>
    <w:p w14:paraId="0F83542B" w14:textId="30F3A319" w:rsidR="00EA6641" w:rsidRPr="00EA6641" w:rsidRDefault="00EA6641" w:rsidP="00EA6641">
      <w:pPr>
        <w:ind w:left="14" w:right="4" w:firstLine="706"/>
        <w:jc w:val="both"/>
        <w:rPr>
          <w:rFonts w:ascii="Arial" w:hAnsi="Arial" w:cs="Arial"/>
        </w:rPr>
      </w:pPr>
      <w:r w:rsidRPr="00EA6641">
        <w:rPr>
          <w:rFonts w:ascii="Arial" w:hAnsi="Arial" w:cs="Arial"/>
        </w:rPr>
        <w:t>Tract appreciates consideration of these important comments</w:t>
      </w:r>
      <w:r w:rsidR="00FD17BB">
        <w:rPr>
          <w:rFonts w:ascii="Arial" w:hAnsi="Arial" w:cs="Arial"/>
        </w:rPr>
        <w:t>.</w:t>
      </w:r>
    </w:p>
    <w:p w14:paraId="3C40AEDC" w14:textId="77777777" w:rsidR="00EA6641" w:rsidRPr="00EA6641" w:rsidRDefault="00EA6641" w:rsidP="00EA6641">
      <w:pPr>
        <w:ind w:left="5798" w:right="4"/>
        <w:rPr>
          <w:rFonts w:ascii="Arial" w:hAnsi="Arial" w:cs="Arial"/>
        </w:rPr>
      </w:pPr>
    </w:p>
    <w:p w14:paraId="1880EFD3" w14:textId="77777777" w:rsidR="00EA6641" w:rsidRPr="00EA6641" w:rsidRDefault="00EA6641" w:rsidP="00EA6641">
      <w:pPr>
        <w:ind w:left="5798" w:right="4"/>
        <w:rPr>
          <w:rFonts w:ascii="Arial" w:hAnsi="Arial" w:cs="Arial"/>
        </w:rPr>
      </w:pPr>
    </w:p>
    <w:p w14:paraId="257D2ECC" w14:textId="77777777" w:rsidR="00EA6641" w:rsidRPr="00EA6641" w:rsidRDefault="00EA6641" w:rsidP="00EA6641">
      <w:pPr>
        <w:ind w:left="5798" w:right="4"/>
        <w:rPr>
          <w:rFonts w:ascii="Arial" w:hAnsi="Arial" w:cs="Arial"/>
        </w:rPr>
      </w:pPr>
    </w:p>
    <w:p w14:paraId="4E7903FA" w14:textId="77777777" w:rsidR="00EA6641" w:rsidRPr="00EA6641" w:rsidRDefault="00EA6641" w:rsidP="00EA6641">
      <w:pPr>
        <w:ind w:left="5798" w:right="4"/>
        <w:rPr>
          <w:rFonts w:ascii="Arial" w:hAnsi="Arial" w:cs="Arial"/>
        </w:rPr>
      </w:pPr>
    </w:p>
    <w:p w14:paraId="139A6CAF" w14:textId="77777777" w:rsidR="00EA6641" w:rsidRPr="00EA6641" w:rsidRDefault="00EA6641" w:rsidP="00EA6641">
      <w:pPr>
        <w:ind w:left="5798" w:right="4"/>
        <w:rPr>
          <w:rFonts w:ascii="Arial" w:hAnsi="Arial" w:cs="Arial"/>
        </w:rPr>
      </w:pPr>
      <w:r w:rsidRPr="00EA6641">
        <w:rPr>
          <w:rFonts w:ascii="Arial" w:hAnsi="Arial" w:cs="Arial"/>
        </w:rPr>
        <w:t>Respectfully Submitted,</w:t>
      </w:r>
    </w:p>
    <w:p w14:paraId="26482767" w14:textId="77777777" w:rsidR="00EA6641" w:rsidRPr="00EA6641" w:rsidRDefault="00EA6641" w:rsidP="00EA6641">
      <w:pPr>
        <w:ind w:left="5798" w:right="4"/>
        <w:rPr>
          <w:rFonts w:ascii="Arial" w:hAnsi="Arial" w:cs="Arial"/>
        </w:rPr>
      </w:pPr>
    </w:p>
    <w:p w14:paraId="391C6C3E" w14:textId="77777777" w:rsidR="00EA6641" w:rsidRPr="00EA6641" w:rsidRDefault="00EA6641" w:rsidP="00EA6641">
      <w:pPr>
        <w:spacing w:line="259" w:lineRule="auto"/>
        <w:ind w:left="5040" w:firstLine="720"/>
        <w:rPr>
          <w:rFonts w:ascii="Arial" w:hAnsi="Arial" w:cs="Arial"/>
        </w:rPr>
      </w:pPr>
      <w:r w:rsidRPr="00EA6641">
        <w:rPr>
          <w:rFonts w:ascii="Arial" w:hAnsi="Arial" w:cs="Arial"/>
          <w:noProof/>
        </w:rPr>
        <w:drawing>
          <wp:inline distT="0" distB="0" distL="0" distR="0" wp14:anchorId="5B81D208" wp14:editId="1E636C41">
            <wp:extent cx="2113280" cy="509270"/>
            <wp:effectExtent l="0" t="0" r="1270" b="5080"/>
            <wp:docPr id="1725491331"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1331" name="Picture 1" descr="A black text with a white background&#10;&#10;AI-generated content may be incorrect."/>
                    <pic:cNvPicPr>
                      <a:picLocks noChangeAspect="1"/>
                    </pic:cNvPicPr>
                  </pic:nvPicPr>
                  <pic:blipFill>
                    <a:blip r:embed="rId14"/>
                    <a:stretch>
                      <a:fillRect/>
                    </a:stretch>
                  </pic:blipFill>
                  <pic:spPr>
                    <a:xfrm>
                      <a:off x="0" y="0"/>
                      <a:ext cx="2113280" cy="509270"/>
                    </a:xfrm>
                    <a:prstGeom prst="rect">
                      <a:avLst/>
                    </a:prstGeom>
                  </pic:spPr>
                </pic:pic>
              </a:graphicData>
            </a:graphic>
          </wp:inline>
        </w:drawing>
      </w:r>
    </w:p>
    <w:p w14:paraId="1271477D" w14:textId="77777777" w:rsidR="00EA6641" w:rsidRPr="00EA6641" w:rsidRDefault="00EA6641" w:rsidP="00EA6641">
      <w:pPr>
        <w:spacing w:line="266" w:lineRule="auto"/>
        <w:ind w:left="3572" w:hanging="10"/>
        <w:jc w:val="center"/>
        <w:rPr>
          <w:rFonts w:ascii="Arial" w:hAnsi="Arial" w:cs="Arial"/>
        </w:rPr>
      </w:pPr>
      <w:r w:rsidRPr="00EA6641">
        <w:rPr>
          <w:rFonts w:ascii="Arial" w:hAnsi="Arial" w:cs="Arial"/>
        </w:rPr>
        <w:t>Orijit Ghoshal</w:t>
      </w:r>
    </w:p>
    <w:p w14:paraId="1ED04C65" w14:textId="77777777" w:rsidR="00EA6641" w:rsidRPr="00EA6641" w:rsidRDefault="00EA6641" w:rsidP="00EA6641">
      <w:pPr>
        <w:ind w:left="5789" w:right="4"/>
        <w:rPr>
          <w:rFonts w:ascii="Arial" w:hAnsi="Arial" w:cs="Arial"/>
        </w:rPr>
      </w:pPr>
      <w:r w:rsidRPr="00EA6641">
        <w:rPr>
          <w:rFonts w:ascii="Arial" w:hAnsi="Arial" w:cs="Arial"/>
        </w:rPr>
        <w:t>Vice President, Government and</w:t>
      </w:r>
    </w:p>
    <w:p w14:paraId="380F8B32" w14:textId="77777777" w:rsidR="00EA6641" w:rsidRPr="00EA6641" w:rsidRDefault="00EA6641" w:rsidP="00EA6641">
      <w:pPr>
        <w:ind w:left="5789" w:right="950"/>
        <w:rPr>
          <w:rFonts w:ascii="Arial" w:hAnsi="Arial" w:cs="Arial"/>
        </w:rPr>
      </w:pPr>
      <w:r w:rsidRPr="00EA6641">
        <w:rPr>
          <w:rFonts w:ascii="Arial" w:hAnsi="Arial" w:cs="Arial"/>
        </w:rPr>
        <w:t xml:space="preserve">Regulatory Affairs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6150" w14:paraId="5D9E9900" w14:textId="77777777" w:rsidTr="003D6C10">
        <w:trPr>
          <w:trHeight w:val="350"/>
        </w:trPr>
        <w:tc>
          <w:tcPr>
            <w:tcW w:w="10440" w:type="dxa"/>
            <w:tcBorders>
              <w:bottom w:val="single" w:sz="4" w:space="0" w:color="auto"/>
            </w:tcBorders>
            <w:shd w:val="clear" w:color="auto" w:fill="FFFFFF"/>
            <w:vAlign w:val="center"/>
          </w:tcPr>
          <w:p w14:paraId="1885BC89" w14:textId="77777777" w:rsidR="00A86150" w:rsidRDefault="00A86150" w:rsidP="003D6C10">
            <w:pPr>
              <w:pStyle w:val="Header"/>
              <w:jc w:val="center"/>
            </w:pPr>
            <w:r>
              <w:t>Revised Cover Page Language</w:t>
            </w:r>
          </w:p>
        </w:tc>
      </w:tr>
    </w:tbl>
    <w:p w14:paraId="28608EE9" w14:textId="77777777" w:rsidR="00A86150" w:rsidRDefault="00A86150" w:rsidP="00A8615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6150" w14:paraId="7E8257E2" w14:textId="77777777" w:rsidTr="003D6C10">
        <w:trPr>
          <w:trHeight w:val="350"/>
        </w:trPr>
        <w:tc>
          <w:tcPr>
            <w:tcW w:w="10440" w:type="dxa"/>
            <w:tcBorders>
              <w:bottom w:val="single" w:sz="4" w:space="0" w:color="auto"/>
            </w:tcBorders>
            <w:shd w:val="clear" w:color="auto" w:fill="FFFFFF"/>
            <w:vAlign w:val="center"/>
          </w:tcPr>
          <w:p w14:paraId="1B57486E" w14:textId="77777777" w:rsidR="00A86150" w:rsidRDefault="00A86150" w:rsidP="003D6C10">
            <w:pPr>
              <w:pStyle w:val="Header"/>
              <w:jc w:val="center"/>
            </w:pPr>
            <w:r>
              <w:t>Revised Proposed Guide Language</w:t>
            </w:r>
          </w:p>
        </w:tc>
      </w:tr>
    </w:tbl>
    <w:p w14:paraId="01ADF857" w14:textId="22896B9B" w:rsidR="00EA6641" w:rsidRPr="00A86150" w:rsidRDefault="00A86150" w:rsidP="00A86150">
      <w:pPr>
        <w:pStyle w:val="NormalArial"/>
        <w:spacing w:before="120" w:after="120"/>
      </w:pPr>
      <w:r>
        <w:t>None</w:t>
      </w:r>
    </w:p>
    <w:sectPr w:rsidR="00EA6641" w:rsidRPr="00A86150">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A77C" w14:textId="77777777" w:rsidR="00E90D62" w:rsidRDefault="00E90D62">
      <w:r>
        <w:separator/>
      </w:r>
    </w:p>
  </w:endnote>
  <w:endnote w:type="continuationSeparator" w:id="0">
    <w:p w14:paraId="0CBFA6BE" w14:textId="77777777" w:rsidR="00E90D62" w:rsidRDefault="00E9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3032251"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A86150">
      <w:rPr>
        <w:rFonts w:ascii="Arial" w:hAnsi="Arial" w:cs="Arial"/>
        <w:sz w:val="18"/>
      </w:rPr>
      <w:t>7</w:t>
    </w:r>
    <w:r>
      <w:rPr>
        <w:rFonts w:ascii="Arial" w:hAnsi="Arial" w:cs="Arial"/>
        <w:sz w:val="18"/>
      </w:rPr>
      <w:t xml:space="preserve">8 </w:t>
    </w:r>
    <w:r w:rsidR="00A86150">
      <w:rPr>
        <w:rFonts w:ascii="Arial" w:hAnsi="Arial" w:cs="Arial"/>
        <w:sz w:val="18"/>
      </w:rPr>
      <w:t>Tract</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A86150">
      <w:rPr>
        <w:rFonts w:ascii="Arial" w:hAnsi="Arial" w:cs="Arial"/>
        <w:sz w:val="18"/>
      </w:rPr>
      <w:t>506</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82B4" w14:textId="77777777" w:rsidR="00E90D62" w:rsidRDefault="00E90D62">
      <w:r>
        <w:separator/>
      </w:r>
    </w:p>
  </w:footnote>
  <w:footnote w:type="continuationSeparator" w:id="0">
    <w:p w14:paraId="18B9D407" w14:textId="77777777" w:rsidR="00E90D62" w:rsidRDefault="00E90D62">
      <w:r>
        <w:continuationSeparator/>
      </w:r>
    </w:p>
  </w:footnote>
  <w:footnote w:id="1">
    <w:p w14:paraId="479C64DC" w14:textId="77777777" w:rsidR="00F25137" w:rsidRDefault="00F25137" w:rsidP="00F25137">
      <w:pPr>
        <w:pStyle w:val="FootnoteText"/>
      </w:pPr>
      <w:r>
        <w:rPr>
          <w:rStyle w:val="FootnoteReference"/>
        </w:rPr>
        <w:footnoteRef/>
      </w:r>
      <w:r>
        <w:t xml:space="preserve"> </w:t>
      </w:r>
      <w:hyperlink r:id="rId1" w:history="1">
        <w:r w:rsidRPr="001F7060">
          <w:rPr>
            <w:rStyle w:val="Hyperlink"/>
          </w:rPr>
          <w:t>https://cdn.misoenergy.org/ERAS%20Interconnection%20Requests718481.pdf?v=20250925100448</w:t>
        </w:r>
      </w:hyperlink>
    </w:p>
    <w:p w14:paraId="55D63592" w14:textId="77777777" w:rsidR="00F25137" w:rsidRDefault="00F25137" w:rsidP="00F25137">
      <w:pPr>
        <w:pStyle w:val="FootnoteText"/>
      </w:pPr>
    </w:p>
  </w:footnote>
  <w:footnote w:id="2">
    <w:p w14:paraId="15D2003A" w14:textId="77777777" w:rsidR="00F25137" w:rsidRDefault="00F25137" w:rsidP="00F25137">
      <w:pPr>
        <w:pStyle w:val="FootnoteText"/>
      </w:pPr>
      <w:r>
        <w:rPr>
          <w:rStyle w:val="FootnoteReference"/>
        </w:rPr>
        <w:footnoteRef/>
      </w:r>
      <w:r>
        <w:t xml:space="preserve"> </w:t>
      </w:r>
      <w:hyperlink r:id="rId2" w:history="1">
        <w:r w:rsidRPr="00425B23">
          <w:rPr>
            <w:rStyle w:val="Hyperlink"/>
          </w:rPr>
          <w:t>North America Data Center Report Year-end 2025</w:t>
        </w:r>
      </w:hyperlink>
    </w:p>
  </w:footnote>
  <w:footnote w:id="3">
    <w:p w14:paraId="345F70E9" w14:textId="77777777" w:rsidR="00F25137" w:rsidRDefault="00F25137" w:rsidP="00F25137">
      <w:pPr>
        <w:pStyle w:val="FootnoteText"/>
      </w:pPr>
      <w:r>
        <w:rPr>
          <w:rStyle w:val="FootnoteReference"/>
        </w:rPr>
        <w:footnoteRef/>
      </w:r>
      <w:r>
        <w:t xml:space="preserve"> 2025 United States Data Center Market Outlook at 12, Newmark, </w:t>
      </w:r>
      <w:hyperlink r:id="rId3" w:history="1">
        <w:r>
          <w:rPr>
            <w:rStyle w:val="Hyperlink"/>
          </w:rPr>
          <w:t>https://nmrk.imgix.net/uploads/images/2025-US-DataCenter-MarketOutlook-FINAL.pdf</w:t>
        </w:r>
      </w:hyperlink>
      <w:r>
        <w:t>.</w:t>
      </w:r>
    </w:p>
    <w:p w14:paraId="4C7B6B31" w14:textId="77777777" w:rsidR="00F25137" w:rsidRDefault="00F25137" w:rsidP="00F25137">
      <w:pPr>
        <w:pStyle w:val="FootnoteText"/>
      </w:pPr>
    </w:p>
  </w:footnote>
  <w:footnote w:id="4">
    <w:p w14:paraId="35CC1AC2" w14:textId="77777777" w:rsidR="00F25137" w:rsidRDefault="00F25137" w:rsidP="00F25137">
      <w:pPr>
        <w:pStyle w:val="FootnoteText"/>
      </w:pPr>
      <w:r>
        <w:rPr>
          <w:rStyle w:val="FootnoteReference"/>
        </w:rPr>
        <w:footnoteRef/>
      </w:r>
      <w:r>
        <w:t xml:space="preserve"> </w:t>
      </w:r>
      <w:hyperlink r:id="rId4" w:history="1">
        <w:r w:rsidRPr="009726BC">
          <w:rPr>
            <w:rStyle w:val="Hyperlink"/>
          </w:rPr>
          <w:t>Microsoft cancels up to 2GW of data center projects, says TD Cowen - DCD</w:t>
        </w:r>
      </w:hyperlink>
    </w:p>
  </w:footnote>
  <w:footnote w:id="5">
    <w:p w14:paraId="722B43CA" w14:textId="77777777" w:rsidR="00F25137" w:rsidRDefault="00F25137" w:rsidP="00F25137">
      <w:pPr>
        <w:pStyle w:val="FootnoteText"/>
      </w:pPr>
      <w:r>
        <w:rPr>
          <w:rStyle w:val="FootnoteReference"/>
        </w:rPr>
        <w:footnoteRef/>
      </w:r>
      <w:r>
        <w:t xml:space="preserve"> </w:t>
      </w:r>
      <w:hyperlink r:id="rId5" w:history="1">
        <w:r w:rsidRPr="00935BFA">
          <w:rPr>
            <w:rStyle w:val="Hyperlink"/>
          </w:rPr>
          <w:t>Meta Will Abandon Some Data Center Builds, Run Servers Longer | Data Center Frontier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F26DA"/>
    <w:multiLevelType w:val="hybridMultilevel"/>
    <w:tmpl w:val="84202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AB5A48"/>
    <w:multiLevelType w:val="hybridMultilevel"/>
    <w:tmpl w:val="2DDC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7B985259"/>
    <w:multiLevelType w:val="hybridMultilevel"/>
    <w:tmpl w:val="905A7490"/>
    <w:lvl w:ilvl="0" w:tplc="5DF61CC2">
      <w:start w:val="1"/>
      <w:numFmt w:val="upperRoman"/>
      <w:lvlText w:val="%1."/>
      <w:lvlJc w:val="left"/>
      <w:pPr>
        <w:ind w:left="729" w:hanging="720"/>
      </w:pPr>
      <w:rPr>
        <w:rFonts w:hint="default"/>
        <w:b/>
        <w:bCs/>
      </w:rPr>
    </w:lvl>
    <w:lvl w:ilvl="1" w:tplc="F2EE519C">
      <w:start w:val="1"/>
      <w:numFmt w:val="lowerLetter"/>
      <w:lvlText w:val="%2."/>
      <w:lvlJc w:val="left"/>
      <w:pPr>
        <w:ind w:left="1089" w:hanging="360"/>
      </w:pPr>
      <w:rPr>
        <w:rFonts w:hint="default"/>
      </w:rPr>
    </w:lvl>
    <w:lvl w:ilvl="2" w:tplc="0409001B">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4" w15:restartNumberingAfterBreak="0">
    <w:nsid w:val="7CA0644B"/>
    <w:multiLevelType w:val="multilevel"/>
    <w:tmpl w:val="C4F81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407035">
    <w:abstractNumId w:val="0"/>
  </w:num>
  <w:num w:numId="2" w16cid:durableId="1168253600">
    <w:abstractNumId w:val="19"/>
  </w:num>
  <w:num w:numId="3" w16cid:durableId="1465851006">
    <w:abstractNumId w:val="22"/>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7"/>
  </w:num>
  <w:num w:numId="15" w16cid:durableId="437800973">
    <w:abstractNumId w:val="14"/>
  </w:num>
  <w:num w:numId="16" w16cid:durableId="700282402">
    <w:abstractNumId w:val="17"/>
  </w:num>
  <w:num w:numId="17" w16cid:durableId="1309476948">
    <w:abstractNumId w:val="18"/>
  </w:num>
  <w:num w:numId="18" w16cid:durableId="550963706">
    <w:abstractNumId w:val="8"/>
  </w:num>
  <w:num w:numId="19" w16cid:durableId="1284192548">
    <w:abstractNumId w:val="16"/>
  </w:num>
  <w:num w:numId="20" w16cid:durableId="856843399">
    <w:abstractNumId w:val="2"/>
  </w:num>
  <w:num w:numId="21" w16cid:durableId="1171601898">
    <w:abstractNumId w:val="5"/>
  </w:num>
  <w:num w:numId="22" w16cid:durableId="190920732">
    <w:abstractNumId w:val="3"/>
  </w:num>
  <w:num w:numId="23" w16cid:durableId="519398895">
    <w:abstractNumId w:val="21"/>
  </w:num>
  <w:num w:numId="24" w16cid:durableId="935097043">
    <w:abstractNumId w:val="6"/>
  </w:num>
  <w:num w:numId="25" w16cid:durableId="2064131136">
    <w:abstractNumId w:val="11"/>
  </w:num>
  <w:num w:numId="26" w16cid:durableId="1268149142">
    <w:abstractNumId w:val="9"/>
  </w:num>
  <w:num w:numId="27" w16cid:durableId="81950189">
    <w:abstractNumId w:val="4"/>
  </w:num>
  <w:num w:numId="28" w16cid:durableId="2050251956">
    <w:abstractNumId w:val="13"/>
  </w:num>
  <w:num w:numId="29" w16cid:durableId="460730629">
    <w:abstractNumId w:val="12"/>
  </w:num>
  <w:num w:numId="30" w16cid:durableId="1432160057">
    <w:abstractNumId w:val="20"/>
  </w:num>
  <w:num w:numId="31" w16cid:durableId="1060591163">
    <w:abstractNumId w:val="23"/>
  </w:num>
  <w:num w:numId="32" w16cid:durableId="206841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22504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2"/>
    <w:rsid w:val="00017068"/>
    <w:rsid w:val="000172AC"/>
    <w:rsid w:val="000172C9"/>
    <w:rsid w:val="00017521"/>
    <w:rsid w:val="000179D5"/>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5DD6"/>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1C84"/>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263"/>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715"/>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2F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15E"/>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3D9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4FE"/>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C4C"/>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D46"/>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4F"/>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5D"/>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77E"/>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02F"/>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B84"/>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2D7"/>
    <w:rsid w:val="005075F1"/>
    <w:rsid w:val="00510705"/>
    <w:rsid w:val="005108E8"/>
    <w:rsid w:val="005109AC"/>
    <w:rsid w:val="00510BB0"/>
    <w:rsid w:val="00510EC9"/>
    <w:rsid w:val="0051174A"/>
    <w:rsid w:val="00512008"/>
    <w:rsid w:val="005124F5"/>
    <w:rsid w:val="00512AA2"/>
    <w:rsid w:val="00512CA4"/>
    <w:rsid w:val="0051324C"/>
    <w:rsid w:val="00513363"/>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B34"/>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47CC6"/>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1F21"/>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5B5"/>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86A"/>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5A5"/>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318"/>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1C0"/>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159"/>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A03"/>
    <w:rsid w:val="00806B23"/>
    <w:rsid w:val="00806FB0"/>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0F6D"/>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829"/>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96F"/>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AC"/>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612"/>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18F"/>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CD7"/>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9E7"/>
    <w:rsid w:val="00A57DA6"/>
    <w:rsid w:val="00A57DAA"/>
    <w:rsid w:val="00A600AB"/>
    <w:rsid w:val="00A6015D"/>
    <w:rsid w:val="00A602F3"/>
    <w:rsid w:val="00A6044B"/>
    <w:rsid w:val="00A60476"/>
    <w:rsid w:val="00A6084E"/>
    <w:rsid w:val="00A6096C"/>
    <w:rsid w:val="00A609B8"/>
    <w:rsid w:val="00A60A23"/>
    <w:rsid w:val="00A60D14"/>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50"/>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7D1"/>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786"/>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A32"/>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30"/>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D11"/>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A7D9A"/>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1E6D"/>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C97"/>
    <w:rsid w:val="00C32F26"/>
    <w:rsid w:val="00C33227"/>
    <w:rsid w:val="00C33EAC"/>
    <w:rsid w:val="00C33F2B"/>
    <w:rsid w:val="00C34F6E"/>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6C3"/>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05"/>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125"/>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034"/>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6A7"/>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5A74"/>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0D62"/>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641"/>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37"/>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19D1"/>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1FD"/>
    <w:rsid w:val="00F7356A"/>
    <w:rsid w:val="00F737FC"/>
    <w:rsid w:val="00F739A1"/>
    <w:rsid w:val="00F73A15"/>
    <w:rsid w:val="00F73C1E"/>
    <w:rsid w:val="00F73FE8"/>
    <w:rsid w:val="00F74104"/>
    <w:rsid w:val="00F7441F"/>
    <w:rsid w:val="00F74594"/>
    <w:rsid w:val="00F74655"/>
    <w:rsid w:val="00F74F51"/>
    <w:rsid w:val="00F75023"/>
    <w:rsid w:val="00F75035"/>
    <w:rsid w:val="00F75444"/>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6BE"/>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2C0"/>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7BB"/>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05"/>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customStyle="1" w:styleId="FootnoteTextChar">
    <w:name w:val="Footnote Text Char"/>
    <w:basedOn w:val="DefaultParagraphFont"/>
    <w:link w:val="FootnoteText"/>
    <w:uiPriority w:val="99"/>
    <w:semiHidden/>
    <w:rsid w:val="00F25137"/>
    <w:rPr>
      <w:sz w:val="18"/>
    </w:rPr>
  </w:style>
  <w:style w:type="character" w:styleId="FootnoteReference">
    <w:name w:val="footnote reference"/>
    <w:basedOn w:val="DefaultParagraphFont"/>
    <w:uiPriority w:val="99"/>
    <w:unhideWhenUsed/>
    <w:rsid w:val="00F25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hompson@goodcompanyassociates.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ijit.ghoshal@trac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nmrk.imgix.net/uploads/images/2025-US-DataCenter-MarketOutlook-FINAL.pdf" TargetMode="External"/><Relationship Id="rId2" Type="http://schemas.openxmlformats.org/officeDocument/2006/relationships/hyperlink" Target="https://www.jll.com/en-us/insights/market-dynamics/north-america-data-centers" TargetMode="External"/><Relationship Id="rId1" Type="http://schemas.openxmlformats.org/officeDocument/2006/relationships/hyperlink" Target="https://cdn.misoenergy.org/ERAS%20Interconnection%20Requests718481.pdf?v=20250925100448" TargetMode="External"/><Relationship Id="rId5" Type="http://schemas.openxmlformats.org/officeDocument/2006/relationships/hyperlink" Target="https://www.datacenterfrontier.com/hyperscale/article/21548840/meta-will-abandon-some-data-center-builds-run-servers-longer" TargetMode="External"/><Relationship Id="rId4" Type="http://schemas.openxmlformats.org/officeDocument/2006/relationships/hyperlink" Target="https://www.datacenterdynamics.com/en/news/microsoft-cancels-up-to-2gw-of-data-center-projects-says-td-co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660438-3a50-427f-a456-a5ce7212815e}" enabled="0" method="" siteId="{01660438-3a50-427f-a456-a5ce7212815e}" removed="1"/>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2323</Words>
  <Characters>12639</Characters>
  <Application>Microsoft Office Word</Application>
  <DocSecurity>4</DocSecurity>
  <Lines>252</Lines>
  <Paragraphs>74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14888</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Vistra</cp:lastModifiedBy>
  <cp:revision>2</cp:revision>
  <cp:lastPrinted>2013-11-17T06:11:00Z</cp:lastPrinted>
  <dcterms:created xsi:type="dcterms:W3CDTF">2026-05-06T19:57:00Z</dcterms:created>
  <dcterms:modified xsi:type="dcterms:W3CDTF">2026-05-06T19:57:00Z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