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3CC0552C" w:rsidR="00152993" w:rsidRDefault="00D57187">
            <w:pPr>
              <w:pStyle w:val="NormalArial"/>
            </w:pPr>
            <w:r>
              <w:t xml:space="preserve">May </w:t>
            </w:r>
            <w:r w:rsidR="00395C4E">
              <w:t>2</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32DF4977" w:rsidR="00152993" w:rsidRDefault="00A85A8C">
            <w:pPr>
              <w:pStyle w:val="NormalArial"/>
            </w:pPr>
            <w:r>
              <w:t>Andrew Schaper</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7DDADAAA" w:rsidR="00152993" w:rsidRDefault="00A85A8C">
            <w:pPr>
              <w:pStyle w:val="NormalArial"/>
            </w:pPr>
            <w:hyperlink r:id="rId12" w:history="1">
              <w:r w:rsidRPr="00943E00">
                <w:rPr>
                  <w:rStyle w:val="Hyperlink"/>
                </w:rPr>
                <w:t>andrew@schaperintl.com</w:t>
              </w:r>
            </w:hyperlink>
            <w:r w:rsidR="008B1B10">
              <w:t xml:space="preserve"> </w:t>
            </w:r>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7D5E0D19" w:rsidR="00152993" w:rsidRDefault="00A85A8C">
            <w:pPr>
              <w:pStyle w:val="NormalArial"/>
            </w:pPr>
            <w:r>
              <w:t>Schaper Energy Consulting LLC</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4F6E6B67" w:rsidR="00152993" w:rsidRDefault="00A85A8C">
            <w:pPr>
              <w:pStyle w:val="NormalArial"/>
            </w:pPr>
            <w:r>
              <w:t>713-515-4620</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02C43FDE" w:rsidR="00075A94" w:rsidRDefault="008B1B10">
            <w:pPr>
              <w:pStyle w:val="NormalArial"/>
            </w:pPr>
            <w:r>
              <w:t>Not applicable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rsidTr="00CE1D59">
        <w:trPr>
          <w:trHeight w:val="350"/>
        </w:trPr>
        <w:tc>
          <w:tcPr>
            <w:tcW w:w="10440" w:type="dxa"/>
            <w:tcBorders>
              <w:bottom w:val="single" w:sz="4" w:space="0" w:color="auto"/>
            </w:tcBorders>
            <w:shd w:val="clear" w:color="auto" w:fill="FFFFFF"/>
            <w:vAlign w:val="center"/>
          </w:tcPr>
          <w:p w14:paraId="31321E08" w14:textId="578858FA" w:rsidR="005D5D32" w:rsidRDefault="005D5D32" w:rsidP="00CE1D59">
            <w:pPr>
              <w:pStyle w:val="Header"/>
              <w:jc w:val="center"/>
            </w:pPr>
            <w:r>
              <w:t>Comments</w:t>
            </w:r>
          </w:p>
        </w:tc>
      </w:tr>
    </w:tbl>
    <w:p w14:paraId="46269507" w14:textId="5551C6C7" w:rsidR="005A0B12" w:rsidRDefault="00DF6481" w:rsidP="00DF6481">
      <w:pPr>
        <w:pStyle w:val="NormalArial"/>
        <w:spacing w:before="120" w:after="120"/>
        <w:jc w:val="both"/>
      </w:pPr>
      <w:r w:rsidRPr="00DF6481">
        <w:t xml:space="preserve">Respondent submits these comments in response to several stakeholder filings in </w:t>
      </w:r>
      <w:r w:rsidR="00BD13FE">
        <w:t>Planning Guide Revision Request (</w:t>
      </w:r>
      <w:r w:rsidRPr="00DF6481">
        <w:t>PGRR</w:t>
      </w:r>
      <w:r w:rsidR="00BD13FE">
        <w:t xml:space="preserve">) </w:t>
      </w:r>
      <w:r w:rsidRPr="00DF6481">
        <w:t xml:space="preserve">145. Respondent </w:t>
      </w:r>
      <w:r w:rsidR="00D8666B">
        <w:t xml:space="preserve">generally </w:t>
      </w:r>
      <w:r w:rsidRPr="00DF6481">
        <w:t xml:space="preserve">supports the comments submitted by ERCOT on April 30, </w:t>
      </w:r>
      <w:proofErr w:type="gramStart"/>
      <w:r w:rsidRPr="00DF6481">
        <w:t>2026</w:t>
      </w:r>
      <w:proofErr w:type="gramEnd"/>
      <w:r w:rsidRPr="00DF6481">
        <w:t xml:space="preserve"> in 145PGRR-63, which add helpful clarification to the treatment of security for system upgrades and reduce general compliance risk for load customers subject to §§9.2.1.1 and 9.2.1.2, and offers the following limited observations on</w:t>
      </w:r>
      <w:r w:rsidR="005A0B12">
        <w:t xml:space="preserve"> additional refinements and</w:t>
      </w:r>
      <w:r w:rsidRPr="00DF6481">
        <w:t xml:space="preserve"> </w:t>
      </w:r>
      <w:r w:rsidR="005A0B12">
        <w:t xml:space="preserve">further </w:t>
      </w:r>
      <w:r w:rsidRPr="00DF6481">
        <w:t>stakeholder comments filed in this proceeding.</w:t>
      </w:r>
    </w:p>
    <w:p w14:paraId="389AE727" w14:textId="15415DAD" w:rsidR="005A0B12" w:rsidRPr="00DF6481" w:rsidRDefault="005A0B12" w:rsidP="00DF6481">
      <w:pPr>
        <w:pStyle w:val="NormalArial"/>
        <w:spacing w:before="120" w:after="120"/>
        <w:jc w:val="both"/>
      </w:pPr>
      <w:r>
        <w:rPr>
          <w:b/>
          <w:bCs/>
        </w:rPr>
        <w:t xml:space="preserve">Comments on </w:t>
      </w:r>
      <w:r w:rsidR="00C51C9F">
        <w:rPr>
          <w:b/>
          <w:bCs/>
        </w:rPr>
        <w:t xml:space="preserve">ERCOT’s Proposed </w:t>
      </w:r>
      <w:r w:rsidRPr="00A81EB6">
        <w:rPr>
          <w:b/>
          <w:bCs/>
        </w:rPr>
        <w:t xml:space="preserve">Batch </w:t>
      </w:r>
      <w:r>
        <w:rPr>
          <w:b/>
          <w:bCs/>
        </w:rPr>
        <w:t xml:space="preserve">Zero </w:t>
      </w:r>
      <w:r w:rsidRPr="00A81EB6">
        <w:rPr>
          <w:b/>
          <w:bCs/>
        </w:rPr>
        <w:t>Study Methodology</w:t>
      </w:r>
      <w:r>
        <w:rPr>
          <w:b/>
          <w:bCs/>
        </w:rPr>
        <w:t xml:space="preserve"> changes in 9.3.2(1)</w:t>
      </w:r>
      <w:r>
        <w:t xml:space="preserve">:  </w:t>
      </w:r>
      <w:r w:rsidR="00C51C9F" w:rsidRPr="00C51C9F">
        <w:t>Respondent appreciates ERCOT</w:t>
      </w:r>
      <w:r w:rsidR="00C51C9F">
        <w:t>’</w:t>
      </w:r>
      <w:r w:rsidR="00C51C9F" w:rsidRPr="00C51C9F">
        <w:t xml:space="preserve">s efforts in developing the Batch Zero methodology and respectfully offers the following observation regarding the proposed revision to Section 9.3.2(1) in ERCOT's </w:t>
      </w:r>
      <w:r w:rsidR="00BD13FE">
        <w:t>April</w:t>
      </w:r>
      <w:r w:rsidR="00C51C9F" w:rsidRPr="00C51C9F">
        <w:t xml:space="preserve"> 30, 2026 comments (145PGRR-63), under which only </w:t>
      </w:r>
      <w:r w:rsidR="00C51C9F">
        <w:t>“</w:t>
      </w:r>
      <w:r w:rsidR="00C51C9F" w:rsidRPr="00C51C9F">
        <w:t>bookend</w:t>
      </w:r>
      <w:r w:rsidR="00C51C9F">
        <w:t>”</w:t>
      </w:r>
      <w:r w:rsidR="00C51C9F" w:rsidRPr="00C51C9F">
        <w:t xml:space="preserve"> study cases in alternating even or odd years would be evaluated for Batch Zero and subsequent batches. While Respondent recognizes the administrative efficiencies this approach is intended to achieve, it may have the unintended effect of restricting the energization timelines of </w:t>
      </w:r>
      <w:r w:rsidR="00BD13FE">
        <w:t>L</w:t>
      </w:r>
      <w:r w:rsidR="00C51C9F" w:rsidRPr="00C51C9F">
        <w:t xml:space="preserve">arge </w:t>
      </w:r>
      <w:r w:rsidR="00BD13FE">
        <w:t>L</w:t>
      </w:r>
      <w:r w:rsidR="00C51C9F" w:rsidRPr="00C51C9F">
        <w:t>oad customers whose required transmission improvements are scheduled for in-service dates in years not captured by the study cadence. Retaining annual study cases would mitigate this concern, support timely energization, and spread cost recovery across a broader load base, thereby reducing rate impacts. Respondent further notes that the proposed approach may be difficult to reconcile with the objectives of Senate Bill 6, as it could impede economic development</w:t>
      </w:r>
      <w:r w:rsidR="00C51C9F">
        <w:t xml:space="preserve"> and raise </w:t>
      </w:r>
      <w:r w:rsidR="00CD1A59">
        <w:t xml:space="preserve">stranded cost </w:t>
      </w:r>
      <w:r w:rsidR="00C51C9F">
        <w:t>risk to ratepayers</w:t>
      </w:r>
      <w:r w:rsidR="00C51C9F" w:rsidRPr="00C51C9F">
        <w:t xml:space="preserve"> without a corresponding reliability benefit. Accordingly, Respondent respectfully requests that ERCOT consider preserving the annual study case construct for Batch Zero studied load, with each large load customer</w:t>
      </w:r>
      <w:r w:rsidR="00CD1A59">
        <w:t>’</w:t>
      </w:r>
      <w:r w:rsidR="00C51C9F" w:rsidRPr="00C51C9F">
        <w:t>s Load Commissioning Plan reflecting a refined ramp schedule aligned with the in-service dates of associated transmission improvements.</w:t>
      </w:r>
    </w:p>
    <w:p w14:paraId="271831B7" w14:textId="3D467E6F" w:rsidR="001930E2" w:rsidRPr="001930E2" w:rsidRDefault="005A0B12" w:rsidP="001930E2">
      <w:pPr>
        <w:pStyle w:val="NormalArial"/>
        <w:spacing w:before="120" w:after="120"/>
        <w:jc w:val="both"/>
      </w:pPr>
      <w:r>
        <w:rPr>
          <w:b/>
          <w:bCs/>
        </w:rPr>
        <w:t xml:space="preserve">Comments on </w:t>
      </w:r>
      <w:r w:rsidR="002701B3" w:rsidRPr="002701B3">
        <w:rPr>
          <w:b/>
          <w:bCs/>
        </w:rPr>
        <w:t>Contract for Power</w:t>
      </w:r>
      <w:r>
        <w:rPr>
          <w:b/>
          <w:bCs/>
        </w:rPr>
        <w:t xml:space="preserve"> </w:t>
      </w:r>
      <w:r w:rsidRPr="005A0B12">
        <w:rPr>
          <w:b/>
          <w:bCs/>
        </w:rPr>
        <w:t>§9.2.1.1(1)(e)(v)</w:t>
      </w:r>
      <w:r w:rsidR="002701B3">
        <w:t xml:space="preserve">: </w:t>
      </w:r>
      <w:r w:rsidR="001930E2" w:rsidRPr="001930E2">
        <w:t xml:space="preserve">Respondent supports the April 30, </w:t>
      </w:r>
      <w:proofErr w:type="gramStart"/>
      <w:r w:rsidR="001930E2" w:rsidRPr="001930E2">
        <w:t>2026</w:t>
      </w:r>
      <w:proofErr w:type="gramEnd"/>
      <w:r w:rsidR="001930E2" w:rsidRPr="001930E2">
        <w:t xml:space="preserve"> comments of Monarch Energy in 145PGRR-64 and TEBA in 145PGRR-61 with </w:t>
      </w:r>
      <w:r w:rsidR="001930E2" w:rsidRPr="001930E2">
        <w:lastRenderedPageBreak/>
        <w:t xml:space="preserve">respect to </w:t>
      </w:r>
      <w:r w:rsidR="0058284F" w:rsidRPr="00DF6481">
        <w:t>§</w:t>
      </w:r>
      <w:r w:rsidR="001930E2" w:rsidRPr="001930E2">
        <w:t>9.2.1.1(1)(e)(v). The requirement to attest to a power supply arrangement sufficient to satisfy the Load Commissioning Plan is premature and unduly constrains the customer</w:t>
      </w:r>
      <w:r w:rsidR="001930E2">
        <w:t>’</w:t>
      </w:r>
      <w:r w:rsidR="001930E2" w:rsidRPr="001930E2">
        <w:t>s ability to finalize procurement closer to energization, consistent with prevailing practice for large load developments of this scale. It also exposes the Interconnecting Large Load Entity (ILLE) to compliance risk arising from circumstances outside its control, including the readiness of serving cooperatives and municipally owned utilities to act as counterparty. The provision is in any event duplicative of the financial security, CIAC, equipment, and construction milestone tests already embedded in PGRR145, which more reliably indicate project viability without intruding on the procurement flexibility that defines ERCOT</w:t>
      </w:r>
      <w:r w:rsidR="001930E2">
        <w:t>’</w:t>
      </w:r>
      <w:r w:rsidR="001930E2" w:rsidRPr="001930E2">
        <w:t xml:space="preserve">s competitive retail market. Respondent joins Monarch and TEBA in recommending that </w:t>
      </w:r>
      <w:r w:rsidR="0058284F" w:rsidRPr="00DF6481">
        <w:t>§</w:t>
      </w:r>
      <w:r w:rsidR="001930E2" w:rsidRPr="001930E2">
        <w:t>9.2.1.1(1)(e)(v) be deleted.</w:t>
      </w:r>
    </w:p>
    <w:p w14:paraId="663801C9" w14:textId="4C0A141E" w:rsidR="001930E2" w:rsidRPr="001930E2" w:rsidRDefault="005A0B12" w:rsidP="001930E2">
      <w:pPr>
        <w:pStyle w:val="NormalArial"/>
        <w:spacing w:before="120" w:after="120"/>
        <w:jc w:val="both"/>
      </w:pPr>
      <w:r>
        <w:rPr>
          <w:b/>
          <w:bCs/>
        </w:rPr>
        <w:t xml:space="preserve">Comments on </w:t>
      </w:r>
      <w:r w:rsidR="002701B3" w:rsidRPr="002701B3">
        <w:rPr>
          <w:b/>
          <w:bCs/>
        </w:rPr>
        <w:t xml:space="preserve">Contract with </w:t>
      </w:r>
      <w:r w:rsidR="00956472">
        <w:rPr>
          <w:b/>
          <w:bCs/>
        </w:rPr>
        <w:t>End Use</w:t>
      </w:r>
      <w:r w:rsidR="001A5805">
        <w:rPr>
          <w:b/>
          <w:bCs/>
        </w:rPr>
        <w:t xml:space="preserve"> Customer</w:t>
      </w:r>
      <w:r>
        <w:rPr>
          <w:b/>
          <w:bCs/>
        </w:rPr>
        <w:t xml:space="preserve"> in </w:t>
      </w:r>
      <w:r w:rsidRPr="005A0B12">
        <w:rPr>
          <w:b/>
          <w:bCs/>
        </w:rPr>
        <w:t>§9.2.1.1(1)(f)(iii)</w:t>
      </w:r>
      <w:r w:rsidR="002701B3" w:rsidRPr="005A0B12">
        <w:rPr>
          <w:b/>
          <w:bCs/>
        </w:rPr>
        <w:t>:</w:t>
      </w:r>
      <w:r w:rsidR="002701B3">
        <w:t xml:space="preserve"> </w:t>
      </w:r>
      <w:r w:rsidR="001930E2" w:rsidRPr="001930E2">
        <w:t xml:space="preserve">Respondent further supports the comments of Monarch Energy in 145PGRR-64 and Rowan Digital Infrastructure LLC in 145PGRR-62 recommending removal of the end-use customer contract requirement in </w:t>
      </w:r>
      <w:r w:rsidR="0058284F" w:rsidRPr="00DF6481">
        <w:t>§</w:t>
      </w:r>
      <w:r w:rsidR="001930E2" w:rsidRPr="001930E2">
        <w:t xml:space="preserve">9.2.1.1(1)(f)(iii). The provision is circular: the ILLE must attest to a binding end-use customer relationship before ERCOT issues its Batch Zero classification, yet counterparties cannot reasonably commit until the regulatory status, allocated capacity, and energization timing produced by that process are confirmed. The requirement thus conditions eligibility on a contractual posture the proceeding itself precludes the ILLE from </w:t>
      </w:r>
      <w:r w:rsidR="00297F89" w:rsidRPr="001930E2">
        <w:t>finalizing</w:t>
      </w:r>
      <w:r w:rsidR="001A5805">
        <w:t>. The requirement is also</w:t>
      </w:r>
      <w:r w:rsidR="00297F89" w:rsidRPr="001930E2">
        <w:t xml:space="preserve"> </w:t>
      </w:r>
      <w:r w:rsidR="001930E2" w:rsidRPr="001930E2">
        <w:t xml:space="preserve">duplicative of the financial security and development milestone tests already embedded in PGRR145. Respondent recommends that </w:t>
      </w:r>
      <w:r w:rsidR="0058284F" w:rsidRPr="00DF6481">
        <w:t>§</w:t>
      </w:r>
      <w:r w:rsidR="001930E2" w:rsidRPr="001930E2">
        <w:t>9.2.1.1(1)(f)(iii) be deleted.</w:t>
      </w:r>
    </w:p>
    <w:p w14:paraId="0778CAA8" w14:textId="71908B00" w:rsidR="002701B3" w:rsidRDefault="00E72844" w:rsidP="003031B9">
      <w:pPr>
        <w:pStyle w:val="NormalArial"/>
        <w:spacing w:before="120" w:after="120"/>
        <w:jc w:val="both"/>
      </w:pPr>
      <w:r>
        <w:rPr>
          <w:b/>
          <w:bCs/>
        </w:rPr>
        <w:t xml:space="preserve">Comments on Proposed </w:t>
      </w:r>
      <w:r w:rsidR="002701B3" w:rsidRPr="002701B3">
        <w:rPr>
          <w:b/>
          <w:bCs/>
        </w:rPr>
        <w:t xml:space="preserve">RPG </w:t>
      </w:r>
      <w:r w:rsidR="002701B3">
        <w:rPr>
          <w:b/>
          <w:bCs/>
        </w:rPr>
        <w:t>‘</w:t>
      </w:r>
      <w:r w:rsidR="002701B3" w:rsidRPr="002701B3">
        <w:rPr>
          <w:b/>
          <w:bCs/>
        </w:rPr>
        <w:t>Deemed-Approv</w:t>
      </w:r>
      <w:r w:rsidR="002701B3">
        <w:rPr>
          <w:b/>
          <w:bCs/>
        </w:rPr>
        <w:t>al’</w:t>
      </w:r>
      <w:r w:rsidR="002701B3" w:rsidRPr="002701B3">
        <w:rPr>
          <w:b/>
          <w:bCs/>
        </w:rPr>
        <w:t xml:space="preserve"> Date</w:t>
      </w:r>
      <w:r w:rsidR="002701B3">
        <w:t>:</w:t>
      </w:r>
      <w:r w:rsidR="003031B9" w:rsidRPr="003031B9">
        <w:t xml:space="preserve"> Respondent has reviewed Oncor's April 27, </w:t>
      </w:r>
      <w:proofErr w:type="gramStart"/>
      <w:r w:rsidR="003031B9" w:rsidRPr="003031B9">
        <w:t>2026</w:t>
      </w:r>
      <w:proofErr w:type="gramEnd"/>
      <w:r w:rsidR="003031B9" w:rsidRPr="003031B9">
        <w:t xml:space="preserve"> comments in 145PGRR-56 proposing that RPG study validity under §9.2.1.4(4)(b) be measured against the date the E</w:t>
      </w:r>
      <w:r w:rsidR="002701B3">
        <w:t>RCOT Independent Review (EIR)</w:t>
      </w:r>
      <w:r w:rsidR="003031B9" w:rsidRPr="003031B9">
        <w:t xml:space="preserve"> </w:t>
      </w:r>
      <w:r w:rsidR="003031B9">
        <w:t>“</w:t>
      </w:r>
      <w:r w:rsidR="003031B9" w:rsidRPr="003031B9">
        <w:t>should have been completed</w:t>
      </w:r>
      <w:r w:rsidR="003031B9">
        <w:t>”</w:t>
      </w:r>
      <w:r w:rsidR="003031B9" w:rsidRPr="003031B9">
        <w:t xml:space="preserve"> under the suggested 150-day timeline in Protocol §3.11.4.7(1)(c). </w:t>
      </w:r>
      <w:r w:rsidR="002701B3">
        <w:t xml:space="preserve">Operative </w:t>
      </w:r>
      <w:r w:rsidR="00CD1A59">
        <w:t xml:space="preserve">Protocol </w:t>
      </w:r>
      <w:r w:rsidR="002701B3">
        <w:t>language referenced in these comments is found below:</w:t>
      </w:r>
    </w:p>
    <w:p w14:paraId="3BA7C8D5" w14:textId="599629EB" w:rsidR="002701B3" w:rsidRDefault="002701B3" w:rsidP="002701B3">
      <w:pPr>
        <w:pStyle w:val="NormalArial"/>
        <w:spacing w:before="120" w:after="120"/>
        <w:ind w:left="720"/>
        <w:jc w:val="both"/>
      </w:pPr>
      <w:r>
        <w:rPr>
          <w:rFonts w:cs="Arial"/>
          <w:i/>
          <w:iCs/>
        </w:rPr>
        <w:t>“</w:t>
      </w:r>
      <w:r w:rsidRPr="00657E42">
        <w:rPr>
          <w:rFonts w:cs="Arial"/>
          <w:i/>
          <w:iCs/>
        </w:rPr>
        <w:t xml:space="preserve">ERCOT will </w:t>
      </w:r>
      <w:r w:rsidRPr="004B0B74">
        <w:rPr>
          <w:rFonts w:cs="Arial"/>
          <w:i/>
          <w:iCs/>
          <w:u w:val="single"/>
        </w:rPr>
        <w:t>attempt to complete</w:t>
      </w:r>
      <w:r w:rsidRPr="00657E42">
        <w:rPr>
          <w:rFonts w:cs="Arial"/>
          <w:i/>
          <w:iCs/>
        </w:rPr>
        <w:t xml:space="preserve"> its independent review for a project in 150 days or less.  If ERCOT is unable to complete its independent review based on RPG input within 150 days, ERCOT shall notify the RPG of the expected completion time</w:t>
      </w:r>
      <w:r>
        <w:rPr>
          <w:rFonts w:cs="Arial"/>
          <w:i/>
          <w:iCs/>
        </w:rPr>
        <w:t>.”</w:t>
      </w:r>
    </w:p>
    <w:p w14:paraId="05BD5EDF" w14:textId="4CF2CD40" w:rsidR="006378FD" w:rsidRPr="006378FD" w:rsidRDefault="00CD1A59" w:rsidP="006378FD">
      <w:pPr>
        <w:pStyle w:val="NormalArial"/>
        <w:spacing w:before="120" w:after="120"/>
        <w:jc w:val="both"/>
      </w:pPr>
      <w:r w:rsidRPr="00CD1A59">
        <w:t>The proposed comments present two key issues</w:t>
      </w:r>
      <w:r>
        <w:t>:</w:t>
      </w:r>
      <w:r w:rsidRPr="00CD1A59">
        <w:t xml:space="preserve"> First, the Protocols contain no provision requiring ERCOT to complete the EIR within 150 days, and a plain reading of the operative language does not support that interpretation.</w:t>
      </w:r>
      <w:r>
        <w:t xml:space="preserve"> </w:t>
      </w:r>
      <w:r w:rsidR="006378FD" w:rsidRPr="006378FD">
        <w:t xml:space="preserve">Second, retroactively imposing </w:t>
      </w:r>
      <w:r w:rsidR="005172B9">
        <w:t>‘</w:t>
      </w:r>
      <w:r w:rsidR="00956472" w:rsidRPr="006378FD">
        <w:t>deemed approval</w:t>
      </w:r>
      <w:r w:rsidR="006378FD">
        <w:t>’</w:t>
      </w:r>
      <w:r w:rsidR="006378FD" w:rsidRPr="006378FD">
        <w:t xml:space="preserve"> treatment on dozens of pending load projects would likely compromise study validity for every other load customer proceeding in reliance on Planning Guide §9, which remains the sole binding guideline governing the treatment of large load projects.</w:t>
      </w:r>
    </w:p>
    <w:p w14:paraId="4B8DB062" w14:textId="13CF0D7C" w:rsidR="00D57187" w:rsidRDefault="003031B9" w:rsidP="003031B9">
      <w:pPr>
        <w:pStyle w:val="NormalArial"/>
        <w:spacing w:before="120" w:after="120"/>
        <w:jc w:val="both"/>
      </w:pPr>
      <w:r w:rsidRPr="003031B9">
        <w:t xml:space="preserve">Limiting relief to RPG-track load projects while leaving similarly situated LLIS-pathway loads without parallel </w:t>
      </w:r>
      <w:r w:rsidR="00956472">
        <w:t xml:space="preserve">timeline and deemed-approval </w:t>
      </w:r>
      <w:r w:rsidRPr="003031B9">
        <w:t xml:space="preserve">accommodation is difficult to defend on principle, particularly given that the timeline obligations in Planning Guide §9.4 are arguably more definitive. Applied evenhandedly, the premise that a missed deadline </w:t>
      </w:r>
      <w:r w:rsidRPr="003031B9">
        <w:lastRenderedPageBreak/>
        <w:t xml:space="preserve">should be </w:t>
      </w:r>
      <w:r w:rsidR="00956472">
        <w:t>considered</w:t>
      </w:r>
      <w:r w:rsidRPr="003031B9">
        <w:t xml:space="preserve"> satisfied would </w:t>
      </w:r>
      <w:r w:rsidR="00D04811">
        <w:t>result in a</w:t>
      </w:r>
      <w:r w:rsidRPr="003031B9">
        <w:t xml:space="preserve"> substantial volume of long-pending LLIS studies</w:t>
      </w:r>
      <w:r w:rsidR="00D04811">
        <w:t xml:space="preserve"> being deemed approved</w:t>
      </w:r>
      <w:r w:rsidRPr="003031B9">
        <w:t xml:space="preserve">, as many load customers in that study regime have endured processing delays well in excess of the timelines cited in Oncor's comments without the relief now proposed — a point Respondent raised in </w:t>
      </w:r>
      <w:hyperlink r:id="rId13" w:history="1">
        <w:r w:rsidRPr="003031B9">
          <w:rPr>
            <w:rStyle w:val="Hyperlink"/>
          </w:rPr>
          <w:t>PGRR138</w:t>
        </w:r>
      </w:hyperlink>
      <w:r w:rsidRPr="003031B9">
        <w:t xml:space="preserve"> but agreed to table to allow PGRR145 to proceed without the distraction of competing proposals to modify Planning Guide §9. </w:t>
      </w:r>
      <w:r w:rsidR="002701B3" w:rsidRPr="002701B3">
        <w:t>Because 145PGRR-56 is narrowly drafted and would extend relief to only a limited subset of affected customers, the proposed remedy would be inequitable, would create more disparity than it resolves, and would be administratively unworkable</w:t>
      </w:r>
      <w:r w:rsidR="00D04811">
        <w:t xml:space="preserve"> at this juncture</w:t>
      </w:r>
      <w:r w:rsidR="002701B3" w:rsidRPr="002701B3">
        <w:t>. Respondent accordingly opposes the modifications to §9.2.1.4(4)(b) proposed in 145PGRR-56.</w:t>
      </w:r>
    </w:p>
    <w:p w14:paraId="3978BAC8" w14:textId="2AE1B9E9" w:rsidR="00A06C6E" w:rsidRDefault="00E72844" w:rsidP="00A06C6E">
      <w:pPr>
        <w:pStyle w:val="NormalArial"/>
        <w:spacing w:before="120" w:after="120"/>
        <w:jc w:val="both"/>
      </w:pPr>
      <w:r>
        <w:rPr>
          <w:b/>
          <w:bCs/>
        </w:rPr>
        <w:t xml:space="preserve">Comments on </w:t>
      </w:r>
      <w:r w:rsidR="00956472">
        <w:rPr>
          <w:b/>
          <w:bCs/>
        </w:rPr>
        <w:t xml:space="preserve">LCP Interaction with </w:t>
      </w:r>
      <w:r>
        <w:rPr>
          <w:b/>
          <w:bCs/>
        </w:rPr>
        <w:t xml:space="preserve">System </w:t>
      </w:r>
      <w:r w:rsidR="00D04811">
        <w:rPr>
          <w:b/>
          <w:bCs/>
        </w:rPr>
        <w:t>Upgrade</w:t>
      </w:r>
      <w:r w:rsidR="00956472">
        <w:rPr>
          <w:b/>
          <w:bCs/>
        </w:rPr>
        <w:t xml:space="preserve"> Timing: </w:t>
      </w:r>
      <w:r w:rsidR="00A06C6E" w:rsidRPr="00A06C6E">
        <w:t xml:space="preserve">Respondent has reviewed the comments submitted by Eolic Development Partners on May 1, </w:t>
      </w:r>
      <w:proofErr w:type="gramStart"/>
      <w:r w:rsidR="00A06C6E" w:rsidRPr="00A06C6E">
        <w:t>2026</w:t>
      </w:r>
      <w:proofErr w:type="gramEnd"/>
      <w:r w:rsidR="00A06C6E" w:rsidRPr="00A06C6E">
        <w:t xml:space="preserve"> in 145PGRR-66 and concurs with the position advanced therein, including the proposed method of handling RPG and LCP timelines. As Eolic correctly observes, ERCOT</w:t>
      </w:r>
      <w:r w:rsidR="00A06C6E">
        <w:t>’</w:t>
      </w:r>
      <w:r w:rsidR="00A06C6E" w:rsidRPr="00A06C6E">
        <w:t xml:space="preserve">s April 23rd proposed language in Section 9.2.1.1(2)(c)(ii), which would impose a default 2034 in-service date for any transmission improvement not reflected in the latest Transmission Project Information Tracking (TPIT) report, is unworkable as drafted because TSPs, as a general practice, do not submit TPIT entries for Tier 1 or Tier 2 RPG projects until after ERCOT Board approval, and similarly do not enter LCP-related upgrades until after Section 9.5 approval. This issue is compounded by the operative TPIT timing, as the June 1, </w:t>
      </w:r>
      <w:proofErr w:type="gramStart"/>
      <w:r w:rsidR="00A06C6E" w:rsidRPr="00A06C6E">
        <w:t>2026</w:t>
      </w:r>
      <w:proofErr w:type="gramEnd"/>
      <w:r w:rsidR="00A06C6E" w:rsidRPr="00A06C6E">
        <w:t xml:space="preserve"> TPIT (the only edition available for Batch Zero) closed for TSP updates on March 27, 2026, and the next cycle will not </w:t>
      </w:r>
      <w:proofErr w:type="gramStart"/>
      <w:r w:rsidR="00A06C6E" w:rsidRPr="00A06C6E">
        <w:t>publish</w:t>
      </w:r>
      <w:proofErr w:type="gramEnd"/>
      <w:r w:rsidR="00A06C6E" w:rsidRPr="00A06C6E">
        <w:t xml:space="preserve"> until October 1, 2026, well after ERCOT requires the data. Respondent therefore supports Eolic</w:t>
      </w:r>
      <w:r>
        <w:t>’</w:t>
      </w:r>
      <w:r w:rsidR="00A06C6E" w:rsidRPr="00A06C6E">
        <w:t>s proposal that, for any RPG approval or LCP determination occurring after March 4, 2026, ERCOT rely on the Planned In-Service dates stated in the final RPG report or LCP table, while preserving ERCOT</w:t>
      </w:r>
      <w:r>
        <w:t>’</w:t>
      </w:r>
      <w:r w:rsidR="00A06C6E" w:rsidRPr="00A06C6E">
        <w:t>s proposed TPIT method for all approvals prior to that date.</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13FE" w14:paraId="097563B3" w14:textId="77777777" w:rsidTr="0021505C">
        <w:trPr>
          <w:trHeight w:val="350"/>
          <w:jc w:val="center"/>
        </w:trPr>
        <w:tc>
          <w:tcPr>
            <w:tcW w:w="10440" w:type="dxa"/>
            <w:tcBorders>
              <w:bottom w:val="single" w:sz="4" w:space="0" w:color="auto"/>
            </w:tcBorders>
            <w:shd w:val="clear" w:color="auto" w:fill="FFFFFF"/>
            <w:vAlign w:val="center"/>
          </w:tcPr>
          <w:p w14:paraId="6951FD75" w14:textId="77777777" w:rsidR="00BD13FE" w:rsidRDefault="00BD13FE" w:rsidP="0021505C">
            <w:pPr>
              <w:pStyle w:val="Header"/>
              <w:jc w:val="center"/>
            </w:pPr>
            <w:r>
              <w:t>Revised Cover Page Language</w:t>
            </w:r>
          </w:p>
        </w:tc>
      </w:tr>
    </w:tbl>
    <w:p w14:paraId="777E769B" w14:textId="77777777" w:rsidR="00BD13FE" w:rsidRDefault="00BD13FE" w:rsidP="00BD13FE">
      <w:pPr>
        <w:pStyle w:val="NormalArial"/>
        <w:spacing w:before="120" w:after="120"/>
      </w:pPr>
      <w:r>
        <w:t>None</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13FE" w14:paraId="11BE465F" w14:textId="77777777" w:rsidTr="0021505C">
        <w:trPr>
          <w:trHeight w:val="350"/>
          <w:jc w:val="center"/>
        </w:trPr>
        <w:tc>
          <w:tcPr>
            <w:tcW w:w="10440" w:type="dxa"/>
            <w:tcBorders>
              <w:bottom w:val="single" w:sz="4" w:space="0" w:color="auto"/>
            </w:tcBorders>
            <w:shd w:val="clear" w:color="auto" w:fill="FFFFFF"/>
            <w:vAlign w:val="center"/>
          </w:tcPr>
          <w:p w14:paraId="49991B6F" w14:textId="77777777" w:rsidR="00BD13FE" w:rsidRDefault="00BD13FE" w:rsidP="0021505C">
            <w:pPr>
              <w:pStyle w:val="Header"/>
              <w:jc w:val="center"/>
            </w:pPr>
            <w:r>
              <w:t>Revised Proposed Guide Language</w:t>
            </w:r>
          </w:p>
        </w:tc>
      </w:tr>
    </w:tbl>
    <w:p w14:paraId="0C248038" w14:textId="19929CA5" w:rsidR="0018688F" w:rsidRPr="00BD13FE" w:rsidRDefault="00BD13FE" w:rsidP="00BD13FE">
      <w:pPr>
        <w:pStyle w:val="NormalArial"/>
        <w:spacing w:before="120" w:after="120"/>
      </w:pPr>
      <w:r>
        <w:t>None</w:t>
      </w:r>
    </w:p>
    <w:sectPr w:rsidR="0018688F" w:rsidRPr="00BD13FE"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752F" w14:textId="77777777" w:rsidR="000C004A" w:rsidRDefault="000C004A">
      <w:r>
        <w:separator/>
      </w:r>
    </w:p>
  </w:endnote>
  <w:endnote w:type="continuationSeparator" w:id="0">
    <w:p w14:paraId="48BC5A8D" w14:textId="77777777" w:rsidR="000C004A" w:rsidRDefault="000C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24575A86"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E12587">
      <w:rPr>
        <w:rFonts w:ascii="Arial" w:hAnsi="Arial"/>
        <w:sz w:val="18"/>
      </w:rPr>
      <w:t>6</w:t>
    </w:r>
    <w:r w:rsidR="00B06919">
      <w:rPr>
        <w:rFonts w:ascii="Arial" w:hAnsi="Arial"/>
        <w:sz w:val="18"/>
      </w:rPr>
      <w:t>7</w:t>
    </w:r>
    <w:r w:rsidR="003C5ED9">
      <w:rPr>
        <w:rFonts w:ascii="Arial" w:hAnsi="Arial"/>
        <w:sz w:val="18"/>
      </w:rPr>
      <w:t xml:space="preserve"> </w:t>
    </w:r>
    <w:r w:rsidR="00851C3A">
      <w:rPr>
        <w:rFonts w:ascii="Arial" w:hAnsi="Arial"/>
        <w:sz w:val="18"/>
      </w:rPr>
      <w:t>Schaper Energy Consulting</w:t>
    </w:r>
    <w:r w:rsidR="003C5ED9">
      <w:rPr>
        <w:rFonts w:ascii="Arial" w:hAnsi="Arial"/>
        <w:sz w:val="18"/>
      </w:rPr>
      <w:t xml:space="preserve"> Comments </w:t>
    </w:r>
    <w:r w:rsidR="00D57187">
      <w:rPr>
        <w:rFonts w:ascii="Arial" w:hAnsi="Arial"/>
        <w:sz w:val="18"/>
      </w:rPr>
      <w:t>050</w:t>
    </w:r>
    <w:r w:rsidR="00B06919">
      <w:rPr>
        <w:rFonts w:ascii="Arial" w:hAnsi="Arial"/>
        <w:sz w:val="18"/>
      </w:rPr>
      <w:t>2</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8AC7" w14:textId="77777777" w:rsidR="000C004A" w:rsidRDefault="000C004A">
      <w:r>
        <w:separator/>
      </w:r>
    </w:p>
  </w:footnote>
  <w:footnote w:type="continuationSeparator" w:id="0">
    <w:p w14:paraId="188CE95E" w14:textId="77777777" w:rsidR="000C004A" w:rsidRDefault="000C0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193542390">
    <w:abstractNumId w:val="0"/>
  </w:num>
  <w:num w:numId="2" w16cid:durableId="1723479599">
    <w:abstractNumId w:val="19"/>
  </w:num>
  <w:num w:numId="3" w16cid:durableId="2101876533">
    <w:abstractNumId w:val="1"/>
  </w:num>
  <w:num w:numId="4" w16cid:durableId="2090686666">
    <w:abstractNumId w:val="8"/>
  </w:num>
  <w:num w:numId="5" w16cid:durableId="437800973">
    <w:abstractNumId w:val="15"/>
  </w:num>
  <w:num w:numId="6" w16cid:durableId="700282402">
    <w:abstractNumId w:val="17"/>
  </w:num>
  <w:num w:numId="7" w16cid:durableId="1309476948">
    <w:abstractNumId w:val="18"/>
  </w:num>
  <w:num w:numId="8" w16cid:durableId="550963706">
    <w:abstractNumId w:val="9"/>
  </w:num>
  <w:num w:numId="9" w16cid:durableId="1284192548">
    <w:abstractNumId w:val="16"/>
  </w:num>
  <w:num w:numId="10" w16cid:durableId="856843399">
    <w:abstractNumId w:val="3"/>
  </w:num>
  <w:num w:numId="11" w16cid:durableId="1171601898">
    <w:abstractNumId w:val="6"/>
  </w:num>
  <w:num w:numId="12" w16cid:durableId="190920732">
    <w:abstractNumId w:val="4"/>
  </w:num>
  <w:num w:numId="13" w16cid:durableId="519398895">
    <w:abstractNumId w:val="20"/>
  </w:num>
  <w:num w:numId="14" w16cid:durableId="935097043">
    <w:abstractNumId w:val="7"/>
  </w:num>
  <w:num w:numId="15" w16cid:durableId="2064131136">
    <w:abstractNumId w:val="11"/>
  </w:num>
  <w:num w:numId="16" w16cid:durableId="1268149142">
    <w:abstractNumId w:val="10"/>
  </w:num>
  <w:num w:numId="17" w16cid:durableId="81950189">
    <w:abstractNumId w:val="5"/>
  </w:num>
  <w:num w:numId="18" w16cid:durableId="2050251956">
    <w:abstractNumId w:val="13"/>
  </w:num>
  <w:num w:numId="19" w16cid:durableId="460730629">
    <w:abstractNumId w:val="12"/>
  </w:num>
  <w:num w:numId="20" w16cid:durableId="513954877">
    <w:abstractNumId w:val="2"/>
  </w:num>
  <w:num w:numId="21" w16cid:durableId="21029911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8F5"/>
    <w:rsid w:val="000034C8"/>
    <w:rsid w:val="00003B22"/>
    <w:rsid w:val="00003C50"/>
    <w:rsid w:val="00005758"/>
    <w:rsid w:val="0000594A"/>
    <w:rsid w:val="000064E8"/>
    <w:rsid w:val="00012122"/>
    <w:rsid w:val="00014678"/>
    <w:rsid w:val="00017F59"/>
    <w:rsid w:val="000256BA"/>
    <w:rsid w:val="00026CB7"/>
    <w:rsid w:val="000329EE"/>
    <w:rsid w:val="00033FF8"/>
    <w:rsid w:val="00036E6F"/>
    <w:rsid w:val="000372EA"/>
    <w:rsid w:val="00037668"/>
    <w:rsid w:val="00037C9C"/>
    <w:rsid w:val="000410D9"/>
    <w:rsid w:val="000447F3"/>
    <w:rsid w:val="00047111"/>
    <w:rsid w:val="00047F9C"/>
    <w:rsid w:val="00052503"/>
    <w:rsid w:val="00052F6A"/>
    <w:rsid w:val="000534DE"/>
    <w:rsid w:val="000540E0"/>
    <w:rsid w:val="00055288"/>
    <w:rsid w:val="000575BE"/>
    <w:rsid w:val="00064FFA"/>
    <w:rsid w:val="0006610B"/>
    <w:rsid w:val="000705F6"/>
    <w:rsid w:val="00071F8F"/>
    <w:rsid w:val="0007276D"/>
    <w:rsid w:val="00075A94"/>
    <w:rsid w:val="00080C84"/>
    <w:rsid w:val="00085C00"/>
    <w:rsid w:val="000862DB"/>
    <w:rsid w:val="00087803"/>
    <w:rsid w:val="000906CC"/>
    <w:rsid w:val="00094383"/>
    <w:rsid w:val="00094509"/>
    <w:rsid w:val="000A0FBF"/>
    <w:rsid w:val="000A37CE"/>
    <w:rsid w:val="000A5648"/>
    <w:rsid w:val="000A6B32"/>
    <w:rsid w:val="000A7744"/>
    <w:rsid w:val="000B14F9"/>
    <w:rsid w:val="000B207E"/>
    <w:rsid w:val="000B40DA"/>
    <w:rsid w:val="000B7606"/>
    <w:rsid w:val="000B7A83"/>
    <w:rsid w:val="000C004A"/>
    <w:rsid w:val="000C4F52"/>
    <w:rsid w:val="000C7F2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618D"/>
    <w:rsid w:val="001164A0"/>
    <w:rsid w:val="001200E6"/>
    <w:rsid w:val="00123B61"/>
    <w:rsid w:val="0012565F"/>
    <w:rsid w:val="00125735"/>
    <w:rsid w:val="00125971"/>
    <w:rsid w:val="0013060E"/>
    <w:rsid w:val="00132855"/>
    <w:rsid w:val="0013759C"/>
    <w:rsid w:val="00140F05"/>
    <w:rsid w:val="00141227"/>
    <w:rsid w:val="00143CBA"/>
    <w:rsid w:val="00144EA0"/>
    <w:rsid w:val="0014580E"/>
    <w:rsid w:val="001478F2"/>
    <w:rsid w:val="00152945"/>
    <w:rsid w:val="00152993"/>
    <w:rsid w:val="00153426"/>
    <w:rsid w:val="00153A21"/>
    <w:rsid w:val="00153D06"/>
    <w:rsid w:val="00155A87"/>
    <w:rsid w:val="00160B22"/>
    <w:rsid w:val="001611E5"/>
    <w:rsid w:val="00162630"/>
    <w:rsid w:val="00162CDF"/>
    <w:rsid w:val="00164F10"/>
    <w:rsid w:val="001660CA"/>
    <w:rsid w:val="0016687A"/>
    <w:rsid w:val="00166E31"/>
    <w:rsid w:val="00170297"/>
    <w:rsid w:val="001708FF"/>
    <w:rsid w:val="00170E84"/>
    <w:rsid w:val="0017189E"/>
    <w:rsid w:val="00173504"/>
    <w:rsid w:val="00177904"/>
    <w:rsid w:val="0018030B"/>
    <w:rsid w:val="001808E8"/>
    <w:rsid w:val="0018160A"/>
    <w:rsid w:val="00181D29"/>
    <w:rsid w:val="001823A1"/>
    <w:rsid w:val="0018456E"/>
    <w:rsid w:val="00186737"/>
    <w:rsid w:val="0018688F"/>
    <w:rsid w:val="001901F8"/>
    <w:rsid w:val="001930E2"/>
    <w:rsid w:val="00196B96"/>
    <w:rsid w:val="00196D1F"/>
    <w:rsid w:val="001A02CC"/>
    <w:rsid w:val="001A04E4"/>
    <w:rsid w:val="001A1196"/>
    <w:rsid w:val="001A227D"/>
    <w:rsid w:val="001A5805"/>
    <w:rsid w:val="001A5DD7"/>
    <w:rsid w:val="001A6906"/>
    <w:rsid w:val="001A7CB3"/>
    <w:rsid w:val="001B06FD"/>
    <w:rsid w:val="001B4419"/>
    <w:rsid w:val="001B4F84"/>
    <w:rsid w:val="001B62FA"/>
    <w:rsid w:val="001B636B"/>
    <w:rsid w:val="001C2A12"/>
    <w:rsid w:val="001C325E"/>
    <w:rsid w:val="001C4313"/>
    <w:rsid w:val="001C5DCD"/>
    <w:rsid w:val="001C7B84"/>
    <w:rsid w:val="001C7C81"/>
    <w:rsid w:val="001D29C7"/>
    <w:rsid w:val="001D2F53"/>
    <w:rsid w:val="001D3220"/>
    <w:rsid w:val="001D42B2"/>
    <w:rsid w:val="001D438F"/>
    <w:rsid w:val="001E0D39"/>
    <w:rsid w:val="001E17E4"/>
    <w:rsid w:val="001E2032"/>
    <w:rsid w:val="001E4536"/>
    <w:rsid w:val="001F17F0"/>
    <w:rsid w:val="001F2DCB"/>
    <w:rsid w:val="001F5089"/>
    <w:rsid w:val="00200CD2"/>
    <w:rsid w:val="00201805"/>
    <w:rsid w:val="002032A3"/>
    <w:rsid w:val="00204D2E"/>
    <w:rsid w:val="002055A5"/>
    <w:rsid w:val="002066DE"/>
    <w:rsid w:val="00207087"/>
    <w:rsid w:val="00207C20"/>
    <w:rsid w:val="00210474"/>
    <w:rsid w:val="002107CD"/>
    <w:rsid w:val="00213C99"/>
    <w:rsid w:val="00216A27"/>
    <w:rsid w:val="002220BF"/>
    <w:rsid w:val="00222313"/>
    <w:rsid w:val="002226CE"/>
    <w:rsid w:val="00223235"/>
    <w:rsid w:val="00224F3B"/>
    <w:rsid w:val="00230409"/>
    <w:rsid w:val="00230B78"/>
    <w:rsid w:val="0023350B"/>
    <w:rsid w:val="00236449"/>
    <w:rsid w:val="00236AC0"/>
    <w:rsid w:val="00237F13"/>
    <w:rsid w:val="002451E1"/>
    <w:rsid w:val="00250D74"/>
    <w:rsid w:val="002511F8"/>
    <w:rsid w:val="002516A2"/>
    <w:rsid w:val="00251F7E"/>
    <w:rsid w:val="002566B2"/>
    <w:rsid w:val="00262F0F"/>
    <w:rsid w:val="00263D2B"/>
    <w:rsid w:val="00265685"/>
    <w:rsid w:val="00265C64"/>
    <w:rsid w:val="0026609B"/>
    <w:rsid w:val="002701B3"/>
    <w:rsid w:val="00270B0A"/>
    <w:rsid w:val="00272708"/>
    <w:rsid w:val="00276EA0"/>
    <w:rsid w:val="002771E6"/>
    <w:rsid w:val="0028171A"/>
    <w:rsid w:val="00282BB0"/>
    <w:rsid w:val="0028324C"/>
    <w:rsid w:val="00285E0C"/>
    <w:rsid w:val="0028674B"/>
    <w:rsid w:val="0028674E"/>
    <w:rsid w:val="0029162C"/>
    <w:rsid w:val="00292D19"/>
    <w:rsid w:val="00294E3C"/>
    <w:rsid w:val="0029555B"/>
    <w:rsid w:val="002974AD"/>
    <w:rsid w:val="00297F89"/>
    <w:rsid w:val="002A079F"/>
    <w:rsid w:val="002A198D"/>
    <w:rsid w:val="002A1D24"/>
    <w:rsid w:val="002A3FA5"/>
    <w:rsid w:val="002A5EE1"/>
    <w:rsid w:val="002B3BB1"/>
    <w:rsid w:val="002B5F4D"/>
    <w:rsid w:val="002C006A"/>
    <w:rsid w:val="002C0227"/>
    <w:rsid w:val="002C1404"/>
    <w:rsid w:val="002C3FFD"/>
    <w:rsid w:val="002D1EFA"/>
    <w:rsid w:val="002D25D8"/>
    <w:rsid w:val="002D6F13"/>
    <w:rsid w:val="002E01AE"/>
    <w:rsid w:val="002E1B33"/>
    <w:rsid w:val="002E36C8"/>
    <w:rsid w:val="002E4C5D"/>
    <w:rsid w:val="002E5341"/>
    <w:rsid w:val="002F043F"/>
    <w:rsid w:val="002F1182"/>
    <w:rsid w:val="002F6CCD"/>
    <w:rsid w:val="002F6E6F"/>
    <w:rsid w:val="00300876"/>
    <w:rsid w:val="003010C0"/>
    <w:rsid w:val="003031B9"/>
    <w:rsid w:val="00303B78"/>
    <w:rsid w:val="00304C40"/>
    <w:rsid w:val="00307EA4"/>
    <w:rsid w:val="00310D78"/>
    <w:rsid w:val="0031158C"/>
    <w:rsid w:val="003115EC"/>
    <w:rsid w:val="00312C00"/>
    <w:rsid w:val="00314C43"/>
    <w:rsid w:val="00315CDB"/>
    <w:rsid w:val="00317BB1"/>
    <w:rsid w:val="00322DAC"/>
    <w:rsid w:val="00326405"/>
    <w:rsid w:val="00327733"/>
    <w:rsid w:val="00330326"/>
    <w:rsid w:val="00330BF2"/>
    <w:rsid w:val="00332A97"/>
    <w:rsid w:val="003333A9"/>
    <w:rsid w:val="0033444B"/>
    <w:rsid w:val="00336A05"/>
    <w:rsid w:val="003402A9"/>
    <w:rsid w:val="0034051C"/>
    <w:rsid w:val="003414BF"/>
    <w:rsid w:val="00341D98"/>
    <w:rsid w:val="00342C86"/>
    <w:rsid w:val="00343848"/>
    <w:rsid w:val="00344EDC"/>
    <w:rsid w:val="003451A9"/>
    <w:rsid w:val="00350C00"/>
    <w:rsid w:val="00351FAF"/>
    <w:rsid w:val="00352B02"/>
    <w:rsid w:val="003542EB"/>
    <w:rsid w:val="003552A5"/>
    <w:rsid w:val="003561DC"/>
    <w:rsid w:val="003605BD"/>
    <w:rsid w:val="00366113"/>
    <w:rsid w:val="00366799"/>
    <w:rsid w:val="0036773F"/>
    <w:rsid w:val="00367745"/>
    <w:rsid w:val="00370625"/>
    <w:rsid w:val="0037313B"/>
    <w:rsid w:val="00374011"/>
    <w:rsid w:val="00374E88"/>
    <w:rsid w:val="003759A5"/>
    <w:rsid w:val="0037716D"/>
    <w:rsid w:val="0038106C"/>
    <w:rsid w:val="003810FD"/>
    <w:rsid w:val="00381E01"/>
    <w:rsid w:val="00383CAA"/>
    <w:rsid w:val="00383CE8"/>
    <w:rsid w:val="00384D6F"/>
    <w:rsid w:val="00386A10"/>
    <w:rsid w:val="00387E43"/>
    <w:rsid w:val="003903BA"/>
    <w:rsid w:val="00390DA1"/>
    <w:rsid w:val="003911BA"/>
    <w:rsid w:val="00394CA7"/>
    <w:rsid w:val="00395C4E"/>
    <w:rsid w:val="00396B5B"/>
    <w:rsid w:val="003A0097"/>
    <w:rsid w:val="003A1413"/>
    <w:rsid w:val="003A31FB"/>
    <w:rsid w:val="003A4A9C"/>
    <w:rsid w:val="003A6986"/>
    <w:rsid w:val="003A6A77"/>
    <w:rsid w:val="003A6A9E"/>
    <w:rsid w:val="003A7309"/>
    <w:rsid w:val="003B2995"/>
    <w:rsid w:val="003B3330"/>
    <w:rsid w:val="003B39D1"/>
    <w:rsid w:val="003B6BAA"/>
    <w:rsid w:val="003C251E"/>
    <w:rsid w:val="003C2660"/>
    <w:rsid w:val="003C270C"/>
    <w:rsid w:val="003C405A"/>
    <w:rsid w:val="003C443F"/>
    <w:rsid w:val="003C5ED9"/>
    <w:rsid w:val="003C6138"/>
    <w:rsid w:val="003C6F9C"/>
    <w:rsid w:val="003D0994"/>
    <w:rsid w:val="003D1FB7"/>
    <w:rsid w:val="003D20A2"/>
    <w:rsid w:val="003D74F5"/>
    <w:rsid w:val="003D78E2"/>
    <w:rsid w:val="003D7A3B"/>
    <w:rsid w:val="003E3881"/>
    <w:rsid w:val="003E39BA"/>
    <w:rsid w:val="003E5BF3"/>
    <w:rsid w:val="003E77E1"/>
    <w:rsid w:val="003E7D74"/>
    <w:rsid w:val="003E7F33"/>
    <w:rsid w:val="003F0EA9"/>
    <w:rsid w:val="003F1287"/>
    <w:rsid w:val="003F56A7"/>
    <w:rsid w:val="003F7C0F"/>
    <w:rsid w:val="004012DB"/>
    <w:rsid w:val="0040276E"/>
    <w:rsid w:val="00402FD8"/>
    <w:rsid w:val="00404C5E"/>
    <w:rsid w:val="00404FD5"/>
    <w:rsid w:val="00406A82"/>
    <w:rsid w:val="00410AD1"/>
    <w:rsid w:val="00410DDC"/>
    <w:rsid w:val="004125CA"/>
    <w:rsid w:val="00413EC7"/>
    <w:rsid w:val="00415CEE"/>
    <w:rsid w:val="0042032F"/>
    <w:rsid w:val="00420B5D"/>
    <w:rsid w:val="004210DD"/>
    <w:rsid w:val="004223F5"/>
    <w:rsid w:val="0042370B"/>
    <w:rsid w:val="00423824"/>
    <w:rsid w:val="00423888"/>
    <w:rsid w:val="00423B79"/>
    <w:rsid w:val="00424F1A"/>
    <w:rsid w:val="00425D62"/>
    <w:rsid w:val="00426B28"/>
    <w:rsid w:val="00427E88"/>
    <w:rsid w:val="00431012"/>
    <w:rsid w:val="00431133"/>
    <w:rsid w:val="0043155E"/>
    <w:rsid w:val="0043422B"/>
    <w:rsid w:val="0043567D"/>
    <w:rsid w:val="00435983"/>
    <w:rsid w:val="00435AA5"/>
    <w:rsid w:val="0044296A"/>
    <w:rsid w:val="00443D73"/>
    <w:rsid w:val="004451B9"/>
    <w:rsid w:val="00452B95"/>
    <w:rsid w:val="00453DEA"/>
    <w:rsid w:val="00456375"/>
    <w:rsid w:val="004604CC"/>
    <w:rsid w:val="0046210A"/>
    <w:rsid w:val="004632EB"/>
    <w:rsid w:val="0046456F"/>
    <w:rsid w:val="00465D6A"/>
    <w:rsid w:val="0046639E"/>
    <w:rsid w:val="00466FCD"/>
    <w:rsid w:val="00470F98"/>
    <w:rsid w:val="00477B8F"/>
    <w:rsid w:val="0048341C"/>
    <w:rsid w:val="00483EBC"/>
    <w:rsid w:val="004844AF"/>
    <w:rsid w:val="00485593"/>
    <w:rsid w:val="00494735"/>
    <w:rsid w:val="004979E4"/>
    <w:rsid w:val="004A0715"/>
    <w:rsid w:val="004A0827"/>
    <w:rsid w:val="004A1070"/>
    <w:rsid w:val="004A3477"/>
    <w:rsid w:val="004A57CF"/>
    <w:rsid w:val="004B014F"/>
    <w:rsid w:val="004B0B74"/>
    <w:rsid w:val="004B0FD0"/>
    <w:rsid w:val="004B32C1"/>
    <w:rsid w:val="004B3E5C"/>
    <w:rsid w:val="004B410F"/>
    <w:rsid w:val="004B5E35"/>
    <w:rsid w:val="004B7B90"/>
    <w:rsid w:val="004C3B04"/>
    <w:rsid w:val="004C603F"/>
    <w:rsid w:val="004D1D88"/>
    <w:rsid w:val="004D3FA7"/>
    <w:rsid w:val="004D5828"/>
    <w:rsid w:val="004D7F36"/>
    <w:rsid w:val="004E03FD"/>
    <w:rsid w:val="004E0EE7"/>
    <w:rsid w:val="004E2C19"/>
    <w:rsid w:val="004E3072"/>
    <w:rsid w:val="004E36E4"/>
    <w:rsid w:val="004E6444"/>
    <w:rsid w:val="004E6619"/>
    <w:rsid w:val="004F0753"/>
    <w:rsid w:val="004F2C87"/>
    <w:rsid w:val="004F6E47"/>
    <w:rsid w:val="00501256"/>
    <w:rsid w:val="00501EDF"/>
    <w:rsid w:val="005020DD"/>
    <w:rsid w:val="00503544"/>
    <w:rsid w:val="00504BF7"/>
    <w:rsid w:val="0050701D"/>
    <w:rsid w:val="0051019B"/>
    <w:rsid w:val="005122F2"/>
    <w:rsid w:val="00512855"/>
    <w:rsid w:val="005143C7"/>
    <w:rsid w:val="00515733"/>
    <w:rsid w:val="005172B9"/>
    <w:rsid w:val="00522137"/>
    <w:rsid w:val="005233DE"/>
    <w:rsid w:val="005267F9"/>
    <w:rsid w:val="00532EBF"/>
    <w:rsid w:val="00534A18"/>
    <w:rsid w:val="00536026"/>
    <w:rsid w:val="00540E73"/>
    <w:rsid w:val="00541154"/>
    <w:rsid w:val="005417BF"/>
    <w:rsid w:val="00542649"/>
    <w:rsid w:val="005428E1"/>
    <w:rsid w:val="005446BC"/>
    <w:rsid w:val="00550346"/>
    <w:rsid w:val="0055150A"/>
    <w:rsid w:val="005519F9"/>
    <w:rsid w:val="0055216C"/>
    <w:rsid w:val="005526C7"/>
    <w:rsid w:val="00556153"/>
    <w:rsid w:val="005573E9"/>
    <w:rsid w:val="0056118F"/>
    <w:rsid w:val="00562285"/>
    <w:rsid w:val="00562FAE"/>
    <w:rsid w:val="005634DE"/>
    <w:rsid w:val="00563A17"/>
    <w:rsid w:val="00564816"/>
    <w:rsid w:val="00567735"/>
    <w:rsid w:val="00567D00"/>
    <w:rsid w:val="00567D17"/>
    <w:rsid w:val="005714F0"/>
    <w:rsid w:val="00571AAC"/>
    <w:rsid w:val="00571B21"/>
    <w:rsid w:val="00571E4D"/>
    <w:rsid w:val="00572BB0"/>
    <w:rsid w:val="0058283F"/>
    <w:rsid w:val="0058284F"/>
    <w:rsid w:val="00582B34"/>
    <w:rsid w:val="00583ACB"/>
    <w:rsid w:val="00583DD9"/>
    <w:rsid w:val="0058409B"/>
    <w:rsid w:val="00584A9B"/>
    <w:rsid w:val="00587D75"/>
    <w:rsid w:val="0059064D"/>
    <w:rsid w:val="00591F59"/>
    <w:rsid w:val="0059319F"/>
    <w:rsid w:val="00593776"/>
    <w:rsid w:val="005942DD"/>
    <w:rsid w:val="00594AD1"/>
    <w:rsid w:val="005973DD"/>
    <w:rsid w:val="005A0B12"/>
    <w:rsid w:val="005A511C"/>
    <w:rsid w:val="005A5FCD"/>
    <w:rsid w:val="005B0A60"/>
    <w:rsid w:val="005B2AA4"/>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741"/>
    <w:rsid w:val="00601F09"/>
    <w:rsid w:val="0060202A"/>
    <w:rsid w:val="00604616"/>
    <w:rsid w:val="00607D66"/>
    <w:rsid w:val="0061311A"/>
    <w:rsid w:val="006157CE"/>
    <w:rsid w:val="006164B3"/>
    <w:rsid w:val="00616C4F"/>
    <w:rsid w:val="0061798D"/>
    <w:rsid w:val="0062054E"/>
    <w:rsid w:val="006214F0"/>
    <w:rsid w:val="0062376A"/>
    <w:rsid w:val="00623779"/>
    <w:rsid w:val="006237D4"/>
    <w:rsid w:val="00623C7D"/>
    <w:rsid w:val="006248D7"/>
    <w:rsid w:val="00624B53"/>
    <w:rsid w:val="00625782"/>
    <w:rsid w:val="0062593F"/>
    <w:rsid w:val="00625A73"/>
    <w:rsid w:val="00633E23"/>
    <w:rsid w:val="0063646B"/>
    <w:rsid w:val="006378FD"/>
    <w:rsid w:val="0063794F"/>
    <w:rsid w:val="00637EA3"/>
    <w:rsid w:val="00640300"/>
    <w:rsid w:val="00641A68"/>
    <w:rsid w:val="00641C2B"/>
    <w:rsid w:val="00642B62"/>
    <w:rsid w:val="00642D36"/>
    <w:rsid w:val="0064348E"/>
    <w:rsid w:val="00645E66"/>
    <w:rsid w:val="006464FC"/>
    <w:rsid w:val="0064650C"/>
    <w:rsid w:val="0064740E"/>
    <w:rsid w:val="006501E0"/>
    <w:rsid w:val="00653900"/>
    <w:rsid w:val="006541E3"/>
    <w:rsid w:val="00655676"/>
    <w:rsid w:val="006558D4"/>
    <w:rsid w:val="00656D0B"/>
    <w:rsid w:val="00657E42"/>
    <w:rsid w:val="00662293"/>
    <w:rsid w:val="006659E6"/>
    <w:rsid w:val="00667537"/>
    <w:rsid w:val="00667BFD"/>
    <w:rsid w:val="00667FAD"/>
    <w:rsid w:val="0067017B"/>
    <w:rsid w:val="0067051A"/>
    <w:rsid w:val="00670A8D"/>
    <w:rsid w:val="00673B94"/>
    <w:rsid w:val="006743C8"/>
    <w:rsid w:val="00676716"/>
    <w:rsid w:val="00680AC6"/>
    <w:rsid w:val="00680F78"/>
    <w:rsid w:val="00681A8D"/>
    <w:rsid w:val="006835D8"/>
    <w:rsid w:val="00686E4E"/>
    <w:rsid w:val="00691C94"/>
    <w:rsid w:val="00692C08"/>
    <w:rsid w:val="00696511"/>
    <w:rsid w:val="00697681"/>
    <w:rsid w:val="00697ACC"/>
    <w:rsid w:val="006A08F1"/>
    <w:rsid w:val="006A466A"/>
    <w:rsid w:val="006A7762"/>
    <w:rsid w:val="006B3DF7"/>
    <w:rsid w:val="006B56C4"/>
    <w:rsid w:val="006B6592"/>
    <w:rsid w:val="006C2620"/>
    <w:rsid w:val="006C316E"/>
    <w:rsid w:val="006C3858"/>
    <w:rsid w:val="006C48D4"/>
    <w:rsid w:val="006C5B84"/>
    <w:rsid w:val="006C60BA"/>
    <w:rsid w:val="006C708E"/>
    <w:rsid w:val="006D048E"/>
    <w:rsid w:val="006D0F7C"/>
    <w:rsid w:val="006D1AE5"/>
    <w:rsid w:val="006D1E19"/>
    <w:rsid w:val="006D532B"/>
    <w:rsid w:val="006D6EB6"/>
    <w:rsid w:val="006E1315"/>
    <w:rsid w:val="006E2665"/>
    <w:rsid w:val="006E299B"/>
    <w:rsid w:val="006E2C43"/>
    <w:rsid w:val="006E34DE"/>
    <w:rsid w:val="006E5196"/>
    <w:rsid w:val="006E6D96"/>
    <w:rsid w:val="006E7022"/>
    <w:rsid w:val="006E7D99"/>
    <w:rsid w:val="006F0829"/>
    <w:rsid w:val="006F5794"/>
    <w:rsid w:val="006F71EC"/>
    <w:rsid w:val="006F7FF5"/>
    <w:rsid w:val="0070185E"/>
    <w:rsid w:val="00701D6F"/>
    <w:rsid w:val="00702F19"/>
    <w:rsid w:val="0071035C"/>
    <w:rsid w:val="00710C59"/>
    <w:rsid w:val="0071131A"/>
    <w:rsid w:val="00712CE4"/>
    <w:rsid w:val="00713BD5"/>
    <w:rsid w:val="007148E9"/>
    <w:rsid w:val="007158F6"/>
    <w:rsid w:val="007206BF"/>
    <w:rsid w:val="00721D1B"/>
    <w:rsid w:val="007220E7"/>
    <w:rsid w:val="0072349B"/>
    <w:rsid w:val="00725921"/>
    <w:rsid w:val="00726175"/>
    <w:rsid w:val="007269C4"/>
    <w:rsid w:val="0072730F"/>
    <w:rsid w:val="00730C58"/>
    <w:rsid w:val="00733ABA"/>
    <w:rsid w:val="00734192"/>
    <w:rsid w:val="00734EAF"/>
    <w:rsid w:val="007419D6"/>
    <w:rsid w:val="0074209E"/>
    <w:rsid w:val="00742360"/>
    <w:rsid w:val="00744110"/>
    <w:rsid w:val="00744ACF"/>
    <w:rsid w:val="00744F46"/>
    <w:rsid w:val="00746614"/>
    <w:rsid w:val="007503A4"/>
    <w:rsid w:val="0075064D"/>
    <w:rsid w:val="00753580"/>
    <w:rsid w:val="007552CB"/>
    <w:rsid w:val="007554B8"/>
    <w:rsid w:val="00756524"/>
    <w:rsid w:val="0075769C"/>
    <w:rsid w:val="00761381"/>
    <w:rsid w:val="00763DBA"/>
    <w:rsid w:val="00764A58"/>
    <w:rsid w:val="00764F50"/>
    <w:rsid w:val="007657AE"/>
    <w:rsid w:val="00770BF5"/>
    <w:rsid w:val="007721AE"/>
    <w:rsid w:val="0077356E"/>
    <w:rsid w:val="00774A32"/>
    <w:rsid w:val="007769F4"/>
    <w:rsid w:val="00780421"/>
    <w:rsid w:val="00780A49"/>
    <w:rsid w:val="00780BAA"/>
    <w:rsid w:val="00782D88"/>
    <w:rsid w:val="0078457D"/>
    <w:rsid w:val="00787163"/>
    <w:rsid w:val="007877C7"/>
    <w:rsid w:val="0078793E"/>
    <w:rsid w:val="00787FF8"/>
    <w:rsid w:val="007912AC"/>
    <w:rsid w:val="00796ECD"/>
    <w:rsid w:val="007A02D6"/>
    <w:rsid w:val="007A1A6E"/>
    <w:rsid w:val="007A2509"/>
    <w:rsid w:val="007A2C49"/>
    <w:rsid w:val="007A329E"/>
    <w:rsid w:val="007A7CD8"/>
    <w:rsid w:val="007B19CA"/>
    <w:rsid w:val="007B2D9B"/>
    <w:rsid w:val="007C124D"/>
    <w:rsid w:val="007C18DA"/>
    <w:rsid w:val="007C208A"/>
    <w:rsid w:val="007C20DD"/>
    <w:rsid w:val="007C236B"/>
    <w:rsid w:val="007C40DB"/>
    <w:rsid w:val="007C5BFA"/>
    <w:rsid w:val="007C78E6"/>
    <w:rsid w:val="007D2197"/>
    <w:rsid w:val="007D43A5"/>
    <w:rsid w:val="007D5DFD"/>
    <w:rsid w:val="007D67D6"/>
    <w:rsid w:val="007D799A"/>
    <w:rsid w:val="007E054B"/>
    <w:rsid w:val="007E1962"/>
    <w:rsid w:val="007E1996"/>
    <w:rsid w:val="007E1A5C"/>
    <w:rsid w:val="007E26C4"/>
    <w:rsid w:val="007E27A1"/>
    <w:rsid w:val="007E2941"/>
    <w:rsid w:val="007E477D"/>
    <w:rsid w:val="007E5426"/>
    <w:rsid w:val="007E7553"/>
    <w:rsid w:val="007F0E98"/>
    <w:rsid w:val="007F11BA"/>
    <w:rsid w:val="007F28AD"/>
    <w:rsid w:val="007F2CA8"/>
    <w:rsid w:val="007F389C"/>
    <w:rsid w:val="007F4775"/>
    <w:rsid w:val="007F696C"/>
    <w:rsid w:val="007F7161"/>
    <w:rsid w:val="007F78BF"/>
    <w:rsid w:val="0080179E"/>
    <w:rsid w:val="00801AED"/>
    <w:rsid w:val="00801BD2"/>
    <w:rsid w:val="00801E0E"/>
    <w:rsid w:val="00805F09"/>
    <w:rsid w:val="00806AB4"/>
    <w:rsid w:val="00811A0D"/>
    <w:rsid w:val="00811AEA"/>
    <w:rsid w:val="00811CFC"/>
    <w:rsid w:val="00811D81"/>
    <w:rsid w:val="00814AC7"/>
    <w:rsid w:val="00814D77"/>
    <w:rsid w:val="00815C91"/>
    <w:rsid w:val="00817043"/>
    <w:rsid w:val="00817FC6"/>
    <w:rsid w:val="00820623"/>
    <w:rsid w:val="0082185B"/>
    <w:rsid w:val="008226D4"/>
    <w:rsid w:val="00823604"/>
    <w:rsid w:val="008238FB"/>
    <w:rsid w:val="00823E4A"/>
    <w:rsid w:val="008242BB"/>
    <w:rsid w:val="00824757"/>
    <w:rsid w:val="00825073"/>
    <w:rsid w:val="008256BD"/>
    <w:rsid w:val="00830021"/>
    <w:rsid w:val="00830E0C"/>
    <w:rsid w:val="00830FAC"/>
    <w:rsid w:val="00831762"/>
    <w:rsid w:val="0083382C"/>
    <w:rsid w:val="00833CDF"/>
    <w:rsid w:val="0083406C"/>
    <w:rsid w:val="00837B91"/>
    <w:rsid w:val="00842FC5"/>
    <w:rsid w:val="008431A9"/>
    <w:rsid w:val="008436F3"/>
    <w:rsid w:val="00845014"/>
    <w:rsid w:val="0085087A"/>
    <w:rsid w:val="00850956"/>
    <w:rsid w:val="00851235"/>
    <w:rsid w:val="00851534"/>
    <w:rsid w:val="00851C3A"/>
    <w:rsid w:val="0085559E"/>
    <w:rsid w:val="00856690"/>
    <w:rsid w:val="00856974"/>
    <w:rsid w:val="00863D65"/>
    <w:rsid w:val="00864147"/>
    <w:rsid w:val="00864456"/>
    <w:rsid w:val="00864838"/>
    <w:rsid w:val="008660F9"/>
    <w:rsid w:val="00870348"/>
    <w:rsid w:val="0087285E"/>
    <w:rsid w:val="00872C80"/>
    <w:rsid w:val="008764E5"/>
    <w:rsid w:val="00876B8A"/>
    <w:rsid w:val="0087726C"/>
    <w:rsid w:val="00877521"/>
    <w:rsid w:val="00880940"/>
    <w:rsid w:val="00881D80"/>
    <w:rsid w:val="00882211"/>
    <w:rsid w:val="0088340C"/>
    <w:rsid w:val="00885F6E"/>
    <w:rsid w:val="0088798F"/>
    <w:rsid w:val="008908F7"/>
    <w:rsid w:val="00893572"/>
    <w:rsid w:val="00895749"/>
    <w:rsid w:val="008962C2"/>
    <w:rsid w:val="00896B1B"/>
    <w:rsid w:val="008A449B"/>
    <w:rsid w:val="008A4616"/>
    <w:rsid w:val="008A493E"/>
    <w:rsid w:val="008A510E"/>
    <w:rsid w:val="008A5402"/>
    <w:rsid w:val="008B0269"/>
    <w:rsid w:val="008B0AD4"/>
    <w:rsid w:val="008B0D8F"/>
    <w:rsid w:val="008B1B10"/>
    <w:rsid w:val="008B44E8"/>
    <w:rsid w:val="008B4B3B"/>
    <w:rsid w:val="008B5CB9"/>
    <w:rsid w:val="008B6509"/>
    <w:rsid w:val="008C10E1"/>
    <w:rsid w:val="008C33B4"/>
    <w:rsid w:val="008C6DB2"/>
    <w:rsid w:val="008D142A"/>
    <w:rsid w:val="008D2033"/>
    <w:rsid w:val="008D3AC8"/>
    <w:rsid w:val="008D406A"/>
    <w:rsid w:val="008D4A12"/>
    <w:rsid w:val="008D5FDD"/>
    <w:rsid w:val="008D7AAE"/>
    <w:rsid w:val="008E207E"/>
    <w:rsid w:val="008E3B69"/>
    <w:rsid w:val="008E559E"/>
    <w:rsid w:val="008E5716"/>
    <w:rsid w:val="008E5DED"/>
    <w:rsid w:val="008F2104"/>
    <w:rsid w:val="008F402A"/>
    <w:rsid w:val="008F50AA"/>
    <w:rsid w:val="008F53BA"/>
    <w:rsid w:val="008F5DF5"/>
    <w:rsid w:val="008F6185"/>
    <w:rsid w:val="008F6707"/>
    <w:rsid w:val="008F6976"/>
    <w:rsid w:val="0090218D"/>
    <w:rsid w:val="009051E1"/>
    <w:rsid w:val="00905FEA"/>
    <w:rsid w:val="00906874"/>
    <w:rsid w:val="00906E09"/>
    <w:rsid w:val="009101AF"/>
    <w:rsid w:val="009114A4"/>
    <w:rsid w:val="0091529F"/>
    <w:rsid w:val="00916080"/>
    <w:rsid w:val="009174A3"/>
    <w:rsid w:val="009174D4"/>
    <w:rsid w:val="00917B8D"/>
    <w:rsid w:val="00917F78"/>
    <w:rsid w:val="00921A68"/>
    <w:rsid w:val="00924DC2"/>
    <w:rsid w:val="009255B3"/>
    <w:rsid w:val="00930444"/>
    <w:rsid w:val="009368F5"/>
    <w:rsid w:val="0093740A"/>
    <w:rsid w:val="009435A3"/>
    <w:rsid w:val="00944368"/>
    <w:rsid w:val="00947ECC"/>
    <w:rsid w:val="00953B85"/>
    <w:rsid w:val="00956472"/>
    <w:rsid w:val="00956D44"/>
    <w:rsid w:val="00956DB7"/>
    <w:rsid w:val="0096020B"/>
    <w:rsid w:val="009602A2"/>
    <w:rsid w:val="00960706"/>
    <w:rsid w:val="00960EC5"/>
    <w:rsid w:val="009621BA"/>
    <w:rsid w:val="00962D31"/>
    <w:rsid w:val="0096629D"/>
    <w:rsid w:val="00971C50"/>
    <w:rsid w:val="00973CC8"/>
    <w:rsid w:val="0097499C"/>
    <w:rsid w:val="0097508A"/>
    <w:rsid w:val="009807C7"/>
    <w:rsid w:val="00981729"/>
    <w:rsid w:val="00981772"/>
    <w:rsid w:val="009819C4"/>
    <w:rsid w:val="009841FC"/>
    <w:rsid w:val="0098507A"/>
    <w:rsid w:val="009856EE"/>
    <w:rsid w:val="0098570E"/>
    <w:rsid w:val="00992119"/>
    <w:rsid w:val="009934F8"/>
    <w:rsid w:val="009957C9"/>
    <w:rsid w:val="009A01C8"/>
    <w:rsid w:val="009A0283"/>
    <w:rsid w:val="009A1440"/>
    <w:rsid w:val="009A3105"/>
    <w:rsid w:val="009A65FD"/>
    <w:rsid w:val="009A79E7"/>
    <w:rsid w:val="009A7C8D"/>
    <w:rsid w:val="009B1688"/>
    <w:rsid w:val="009B18E5"/>
    <w:rsid w:val="009B4C04"/>
    <w:rsid w:val="009B6F05"/>
    <w:rsid w:val="009C117F"/>
    <w:rsid w:val="009C3871"/>
    <w:rsid w:val="009C6B0E"/>
    <w:rsid w:val="009D1050"/>
    <w:rsid w:val="009D1303"/>
    <w:rsid w:val="009D26D5"/>
    <w:rsid w:val="009D2700"/>
    <w:rsid w:val="009D2DB2"/>
    <w:rsid w:val="009D3BD3"/>
    <w:rsid w:val="009D4B22"/>
    <w:rsid w:val="009E2AA8"/>
    <w:rsid w:val="009E52D3"/>
    <w:rsid w:val="009E6327"/>
    <w:rsid w:val="009F1AE9"/>
    <w:rsid w:val="009F2095"/>
    <w:rsid w:val="009F29AF"/>
    <w:rsid w:val="009F3F40"/>
    <w:rsid w:val="009F49E0"/>
    <w:rsid w:val="009F6B0E"/>
    <w:rsid w:val="00A015C4"/>
    <w:rsid w:val="00A0259D"/>
    <w:rsid w:val="00A04093"/>
    <w:rsid w:val="00A04200"/>
    <w:rsid w:val="00A04A74"/>
    <w:rsid w:val="00A06C6E"/>
    <w:rsid w:val="00A10EA4"/>
    <w:rsid w:val="00A140FC"/>
    <w:rsid w:val="00A145F0"/>
    <w:rsid w:val="00A14F30"/>
    <w:rsid w:val="00A15172"/>
    <w:rsid w:val="00A20033"/>
    <w:rsid w:val="00A245CC"/>
    <w:rsid w:val="00A24A2E"/>
    <w:rsid w:val="00A27FCA"/>
    <w:rsid w:val="00A30D98"/>
    <w:rsid w:val="00A33105"/>
    <w:rsid w:val="00A37A85"/>
    <w:rsid w:val="00A37CF5"/>
    <w:rsid w:val="00A40A23"/>
    <w:rsid w:val="00A43B2D"/>
    <w:rsid w:val="00A44CA0"/>
    <w:rsid w:val="00A460EB"/>
    <w:rsid w:val="00A5268C"/>
    <w:rsid w:val="00A533D2"/>
    <w:rsid w:val="00A53401"/>
    <w:rsid w:val="00A53A2A"/>
    <w:rsid w:val="00A53FA0"/>
    <w:rsid w:val="00A547D2"/>
    <w:rsid w:val="00A57A00"/>
    <w:rsid w:val="00A60704"/>
    <w:rsid w:val="00A6132D"/>
    <w:rsid w:val="00A661FD"/>
    <w:rsid w:val="00A676EC"/>
    <w:rsid w:val="00A70E04"/>
    <w:rsid w:val="00A80654"/>
    <w:rsid w:val="00A81E3E"/>
    <w:rsid w:val="00A81EB6"/>
    <w:rsid w:val="00A82D2E"/>
    <w:rsid w:val="00A837D9"/>
    <w:rsid w:val="00A843AD"/>
    <w:rsid w:val="00A84425"/>
    <w:rsid w:val="00A85A8C"/>
    <w:rsid w:val="00A86DD4"/>
    <w:rsid w:val="00A86F38"/>
    <w:rsid w:val="00A878A4"/>
    <w:rsid w:val="00A91068"/>
    <w:rsid w:val="00A92997"/>
    <w:rsid w:val="00A935EF"/>
    <w:rsid w:val="00A94587"/>
    <w:rsid w:val="00A94926"/>
    <w:rsid w:val="00A97211"/>
    <w:rsid w:val="00A974BE"/>
    <w:rsid w:val="00A97837"/>
    <w:rsid w:val="00AA2A8C"/>
    <w:rsid w:val="00AA4CFD"/>
    <w:rsid w:val="00AA6217"/>
    <w:rsid w:val="00AA6BD4"/>
    <w:rsid w:val="00AA7CA9"/>
    <w:rsid w:val="00AA7E27"/>
    <w:rsid w:val="00AB0140"/>
    <w:rsid w:val="00AB1198"/>
    <w:rsid w:val="00AB388B"/>
    <w:rsid w:val="00AB4B56"/>
    <w:rsid w:val="00AB6B24"/>
    <w:rsid w:val="00AC16B2"/>
    <w:rsid w:val="00AC7A29"/>
    <w:rsid w:val="00AD1299"/>
    <w:rsid w:val="00AD43CB"/>
    <w:rsid w:val="00AD584F"/>
    <w:rsid w:val="00AE0BFE"/>
    <w:rsid w:val="00AE130B"/>
    <w:rsid w:val="00AE1923"/>
    <w:rsid w:val="00AE2813"/>
    <w:rsid w:val="00AE2F21"/>
    <w:rsid w:val="00AE61BC"/>
    <w:rsid w:val="00AE6551"/>
    <w:rsid w:val="00AE6AB2"/>
    <w:rsid w:val="00AE7BB7"/>
    <w:rsid w:val="00AE7CEB"/>
    <w:rsid w:val="00AF1B84"/>
    <w:rsid w:val="00AF25DB"/>
    <w:rsid w:val="00AF2608"/>
    <w:rsid w:val="00AF4362"/>
    <w:rsid w:val="00B000E0"/>
    <w:rsid w:val="00B0617E"/>
    <w:rsid w:val="00B06919"/>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5E05"/>
    <w:rsid w:val="00B46B9E"/>
    <w:rsid w:val="00B51207"/>
    <w:rsid w:val="00B5400D"/>
    <w:rsid w:val="00B54664"/>
    <w:rsid w:val="00B56455"/>
    <w:rsid w:val="00B5712D"/>
    <w:rsid w:val="00B60CAB"/>
    <w:rsid w:val="00B63778"/>
    <w:rsid w:val="00B6517C"/>
    <w:rsid w:val="00B67691"/>
    <w:rsid w:val="00B70F57"/>
    <w:rsid w:val="00B741CF"/>
    <w:rsid w:val="00B7595A"/>
    <w:rsid w:val="00B76BE0"/>
    <w:rsid w:val="00B8455C"/>
    <w:rsid w:val="00B845F9"/>
    <w:rsid w:val="00B84EA7"/>
    <w:rsid w:val="00B9024E"/>
    <w:rsid w:val="00B9342B"/>
    <w:rsid w:val="00B9383B"/>
    <w:rsid w:val="00B94A28"/>
    <w:rsid w:val="00B9732B"/>
    <w:rsid w:val="00BA52C5"/>
    <w:rsid w:val="00BA7213"/>
    <w:rsid w:val="00BB18AD"/>
    <w:rsid w:val="00BB1F84"/>
    <w:rsid w:val="00BB4E86"/>
    <w:rsid w:val="00BB5E4A"/>
    <w:rsid w:val="00BB6CEA"/>
    <w:rsid w:val="00BC0C20"/>
    <w:rsid w:val="00BC1D05"/>
    <w:rsid w:val="00BC35E0"/>
    <w:rsid w:val="00BC49D9"/>
    <w:rsid w:val="00BC4FCE"/>
    <w:rsid w:val="00BC513D"/>
    <w:rsid w:val="00BC5253"/>
    <w:rsid w:val="00BC5A72"/>
    <w:rsid w:val="00BC6A0E"/>
    <w:rsid w:val="00BC7117"/>
    <w:rsid w:val="00BC7E0A"/>
    <w:rsid w:val="00BD063B"/>
    <w:rsid w:val="00BD13FE"/>
    <w:rsid w:val="00BD6536"/>
    <w:rsid w:val="00BD6D8B"/>
    <w:rsid w:val="00BD709E"/>
    <w:rsid w:val="00BE295E"/>
    <w:rsid w:val="00BE2E72"/>
    <w:rsid w:val="00BE3228"/>
    <w:rsid w:val="00BE6804"/>
    <w:rsid w:val="00BF018F"/>
    <w:rsid w:val="00BF097D"/>
    <w:rsid w:val="00BF1782"/>
    <w:rsid w:val="00BF4948"/>
    <w:rsid w:val="00BF5966"/>
    <w:rsid w:val="00BF637B"/>
    <w:rsid w:val="00C02BC8"/>
    <w:rsid w:val="00C034BB"/>
    <w:rsid w:val="00C03BB3"/>
    <w:rsid w:val="00C0598D"/>
    <w:rsid w:val="00C05EAA"/>
    <w:rsid w:val="00C067FD"/>
    <w:rsid w:val="00C07975"/>
    <w:rsid w:val="00C109FD"/>
    <w:rsid w:val="00C11956"/>
    <w:rsid w:val="00C158EE"/>
    <w:rsid w:val="00C2252A"/>
    <w:rsid w:val="00C22B12"/>
    <w:rsid w:val="00C23EB1"/>
    <w:rsid w:val="00C24E01"/>
    <w:rsid w:val="00C27F34"/>
    <w:rsid w:val="00C303CE"/>
    <w:rsid w:val="00C314E1"/>
    <w:rsid w:val="00C341E5"/>
    <w:rsid w:val="00C34BFA"/>
    <w:rsid w:val="00C3747C"/>
    <w:rsid w:val="00C4287A"/>
    <w:rsid w:val="00C43976"/>
    <w:rsid w:val="00C44575"/>
    <w:rsid w:val="00C45477"/>
    <w:rsid w:val="00C4691F"/>
    <w:rsid w:val="00C509EC"/>
    <w:rsid w:val="00C51C9F"/>
    <w:rsid w:val="00C52792"/>
    <w:rsid w:val="00C56069"/>
    <w:rsid w:val="00C602E5"/>
    <w:rsid w:val="00C60CF3"/>
    <w:rsid w:val="00C701F8"/>
    <w:rsid w:val="00C72EBC"/>
    <w:rsid w:val="00C74195"/>
    <w:rsid w:val="00C748FD"/>
    <w:rsid w:val="00C75F82"/>
    <w:rsid w:val="00C8037A"/>
    <w:rsid w:val="00C807C0"/>
    <w:rsid w:val="00C823B8"/>
    <w:rsid w:val="00C84276"/>
    <w:rsid w:val="00C873B1"/>
    <w:rsid w:val="00C87D4B"/>
    <w:rsid w:val="00C90C41"/>
    <w:rsid w:val="00C974A2"/>
    <w:rsid w:val="00C974E9"/>
    <w:rsid w:val="00CA03AB"/>
    <w:rsid w:val="00CA073A"/>
    <w:rsid w:val="00CA306D"/>
    <w:rsid w:val="00CA37A7"/>
    <w:rsid w:val="00CA3DFC"/>
    <w:rsid w:val="00CA6CB1"/>
    <w:rsid w:val="00CB0906"/>
    <w:rsid w:val="00CB147F"/>
    <w:rsid w:val="00CB2C1F"/>
    <w:rsid w:val="00CB67BC"/>
    <w:rsid w:val="00CB6870"/>
    <w:rsid w:val="00CB70A5"/>
    <w:rsid w:val="00CC127D"/>
    <w:rsid w:val="00CC3805"/>
    <w:rsid w:val="00CC4217"/>
    <w:rsid w:val="00CC521B"/>
    <w:rsid w:val="00CC63A4"/>
    <w:rsid w:val="00CC66E6"/>
    <w:rsid w:val="00CC6CBE"/>
    <w:rsid w:val="00CC755D"/>
    <w:rsid w:val="00CD1A59"/>
    <w:rsid w:val="00CD2133"/>
    <w:rsid w:val="00CD290E"/>
    <w:rsid w:val="00CD3064"/>
    <w:rsid w:val="00CD31D7"/>
    <w:rsid w:val="00CD3606"/>
    <w:rsid w:val="00CD3FAE"/>
    <w:rsid w:val="00CD4F48"/>
    <w:rsid w:val="00CD54DA"/>
    <w:rsid w:val="00CD5FF5"/>
    <w:rsid w:val="00CD75A8"/>
    <w:rsid w:val="00CD7F53"/>
    <w:rsid w:val="00CE2F26"/>
    <w:rsid w:val="00CE67A4"/>
    <w:rsid w:val="00CE7116"/>
    <w:rsid w:val="00CF0FFC"/>
    <w:rsid w:val="00CF1E63"/>
    <w:rsid w:val="00CF26B2"/>
    <w:rsid w:val="00CF2F6D"/>
    <w:rsid w:val="00CF34A2"/>
    <w:rsid w:val="00D04811"/>
    <w:rsid w:val="00D06CA8"/>
    <w:rsid w:val="00D11A68"/>
    <w:rsid w:val="00D131FE"/>
    <w:rsid w:val="00D1370C"/>
    <w:rsid w:val="00D14721"/>
    <w:rsid w:val="00D14CD8"/>
    <w:rsid w:val="00D1543D"/>
    <w:rsid w:val="00D179A2"/>
    <w:rsid w:val="00D20C62"/>
    <w:rsid w:val="00D215E9"/>
    <w:rsid w:val="00D2307E"/>
    <w:rsid w:val="00D24DCF"/>
    <w:rsid w:val="00D275D8"/>
    <w:rsid w:val="00D32420"/>
    <w:rsid w:val="00D3348A"/>
    <w:rsid w:val="00D341BC"/>
    <w:rsid w:val="00D345DC"/>
    <w:rsid w:val="00D3793A"/>
    <w:rsid w:val="00D37C20"/>
    <w:rsid w:val="00D4046E"/>
    <w:rsid w:val="00D433F8"/>
    <w:rsid w:val="00D438FD"/>
    <w:rsid w:val="00D46B92"/>
    <w:rsid w:val="00D5247B"/>
    <w:rsid w:val="00D524FD"/>
    <w:rsid w:val="00D54B83"/>
    <w:rsid w:val="00D55F11"/>
    <w:rsid w:val="00D56173"/>
    <w:rsid w:val="00D57187"/>
    <w:rsid w:val="00D57705"/>
    <w:rsid w:val="00D57942"/>
    <w:rsid w:val="00D60AD3"/>
    <w:rsid w:val="00D6106B"/>
    <w:rsid w:val="00D616D0"/>
    <w:rsid w:val="00D62DBD"/>
    <w:rsid w:val="00D65E61"/>
    <w:rsid w:val="00D67CB6"/>
    <w:rsid w:val="00D70710"/>
    <w:rsid w:val="00D71B61"/>
    <w:rsid w:val="00D74368"/>
    <w:rsid w:val="00D74850"/>
    <w:rsid w:val="00D77325"/>
    <w:rsid w:val="00D776BE"/>
    <w:rsid w:val="00D77BBD"/>
    <w:rsid w:val="00D83AE8"/>
    <w:rsid w:val="00D84517"/>
    <w:rsid w:val="00D8666B"/>
    <w:rsid w:val="00D90A62"/>
    <w:rsid w:val="00D92C31"/>
    <w:rsid w:val="00D93B7C"/>
    <w:rsid w:val="00D942C5"/>
    <w:rsid w:val="00D96254"/>
    <w:rsid w:val="00DA0C57"/>
    <w:rsid w:val="00DA0EFD"/>
    <w:rsid w:val="00DA3750"/>
    <w:rsid w:val="00DA411A"/>
    <w:rsid w:val="00DA6A60"/>
    <w:rsid w:val="00DB151B"/>
    <w:rsid w:val="00DB2148"/>
    <w:rsid w:val="00DB2E06"/>
    <w:rsid w:val="00DB4C6D"/>
    <w:rsid w:val="00DB7D82"/>
    <w:rsid w:val="00DC4AE2"/>
    <w:rsid w:val="00DC7A66"/>
    <w:rsid w:val="00DC7C0F"/>
    <w:rsid w:val="00DD024B"/>
    <w:rsid w:val="00DD2C1F"/>
    <w:rsid w:val="00DD336E"/>
    <w:rsid w:val="00DD4739"/>
    <w:rsid w:val="00DD770C"/>
    <w:rsid w:val="00DD78E5"/>
    <w:rsid w:val="00DD7E2F"/>
    <w:rsid w:val="00DE039D"/>
    <w:rsid w:val="00DE0606"/>
    <w:rsid w:val="00DE2C16"/>
    <w:rsid w:val="00DE56A0"/>
    <w:rsid w:val="00DE5F33"/>
    <w:rsid w:val="00DE5FB2"/>
    <w:rsid w:val="00DE785D"/>
    <w:rsid w:val="00DF0F27"/>
    <w:rsid w:val="00DF241C"/>
    <w:rsid w:val="00DF6481"/>
    <w:rsid w:val="00DF650E"/>
    <w:rsid w:val="00DF707B"/>
    <w:rsid w:val="00E00128"/>
    <w:rsid w:val="00E008F1"/>
    <w:rsid w:val="00E0572B"/>
    <w:rsid w:val="00E07B54"/>
    <w:rsid w:val="00E10953"/>
    <w:rsid w:val="00E11D3B"/>
    <w:rsid w:val="00E11F78"/>
    <w:rsid w:val="00E12587"/>
    <w:rsid w:val="00E1270E"/>
    <w:rsid w:val="00E13752"/>
    <w:rsid w:val="00E166F6"/>
    <w:rsid w:val="00E168D9"/>
    <w:rsid w:val="00E17E1A"/>
    <w:rsid w:val="00E22D09"/>
    <w:rsid w:val="00E22D8E"/>
    <w:rsid w:val="00E2403A"/>
    <w:rsid w:val="00E26FB4"/>
    <w:rsid w:val="00E3105F"/>
    <w:rsid w:val="00E31979"/>
    <w:rsid w:val="00E325E2"/>
    <w:rsid w:val="00E32CA7"/>
    <w:rsid w:val="00E34DD8"/>
    <w:rsid w:val="00E37DE7"/>
    <w:rsid w:val="00E40495"/>
    <w:rsid w:val="00E40FC1"/>
    <w:rsid w:val="00E410C2"/>
    <w:rsid w:val="00E424D9"/>
    <w:rsid w:val="00E431FF"/>
    <w:rsid w:val="00E4458F"/>
    <w:rsid w:val="00E46AE4"/>
    <w:rsid w:val="00E54E4F"/>
    <w:rsid w:val="00E57999"/>
    <w:rsid w:val="00E606A8"/>
    <w:rsid w:val="00E6135F"/>
    <w:rsid w:val="00E621E1"/>
    <w:rsid w:val="00E62F5E"/>
    <w:rsid w:val="00E63109"/>
    <w:rsid w:val="00E674CD"/>
    <w:rsid w:val="00E72087"/>
    <w:rsid w:val="00E72844"/>
    <w:rsid w:val="00E73DF8"/>
    <w:rsid w:val="00E7478F"/>
    <w:rsid w:val="00E77FB7"/>
    <w:rsid w:val="00E80392"/>
    <w:rsid w:val="00E8295D"/>
    <w:rsid w:val="00E8633D"/>
    <w:rsid w:val="00E87B9E"/>
    <w:rsid w:val="00E92304"/>
    <w:rsid w:val="00E936F5"/>
    <w:rsid w:val="00E93FA4"/>
    <w:rsid w:val="00EA171E"/>
    <w:rsid w:val="00EA2B1F"/>
    <w:rsid w:val="00EA5F1F"/>
    <w:rsid w:val="00EB1EDE"/>
    <w:rsid w:val="00EB2ED4"/>
    <w:rsid w:val="00EB5F02"/>
    <w:rsid w:val="00EC0138"/>
    <w:rsid w:val="00EC45A7"/>
    <w:rsid w:val="00EC55B3"/>
    <w:rsid w:val="00ED0444"/>
    <w:rsid w:val="00ED085D"/>
    <w:rsid w:val="00ED2736"/>
    <w:rsid w:val="00ED2EEB"/>
    <w:rsid w:val="00ED4966"/>
    <w:rsid w:val="00ED5A25"/>
    <w:rsid w:val="00EE0292"/>
    <w:rsid w:val="00EE538B"/>
    <w:rsid w:val="00EE6A41"/>
    <w:rsid w:val="00EE6C2A"/>
    <w:rsid w:val="00EF13D7"/>
    <w:rsid w:val="00EF1E9B"/>
    <w:rsid w:val="00EF32F4"/>
    <w:rsid w:val="00EF333A"/>
    <w:rsid w:val="00EF366A"/>
    <w:rsid w:val="00EF44E6"/>
    <w:rsid w:val="00EF468C"/>
    <w:rsid w:val="00F01B5B"/>
    <w:rsid w:val="00F02A77"/>
    <w:rsid w:val="00F038EC"/>
    <w:rsid w:val="00F11467"/>
    <w:rsid w:val="00F11625"/>
    <w:rsid w:val="00F11A59"/>
    <w:rsid w:val="00F122C7"/>
    <w:rsid w:val="00F145DB"/>
    <w:rsid w:val="00F15373"/>
    <w:rsid w:val="00F174B7"/>
    <w:rsid w:val="00F22225"/>
    <w:rsid w:val="00F245D6"/>
    <w:rsid w:val="00F24FE7"/>
    <w:rsid w:val="00F26B1B"/>
    <w:rsid w:val="00F33535"/>
    <w:rsid w:val="00F34851"/>
    <w:rsid w:val="00F34B92"/>
    <w:rsid w:val="00F356B0"/>
    <w:rsid w:val="00F35809"/>
    <w:rsid w:val="00F3674C"/>
    <w:rsid w:val="00F36EEE"/>
    <w:rsid w:val="00F37806"/>
    <w:rsid w:val="00F404FD"/>
    <w:rsid w:val="00F40680"/>
    <w:rsid w:val="00F4191C"/>
    <w:rsid w:val="00F43561"/>
    <w:rsid w:val="00F43B0E"/>
    <w:rsid w:val="00F45C19"/>
    <w:rsid w:val="00F47957"/>
    <w:rsid w:val="00F47C69"/>
    <w:rsid w:val="00F51436"/>
    <w:rsid w:val="00F53074"/>
    <w:rsid w:val="00F5329D"/>
    <w:rsid w:val="00F55B2D"/>
    <w:rsid w:val="00F604AE"/>
    <w:rsid w:val="00F61A6E"/>
    <w:rsid w:val="00F621CA"/>
    <w:rsid w:val="00F64599"/>
    <w:rsid w:val="00F66C95"/>
    <w:rsid w:val="00F66CCF"/>
    <w:rsid w:val="00F81B45"/>
    <w:rsid w:val="00F86887"/>
    <w:rsid w:val="00F901D0"/>
    <w:rsid w:val="00F92E01"/>
    <w:rsid w:val="00F93B79"/>
    <w:rsid w:val="00F945E6"/>
    <w:rsid w:val="00F954B9"/>
    <w:rsid w:val="00F9605C"/>
    <w:rsid w:val="00F96FB2"/>
    <w:rsid w:val="00FA233B"/>
    <w:rsid w:val="00FA4AB9"/>
    <w:rsid w:val="00FA5AE3"/>
    <w:rsid w:val="00FA6088"/>
    <w:rsid w:val="00FA716F"/>
    <w:rsid w:val="00FB0863"/>
    <w:rsid w:val="00FB1789"/>
    <w:rsid w:val="00FB3C27"/>
    <w:rsid w:val="00FB4675"/>
    <w:rsid w:val="00FB51D8"/>
    <w:rsid w:val="00FB5570"/>
    <w:rsid w:val="00FB6A87"/>
    <w:rsid w:val="00FB6FAA"/>
    <w:rsid w:val="00FC0FAD"/>
    <w:rsid w:val="00FC18DB"/>
    <w:rsid w:val="00FC7140"/>
    <w:rsid w:val="00FD08E6"/>
    <w:rsid w:val="00FD08E8"/>
    <w:rsid w:val="00FD1B16"/>
    <w:rsid w:val="00FD21DA"/>
    <w:rsid w:val="00FD277F"/>
    <w:rsid w:val="00FD2991"/>
    <w:rsid w:val="00FD2CBB"/>
    <w:rsid w:val="00FD5958"/>
    <w:rsid w:val="00FD5BB0"/>
    <w:rsid w:val="00FE069F"/>
    <w:rsid w:val="00FE26C4"/>
    <w:rsid w:val="00FE36B0"/>
    <w:rsid w:val="00FE3CC0"/>
    <w:rsid w:val="00FE3CD9"/>
    <w:rsid w:val="00FE49D9"/>
    <w:rsid w:val="00FE5B3D"/>
    <w:rsid w:val="00FE6048"/>
    <w:rsid w:val="00FE72CC"/>
    <w:rsid w:val="00FF02A6"/>
    <w:rsid w:val="00FF02AA"/>
    <w:rsid w:val="00FF199D"/>
    <w:rsid w:val="00FF5E88"/>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2C612176-3C42-4E41-850C-2376E795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 w:type="character" w:customStyle="1" w:styleId="HeaderChar">
    <w:name w:val="Header Char"/>
    <w:basedOn w:val="DefaultParagraphFont"/>
    <w:link w:val="Header"/>
    <w:rsid w:val="00BD13FE"/>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9569">
      <w:bodyDiv w:val="1"/>
      <w:marLeft w:val="0"/>
      <w:marRight w:val="0"/>
      <w:marTop w:val="0"/>
      <w:marBottom w:val="0"/>
      <w:divBdr>
        <w:top w:val="none" w:sz="0" w:space="0" w:color="auto"/>
        <w:left w:val="none" w:sz="0" w:space="0" w:color="auto"/>
        <w:bottom w:val="none" w:sz="0" w:space="0" w:color="auto"/>
        <w:right w:val="none" w:sz="0" w:space="0" w:color="auto"/>
      </w:divBdr>
    </w:div>
    <w:div w:id="130682477">
      <w:bodyDiv w:val="1"/>
      <w:marLeft w:val="0"/>
      <w:marRight w:val="0"/>
      <w:marTop w:val="0"/>
      <w:marBottom w:val="0"/>
      <w:divBdr>
        <w:top w:val="none" w:sz="0" w:space="0" w:color="auto"/>
        <w:left w:val="none" w:sz="0" w:space="0" w:color="auto"/>
        <w:bottom w:val="none" w:sz="0" w:space="0" w:color="auto"/>
        <w:right w:val="none" w:sz="0" w:space="0" w:color="auto"/>
      </w:divBdr>
    </w:div>
    <w:div w:id="290281891">
      <w:bodyDiv w:val="1"/>
      <w:marLeft w:val="0"/>
      <w:marRight w:val="0"/>
      <w:marTop w:val="0"/>
      <w:marBottom w:val="0"/>
      <w:divBdr>
        <w:top w:val="none" w:sz="0" w:space="0" w:color="auto"/>
        <w:left w:val="none" w:sz="0" w:space="0" w:color="auto"/>
        <w:bottom w:val="none" w:sz="0" w:space="0" w:color="auto"/>
        <w:right w:val="none" w:sz="0" w:space="0" w:color="auto"/>
      </w:divBdr>
    </w:div>
    <w:div w:id="712925187">
      <w:bodyDiv w:val="1"/>
      <w:marLeft w:val="0"/>
      <w:marRight w:val="0"/>
      <w:marTop w:val="0"/>
      <w:marBottom w:val="0"/>
      <w:divBdr>
        <w:top w:val="none" w:sz="0" w:space="0" w:color="auto"/>
        <w:left w:val="none" w:sz="0" w:space="0" w:color="auto"/>
        <w:bottom w:val="none" w:sz="0" w:space="0" w:color="auto"/>
        <w:right w:val="none" w:sz="0" w:space="0" w:color="auto"/>
      </w:divBdr>
    </w:div>
    <w:div w:id="984354557">
      <w:bodyDiv w:val="1"/>
      <w:marLeft w:val="0"/>
      <w:marRight w:val="0"/>
      <w:marTop w:val="0"/>
      <w:marBottom w:val="0"/>
      <w:divBdr>
        <w:top w:val="none" w:sz="0" w:space="0" w:color="auto"/>
        <w:left w:val="none" w:sz="0" w:space="0" w:color="auto"/>
        <w:bottom w:val="none" w:sz="0" w:space="0" w:color="auto"/>
        <w:right w:val="none" w:sz="0" w:space="0" w:color="auto"/>
      </w:divBdr>
    </w:div>
    <w:div w:id="1078361066">
      <w:bodyDiv w:val="1"/>
      <w:marLeft w:val="0"/>
      <w:marRight w:val="0"/>
      <w:marTop w:val="0"/>
      <w:marBottom w:val="0"/>
      <w:divBdr>
        <w:top w:val="none" w:sz="0" w:space="0" w:color="auto"/>
        <w:left w:val="none" w:sz="0" w:space="0" w:color="auto"/>
        <w:bottom w:val="none" w:sz="0" w:space="0" w:color="auto"/>
        <w:right w:val="none" w:sz="0" w:space="0" w:color="auto"/>
      </w:divBdr>
    </w:div>
    <w:div w:id="1224952835">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375277497">
      <w:bodyDiv w:val="1"/>
      <w:marLeft w:val="0"/>
      <w:marRight w:val="0"/>
      <w:marTop w:val="0"/>
      <w:marBottom w:val="0"/>
      <w:divBdr>
        <w:top w:val="none" w:sz="0" w:space="0" w:color="auto"/>
        <w:left w:val="none" w:sz="0" w:space="0" w:color="auto"/>
        <w:bottom w:val="none" w:sz="0" w:space="0" w:color="auto"/>
        <w:right w:val="none" w:sz="0" w:space="0" w:color="auto"/>
      </w:divBdr>
    </w:div>
    <w:div w:id="1468359303">
      <w:bodyDiv w:val="1"/>
      <w:marLeft w:val="0"/>
      <w:marRight w:val="0"/>
      <w:marTop w:val="0"/>
      <w:marBottom w:val="0"/>
      <w:divBdr>
        <w:top w:val="none" w:sz="0" w:space="0" w:color="auto"/>
        <w:left w:val="none" w:sz="0" w:space="0" w:color="auto"/>
        <w:bottom w:val="none" w:sz="0" w:space="0" w:color="auto"/>
        <w:right w:val="none" w:sz="0" w:space="0" w:color="auto"/>
      </w:divBdr>
    </w:div>
    <w:div w:id="1474524626">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940869619">
      <w:bodyDiv w:val="1"/>
      <w:marLeft w:val="0"/>
      <w:marRight w:val="0"/>
      <w:marTop w:val="0"/>
      <w:marBottom w:val="0"/>
      <w:divBdr>
        <w:top w:val="none" w:sz="0" w:space="0" w:color="auto"/>
        <w:left w:val="none" w:sz="0" w:space="0" w:color="auto"/>
        <w:bottom w:val="none" w:sz="0" w:space="0" w:color="auto"/>
        <w:right w:val="none" w:sz="0" w:space="0" w:color="auto"/>
      </w:divBdr>
    </w:div>
    <w:div w:id="210013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mktrules/issues/PGRR13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w@schaperint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Props1.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2.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3.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1170</Words>
  <Characters>7009</Characters>
  <Application>Microsoft Office Word</Application>
  <DocSecurity>4</DocSecurity>
  <Lines>125</Lines>
  <Paragraphs>33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2</cp:revision>
  <cp:lastPrinted>2001-06-21T12:28:00Z</cp:lastPrinted>
  <dcterms:created xsi:type="dcterms:W3CDTF">2026-05-02T16:48:00Z</dcterms:created>
  <dcterms:modified xsi:type="dcterms:W3CDTF">2026-05-02T16:48:00Z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