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152993" w14:paraId="61D1E1ED" w14:textId="77777777" w:rsidTr="00BE1A46">
        <w:trPr>
          <w:jc w:val="center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96C17F" w14:textId="77777777" w:rsidR="00152993" w:rsidRDefault="00170E84">
            <w:pPr>
              <w:pStyle w:val="Header"/>
              <w:rPr>
                <w:rFonts w:ascii="Verdana" w:hAnsi="Verdana"/>
                <w:sz w:val="22"/>
              </w:rPr>
            </w:pPr>
            <w:r>
              <w:t>P</w:t>
            </w:r>
            <w:r w:rsidR="00C158EE">
              <w:t xml:space="preserve">GRR </w:t>
            </w:r>
            <w:r w:rsidR="00152993">
              <w:t>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89DFBC" w14:textId="1E20CAA3" w:rsidR="00152993" w:rsidRDefault="00D86277">
            <w:pPr>
              <w:pStyle w:val="Header"/>
            </w:pPr>
            <w:hyperlink r:id="rId7" w:history="1">
              <w:r w:rsidR="00BE1A46" w:rsidRPr="00D86277">
                <w:rPr>
                  <w:rStyle w:val="Hyperlink"/>
                </w:rPr>
                <w:t>145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58E46C" w14:textId="77777777" w:rsidR="00152993" w:rsidRDefault="00170E84">
            <w:pPr>
              <w:pStyle w:val="Header"/>
            </w:pPr>
            <w:r>
              <w:t>P</w:t>
            </w:r>
            <w:r w:rsidR="00C158EE">
              <w:t xml:space="preserve">GRR </w:t>
            </w:r>
            <w:r w:rsidR="00152993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E3FD4C2" w14:textId="371354B9" w:rsidR="00152993" w:rsidRDefault="00BE1A46">
            <w:pPr>
              <w:pStyle w:val="Header"/>
            </w:pPr>
            <w:r>
              <w:t>Batch Zero Process for Large Load Interconnections</w:t>
            </w:r>
          </w:p>
        </w:tc>
      </w:tr>
    </w:tbl>
    <w:p w14:paraId="4EB59E77" w14:textId="77777777" w:rsidR="002771E6" w:rsidRDefault="002771E6"/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348EBDF5" w14:textId="77777777" w:rsidTr="00BE1A46">
        <w:trPr>
          <w:trHeight w:val="4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0E41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90FB" w14:textId="537BAF81" w:rsidR="00152993" w:rsidRDefault="00BE1A46">
            <w:pPr>
              <w:pStyle w:val="NormalArial"/>
            </w:pPr>
            <w:r>
              <w:t xml:space="preserve"> </w:t>
            </w:r>
            <w:r w:rsidR="00D86277">
              <w:t>April 29, 2026</w:t>
            </w:r>
          </w:p>
        </w:tc>
      </w:tr>
    </w:tbl>
    <w:p w14:paraId="7F1031D0" w14:textId="77777777" w:rsidR="002771E6" w:rsidRDefault="002771E6"/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4CB26906" w14:textId="77777777" w:rsidTr="00BE1A46">
        <w:trPr>
          <w:trHeight w:val="440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53E62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3AF4EF7B" w14:textId="77777777" w:rsidTr="00BE1A46">
        <w:trPr>
          <w:trHeight w:val="350"/>
          <w:jc w:val="center"/>
        </w:trPr>
        <w:tc>
          <w:tcPr>
            <w:tcW w:w="2880" w:type="dxa"/>
            <w:shd w:val="clear" w:color="auto" w:fill="FFFFFF"/>
            <w:vAlign w:val="center"/>
          </w:tcPr>
          <w:p w14:paraId="7373DDBF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3F0EEF09" w14:textId="7726C60D" w:rsidR="00152993" w:rsidRDefault="00BE1A46">
            <w:pPr>
              <w:pStyle w:val="NormalArial"/>
            </w:pPr>
            <w:r>
              <w:t>Barksdale English</w:t>
            </w:r>
            <w:r w:rsidR="003635A1">
              <w:t xml:space="preserve"> &amp; Jessie Horn</w:t>
            </w:r>
          </w:p>
        </w:tc>
      </w:tr>
      <w:tr w:rsidR="00152993" w14:paraId="5EC99CE9" w14:textId="77777777" w:rsidTr="00BE1A46">
        <w:trPr>
          <w:trHeight w:val="350"/>
          <w:jc w:val="center"/>
        </w:trPr>
        <w:tc>
          <w:tcPr>
            <w:tcW w:w="2880" w:type="dxa"/>
            <w:shd w:val="clear" w:color="auto" w:fill="FFFFFF"/>
            <w:vAlign w:val="center"/>
          </w:tcPr>
          <w:p w14:paraId="619418E6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098C19E2" w14:textId="09B50F74" w:rsidR="00152993" w:rsidRDefault="00D86277">
            <w:pPr>
              <w:pStyle w:val="NormalArial"/>
            </w:pPr>
            <w:hyperlink r:id="rId8" w:history="1">
              <w:r w:rsidRPr="001E5CD8">
                <w:rPr>
                  <w:rStyle w:val="Hyperlink"/>
                </w:rPr>
                <w:t>barksdale.english@puc.texas.gov</w:t>
              </w:r>
            </w:hyperlink>
            <w:r>
              <w:t xml:space="preserve"> /</w:t>
            </w:r>
            <w:r w:rsidR="003635A1">
              <w:t xml:space="preserve"> </w:t>
            </w:r>
            <w:hyperlink r:id="rId9" w:history="1">
              <w:r w:rsidRPr="001E5CD8">
                <w:rPr>
                  <w:rStyle w:val="Hyperlink"/>
                </w:rPr>
                <w:t>jessie.horn@puc.texas.gov</w:t>
              </w:r>
            </w:hyperlink>
            <w:r>
              <w:t xml:space="preserve"> </w:t>
            </w:r>
          </w:p>
        </w:tc>
      </w:tr>
      <w:tr w:rsidR="00152993" w14:paraId="4CC8B255" w14:textId="77777777" w:rsidTr="00BE1A46">
        <w:trPr>
          <w:trHeight w:val="350"/>
          <w:jc w:val="center"/>
        </w:trPr>
        <w:tc>
          <w:tcPr>
            <w:tcW w:w="2880" w:type="dxa"/>
            <w:shd w:val="clear" w:color="auto" w:fill="FFFFFF"/>
            <w:vAlign w:val="center"/>
          </w:tcPr>
          <w:p w14:paraId="77957E1E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3D143F2F" w14:textId="5A87A466" w:rsidR="00152993" w:rsidRDefault="00BE1A46">
            <w:pPr>
              <w:pStyle w:val="NormalArial"/>
            </w:pPr>
            <w:r>
              <w:t>Public Utility Commission of Texas</w:t>
            </w:r>
            <w:r w:rsidR="00D86277">
              <w:t xml:space="preserve"> (PUCT)</w:t>
            </w:r>
          </w:p>
        </w:tc>
      </w:tr>
      <w:tr w:rsidR="00152993" w14:paraId="3A4BB8C6" w14:textId="77777777" w:rsidTr="00BE1A46">
        <w:trPr>
          <w:trHeight w:val="350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6E52ED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5702518" w14:textId="51A1EA37" w:rsidR="00152993" w:rsidRDefault="00BE1A46">
            <w:pPr>
              <w:pStyle w:val="NormalArial"/>
            </w:pPr>
            <w:r>
              <w:t>512-936-7365</w:t>
            </w:r>
            <w:r w:rsidR="00363464">
              <w:t>; 512-936-7414</w:t>
            </w:r>
          </w:p>
        </w:tc>
      </w:tr>
      <w:tr w:rsidR="00152993" w14:paraId="2B16819D" w14:textId="77777777" w:rsidTr="00BE1A46">
        <w:trPr>
          <w:trHeight w:val="350"/>
          <w:jc w:val="center"/>
        </w:trPr>
        <w:tc>
          <w:tcPr>
            <w:tcW w:w="2880" w:type="dxa"/>
            <w:shd w:val="clear" w:color="auto" w:fill="FFFFFF"/>
            <w:vAlign w:val="center"/>
          </w:tcPr>
          <w:p w14:paraId="05FC6078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vAlign w:val="center"/>
          </w:tcPr>
          <w:p w14:paraId="3E0D9B95" w14:textId="77777777" w:rsidR="00152993" w:rsidRDefault="00152993">
            <w:pPr>
              <w:pStyle w:val="NormalArial"/>
            </w:pPr>
          </w:p>
        </w:tc>
      </w:tr>
      <w:tr w:rsidR="00075A94" w14:paraId="2C22D904" w14:textId="77777777" w:rsidTr="00BE1A46">
        <w:trPr>
          <w:trHeight w:val="350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773FC0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ED568D1" w14:textId="60EA2B88" w:rsidR="00075A94" w:rsidRDefault="00D86277">
            <w:pPr>
              <w:pStyle w:val="NormalArial"/>
            </w:pPr>
            <w:r>
              <w:t>Not applicable</w:t>
            </w:r>
          </w:p>
        </w:tc>
      </w:tr>
    </w:tbl>
    <w:p w14:paraId="3647FACC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F038EC" w14:paraId="3524D6FC" w14:textId="77777777" w:rsidTr="00F038EC">
        <w:trPr>
          <w:trHeight w:val="422"/>
          <w:jc w:val="center"/>
        </w:trPr>
        <w:tc>
          <w:tcPr>
            <w:tcW w:w="10440" w:type="dxa"/>
            <w:vAlign w:val="center"/>
          </w:tcPr>
          <w:p w14:paraId="026D460B" w14:textId="77777777" w:rsidR="00075A94" w:rsidRPr="00075A94" w:rsidRDefault="00075A94" w:rsidP="00F038EC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2303640" w14:textId="10293309" w:rsidR="00FF5E88" w:rsidRDefault="00014D30" w:rsidP="00D86277">
      <w:pPr>
        <w:pStyle w:val="NormalArial"/>
        <w:spacing w:before="120" w:after="120"/>
        <w:jc w:val="both"/>
      </w:pPr>
      <w:r>
        <w:t xml:space="preserve">Commission Staff appreciates the opportunity to comment on </w:t>
      </w:r>
      <w:r w:rsidR="002E5EF4">
        <w:t xml:space="preserve">this revision request and to summarize </w:t>
      </w:r>
      <w:r w:rsidR="004E6698">
        <w:t xml:space="preserve">the Batch 0 issues discussed at the Commission’s April 17, </w:t>
      </w:r>
      <w:proofErr w:type="gramStart"/>
      <w:r w:rsidR="004E6698">
        <w:t>2026</w:t>
      </w:r>
      <w:proofErr w:type="gramEnd"/>
      <w:r w:rsidR="004E6698">
        <w:t xml:space="preserve"> open meeting.</w:t>
      </w:r>
    </w:p>
    <w:p w14:paraId="1FE8CCD4" w14:textId="7017407A" w:rsidR="00B46E5E" w:rsidRDefault="00286105" w:rsidP="00D86277">
      <w:pPr>
        <w:pStyle w:val="NormalArial"/>
        <w:spacing w:before="120" w:after="120"/>
        <w:jc w:val="both"/>
      </w:pPr>
      <w:r>
        <w:t xml:space="preserve">Staff supports </w:t>
      </w:r>
      <w:r w:rsidR="00D86277">
        <w:t>Planning Guide Revision Request (</w:t>
      </w:r>
      <w:r w:rsidR="00366BFA">
        <w:t>PGRR</w:t>
      </w:r>
      <w:r w:rsidR="00D86277">
        <w:t>)</w:t>
      </w:r>
      <w:r w:rsidR="00366BFA">
        <w:t xml:space="preserve"> 145 as amended by ERCOT’s April 23, </w:t>
      </w:r>
      <w:proofErr w:type="gramStart"/>
      <w:r w:rsidR="00366BFA">
        <w:t>2026</w:t>
      </w:r>
      <w:proofErr w:type="gramEnd"/>
      <w:r w:rsidR="00366BFA">
        <w:t xml:space="preserve"> comments.</w:t>
      </w:r>
      <w:r w:rsidR="00C02401">
        <w:t xml:space="preserve">  The redlines appropriately </w:t>
      </w:r>
      <w:r w:rsidR="00944A1A">
        <w:t>capture</w:t>
      </w:r>
      <w:r w:rsidR="004D11AF">
        <w:t>, in Staff’s opinion,</w:t>
      </w:r>
      <w:r w:rsidR="00944A1A">
        <w:t xml:space="preserve"> the </w:t>
      </w:r>
      <w:r w:rsidR="001E4AA4">
        <w:t xml:space="preserve">commissioners’ </w:t>
      </w:r>
      <w:r w:rsidR="00944A1A">
        <w:t xml:space="preserve">guidance </w:t>
      </w:r>
      <w:r w:rsidR="00BF6622">
        <w:t xml:space="preserve">regarding the minimum criteria for a </w:t>
      </w:r>
      <w:r w:rsidR="00D86277">
        <w:t>L</w:t>
      </w:r>
      <w:r w:rsidR="00BF6622">
        <w:t xml:space="preserve">arge </w:t>
      </w:r>
      <w:r w:rsidR="00D86277">
        <w:t>L</w:t>
      </w:r>
      <w:r w:rsidR="00BF6622">
        <w:t xml:space="preserve">oad project to be included as either a base load or a studied load in Batch 0. </w:t>
      </w:r>
      <w:r w:rsidR="00B46E5E">
        <w:t xml:space="preserve"> Importantly, ERCOT’s comments </w:t>
      </w:r>
      <w:r w:rsidR="00897AFD">
        <w:t>reflect</w:t>
      </w:r>
      <w:r w:rsidR="00E2767C">
        <w:t xml:space="preserve"> </w:t>
      </w:r>
      <w:r w:rsidR="00D95966">
        <w:t xml:space="preserve">the following specific </w:t>
      </w:r>
      <w:r w:rsidR="00C86B68">
        <w:t>items addressed by the commissioners</w:t>
      </w:r>
      <w:r w:rsidR="00B46E5E">
        <w:t>:</w:t>
      </w:r>
    </w:p>
    <w:p w14:paraId="35D467ED" w14:textId="0F64DFCD" w:rsidR="00B46E5E" w:rsidRDefault="001971BA" w:rsidP="00D86277">
      <w:pPr>
        <w:pStyle w:val="NormalArial"/>
        <w:numPr>
          <w:ilvl w:val="0"/>
          <w:numId w:val="3"/>
        </w:numPr>
        <w:spacing w:before="120" w:after="120"/>
        <w:jc w:val="both"/>
      </w:pPr>
      <w:r>
        <w:t>S</w:t>
      </w:r>
      <w:r w:rsidR="00C01A61">
        <w:t xml:space="preserve">tudies that meet current Planning Guide §§9.4 and 9.5 prior to March 4, </w:t>
      </w:r>
      <w:proofErr w:type="gramStart"/>
      <w:r w:rsidR="00C01A61">
        <w:t>2026</w:t>
      </w:r>
      <w:proofErr w:type="gramEnd"/>
      <w:r w:rsidR="00C01A61">
        <w:t xml:space="preserve"> </w:t>
      </w:r>
      <w:r w:rsidR="00E2767C">
        <w:t xml:space="preserve">should be </w:t>
      </w:r>
      <w:r w:rsidR="00C01A61">
        <w:t>deemed valid</w:t>
      </w:r>
      <w:r>
        <w:t>.</w:t>
      </w:r>
    </w:p>
    <w:p w14:paraId="22ADD71B" w14:textId="370A1D43" w:rsidR="00180AA0" w:rsidRDefault="001971BA" w:rsidP="00D86277">
      <w:pPr>
        <w:pStyle w:val="NormalArial"/>
        <w:numPr>
          <w:ilvl w:val="0"/>
          <w:numId w:val="3"/>
        </w:numPr>
        <w:spacing w:before="120" w:after="120"/>
        <w:jc w:val="both"/>
      </w:pPr>
      <w:r>
        <w:t>S</w:t>
      </w:r>
      <w:r w:rsidR="00921BFD">
        <w:t xml:space="preserve">tudies that meet current Planning Guide §§9.4 and 9.5 between March 4, </w:t>
      </w:r>
      <w:proofErr w:type="gramStart"/>
      <w:r w:rsidR="00921BFD">
        <w:t>2026</w:t>
      </w:r>
      <w:proofErr w:type="gramEnd"/>
      <w:r w:rsidR="00921BFD">
        <w:t xml:space="preserve"> and July 10, </w:t>
      </w:r>
      <w:proofErr w:type="gramStart"/>
      <w:r w:rsidR="00921BFD">
        <w:t>2026</w:t>
      </w:r>
      <w:proofErr w:type="gramEnd"/>
      <w:r w:rsidR="00921BFD">
        <w:t xml:space="preserve"> </w:t>
      </w:r>
      <w:r>
        <w:t xml:space="preserve">should </w:t>
      </w:r>
      <w:r w:rsidR="00E5269D">
        <w:t>be reassessed for validity</w:t>
      </w:r>
      <w:r>
        <w:t>.</w:t>
      </w:r>
    </w:p>
    <w:p w14:paraId="5E811417" w14:textId="7FC753CE" w:rsidR="00C26F47" w:rsidRDefault="008D2821" w:rsidP="00D86277">
      <w:pPr>
        <w:pStyle w:val="NormalArial"/>
        <w:numPr>
          <w:ilvl w:val="0"/>
          <w:numId w:val="3"/>
        </w:numPr>
        <w:spacing w:before="120" w:after="120"/>
        <w:jc w:val="both"/>
      </w:pPr>
      <w:r>
        <w:t>A l</w:t>
      </w:r>
      <w:r w:rsidR="00C26F47">
        <w:t xml:space="preserve">oad used to justify </w:t>
      </w:r>
      <w:r>
        <w:t xml:space="preserve">a </w:t>
      </w:r>
      <w:r w:rsidR="008D2832">
        <w:t>transmission project in</w:t>
      </w:r>
      <w:r w:rsidR="00C26F47">
        <w:t xml:space="preserve"> </w:t>
      </w:r>
      <w:r w:rsidR="00AC754C">
        <w:t xml:space="preserve">the </w:t>
      </w:r>
      <w:r w:rsidR="00C26F47">
        <w:t xml:space="preserve">Permian Basin Reliability Plan </w:t>
      </w:r>
      <w:r w:rsidR="008D2832">
        <w:t xml:space="preserve">should be included in Batch 0 as </w:t>
      </w:r>
      <w:r w:rsidR="003D4B89">
        <w:t xml:space="preserve">a </w:t>
      </w:r>
      <w:r w:rsidR="008D2832">
        <w:t>base load</w:t>
      </w:r>
      <w:r w:rsidR="00155F59">
        <w:t>,</w:t>
      </w:r>
      <w:r w:rsidR="00B70C2D">
        <w:t xml:space="preserve"> subject to </w:t>
      </w:r>
      <w:r w:rsidR="00155F59">
        <w:t xml:space="preserve">it </w:t>
      </w:r>
      <w:r w:rsidR="00B70C2D">
        <w:t xml:space="preserve">meeting other eligibility </w:t>
      </w:r>
      <w:r w:rsidR="00155F59">
        <w:t>criteria</w:t>
      </w:r>
      <w:r w:rsidR="003D4B89">
        <w:t xml:space="preserve"> described in ERCOT’s comments</w:t>
      </w:r>
      <w:r w:rsidR="008D2832">
        <w:t>.</w:t>
      </w:r>
    </w:p>
    <w:p w14:paraId="1F62F8D4" w14:textId="205E45D9" w:rsidR="00E53492" w:rsidRDefault="008D2821" w:rsidP="00D86277">
      <w:pPr>
        <w:pStyle w:val="NormalArial"/>
        <w:numPr>
          <w:ilvl w:val="0"/>
          <w:numId w:val="3"/>
        </w:numPr>
        <w:spacing w:before="120" w:after="120"/>
        <w:jc w:val="both"/>
      </w:pPr>
      <w:r>
        <w:t>A l</w:t>
      </w:r>
      <w:r w:rsidR="003F379C">
        <w:t xml:space="preserve">oad </w:t>
      </w:r>
      <w:r w:rsidR="002C6029">
        <w:t xml:space="preserve">that </w:t>
      </w:r>
      <w:r>
        <w:t xml:space="preserve">is </w:t>
      </w:r>
      <w:r w:rsidR="002C6029">
        <w:t xml:space="preserve">included </w:t>
      </w:r>
      <w:r w:rsidR="004D1275">
        <w:t xml:space="preserve">in an application </w:t>
      </w:r>
      <w:r w:rsidR="00336FDD">
        <w:t xml:space="preserve">for a </w:t>
      </w:r>
      <w:r w:rsidR="004D1275">
        <w:t>proposed net metering arrangement</w:t>
      </w:r>
      <w:r w:rsidR="00336FDD">
        <w:t xml:space="preserve"> filed with the Commission by March 4, </w:t>
      </w:r>
      <w:proofErr w:type="gramStart"/>
      <w:r w:rsidR="00336FDD">
        <w:t>2026</w:t>
      </w:r>
      <w:proofErr w:type="gramEnd"/>
      <w:r w:rsidR="00336FDD">
        <w:t xml:space="preserve"> should be included in Batch 0 as base load</w:t>
      </w:r>
      <w:r w:rsidR="00155F59">
        <w:t>,</w:t>
      </w:r>
      <w:r w:rsidR="00B70C2D" w:rsidRPr="00B70C2D">
        <w:t xml:space="preserve"> </w:t>
      </w:r>
      <w:r w:rsidR="00B70C2D">
        <w:t xml:space="preserve">subject to </w:t>
      </w:r>
      <w:r w:rsidR="00155F59">
        <w:t xml:space="preserve">it </w:t>
      </w:r>
      <w:r w:rsidR="00DE200F">
        <w:t xml:space="preserve">providing the required disclosures </w:t>
      </w:r>
      <w:r w:rsidR="003D4B89">
        <w:t>described in ERCOT’s comments</w:t>
      </w:r>
      <w:r w:rsidR="00336FDD">
        <w:t>.</w:t>
      </w:r>
    </w:p>
    <w:p w14:paraId="7D3665A6" w14:textId="7942E0A5" w:rsidR="00E5269D" w:rsidRDefault="008D2821" w:rsidP="00D86277">
      <w:pPr>
        <w:pStyle w:val="NormalArial"/>
        <w:numPr>
          <w:ilvl w:val="0"/>
          <w:numId w:val="3"/>
        </w:numPr>
        <w:spacing w:before="120" w:after="120"/>
        <w:jc w:val="both"/>
      </w:pPr>
      <w:r>
        <w:t>A l</w:t>
      </w:r>
      <w:r w:rsidR="00180AA0">
        <w:t xml:space="preserve">oad included in the 2026 </w:t>
      </w:r>
      <w:r w:rsidR="002F4938">
        <w:t>R</w:t>
      </w:r>
      <w:r w:rsidR="00180AA0">
        <w:t xml:space="preserve">egional </w:t>
      </w:r>
      <w:r w:rsidR="002F4938">
        <w:t>T</w:t>
      </w:r>
      <w:r w:rsidR="00180AA0">
        <w:t xml:space="preserve">ransmission </w:t>
      </w:r>
      <w:r w:rsidR="002F4938">
        <w:t>P</w:t>
      </w:r>
      <w:r w:rsidR="00180AA0">
        <w:t xml:space="preserve">lan </w:t>
      </w:r>
      <w:r w:rsidR="00E2767C">
        <w:t xml:space="preserve">should </w:t>
      </w:r>
      <w:r w:rsidR="00180AA0">
        <w:t xml:space="preserve">not </w:t>
      </w:r>
      <w:r w:rsidR="00E2767C">
        <w:t xml:space="preserve">be </w:t>
      </w:r>
      <w:r w:rsidR="00A02EC3">
        <w:t xml:space="preserve">included </w:t>
      </w:r>
      <w:r w:rsidR="002F4938">
        <w:t xml:space="preserve">automatically </w:t>
      </w:r>
      <w:r w:rsidR="00A02EC3">
        <w:t>in Batch 0 as base load</w:t>
      </w:r>
      <w:r w:rsidR="001971BA">
        <w:t>.</w:t>
      </w:r>
    </w:p>
    <w:p w14:paraId="2C539CDA" w14:textId="650AC8F3" w:rsidR="00A02EC3" w:rsidRDefault="00A02EC3" w:rsidP="00D86277">
      <w:pPr>
        <w:pStyle w:val="NormalArial"/>
        <w:numPr>
          <w:ilvl w:val="0"/>
          <w:numId w:val="3"/>
        </w:numPr>
        <w:spacing w:before="120" w:after="120"/>
        <w:jc w:val="both"/>
      </w:pPr>
      <w:r>
        <w:lastRenderedPageBreak/>
        <w:t xml:space="preserve">Proposed energization date </w:t>
      </w:r>
      <w:r w:rsidR="00E2767C">
        <w:t>should</w:t>
      </w:r>
      <w:r>
        <w:t xml:space="preserve"> not </w:t>
      </w:r>
      <w:r w:rsidR="00E2767C">
        <w:t xml:space="preserve">be </w:t>
      </w:r>
      <w:r>
        <w:t>used as a criterion for determining eligibility</w:t>
      </w:r>
      <w:r w:rsidR="001971BA">
        <w:t>.</w:t>
      </w:r>
    </w:p>
    <w:p w14:paraId="5FCD9807" w14:textId="373BE11F" w:rsidR="00ED75E4" w:rsidRDefault="00F577F5" w:rsidP="00D86277">
      <w:pPr>
        <w:pStyle w:val="NormalArial"/>
        <w:numPr>
          <w:ilvl w:val="0"/>
          <w:numId w:val="3"/>
        </w:numPr>
        <w:spacing w:before="120" w:after="120"/>
        <w:jc w:val="both"/>
      </w:pPr>
      <w:r>
        <w:t xml:space="preserve">The Planning Guide is not the appropriate vehicle to </w:t>
      </w:r>
      <w:proofErr w:type="gramStart"/>
      <w:r>
        <w:t>address</w:t>
      </w:r>
      <w:proofErr w:type="gramEnd"/>
      <w:r>
        <w:t xml:space="preserve"> whether a financial commitment </w:t>
      </w:r>
      <w:r w:rsidR="003D4B89">
        <w:t xml:space="preserve">should be allowed to be returned to an ILLE </w:t>
      </w:r>
      <w:r>
        <w:t xml:space="preserve">or what </w:t>
      </w:r>
      <w:r w:rsidR="00A851BE">
        <w:t xml:space="preserve">happens to the </w:t>
      </w:r>
      <w:r w:rsidR="003D4B89">
        <w:t xml:space="preserve">retained </w:t>
      </w:r>
      <w:r w:rsidR="00A851BE">
        <w:t>portion of any financial commitment.</w:t>
      </w:r>
      <w:r w:rsidR="002068F9">
        <w:t xml:space="preserve"> </w:t>
      </w:r>
    </w:p>
    <w:p w14:paraId="5E9DFB3B" w14:textId="62C154F3" w:rsidR="00823E4A" w:rsidRDefault="009E0ABE" w:rsidP="00D86277">
      <w:pPr>
        <w:pStyle w:val="NormalArial"/>
        <w:spacing w:before="120" w:after="120"/>
        <w:jc w:val="both"/>
      </w:pPr>
      <w:r>
        <w:t xml:space="preserve">ERCOT’s comments </w:t>
      </w:r>
      <w:r w:rsidR="004D11AF">
        <w:t xml:space="preserve">also </w:t>
      </w:r>
      <w:r w:rsidR="00FE6965">
        <w:t>appropriately reflect</w:t>
      </w:r>
      <w:r w:rsidR="004D11AF">
        <w:t xml:space="preserve">, in Staff’s opinion, </w:t>
      </w:r>
      <w:r w:rsidR="00C333F6">
        <w:t xml:space="preserve">the commissioners’ discussions related to </w:t>
      </w:r>
      <w:r w:rsidR="00462DE9">
        <w:t>revis</w:t>
      </w:r>
      <w:r w:rsidR="00C333F6">
        <w:t>ing</w:t>
      </w:r>
      <w:r w:rsidR="00AB038C">
        <w:t xml:space="preserve"> </w:t>
      </w:r>
      <w:r w:rsidR="00563415">
        <w:t xml:space="preserve">the </w:t>
      </w:r>
      <w:r w:rsidR="00C333F6">
        <w:t xml:space="preserve">project maturity </w:t>
      </w:r>
      <w:r w:rsidR="00AB038C">
        <w:t xml:space="preserve">criteria, including use of ILLE or utility attestations regarding </w:t>
      </w:r>
      <w:r w:rsidR="00F66FEC">
        <w:t xml:space="preserve">site control, and </w:t>
      </w:r>
      <w:r w:rsidR="00C6581A">
        <w:t>various disclosures.</w:t>
      </w:r>
      <w:r w:rsidR="005E1536">
        <w:t xml:space="preserve">  </w:t>
      </w:r>
      <w:r w:rsidR="006A6183">
        <w:t>Specifically, t</w:t>
      </w:r>
      <w:r w:rsidR="005E1536">
        <w:t>he commissioners support</w:t>
      </w:r>
      <w:r w:rsidR="0061539C">
        <w:t>ed</w:t>
      </w:r>
      <w:r w:rsidR="005E1536">
        <w:t xml:space="preserve"> </w:t>
      </w:r>
      <w:r w:rsidR="006A6183">
        <w:t xml:space="preserve">requiring evidence </w:t>
      </w:r>
      <w:r w:rsidR="00B5120D">
        <w:t xml:space="preserve">of </w:t>
      </w:r>
      <w:r w:rsidR="006A6183">
        <w:t>project maturity</w:t>
      </w:r>
      <w:r w:rsidR="00B5120D">
        <w:t xml:space="preserve">, such as issuance of </w:t>
      </w:r>
      <w:r w:rsidR="005E1536">
        <w:t xml:space="preserve">notice to proceed </w:t>
      </w:r>
      <w:r w:rsidR="00650B7C">
        <w:t xml:space="preserve">with construction, ordering of long lead time equipment, </w:t>
      </w:r>
      <w:r w:rsidR="0061539C">
        <w:t>contract to take power, and contract with tenants</w:t>
      </w:r>
      <w:r w:rsidR="006A6183">
        <w:t>.</w:t>
      </w:r>
    </w:p>
    <w:p w14:paraId="0E23B2D9" w14:textId="0D3DE10D" w:rsidR="00802061" w:rsidRDefault="0023037B" w:rsidP="00D86277">
      <w:pPr>
        <w:pStyle w:val="NormalArial"/>
        <w:spacing w:before="120" w:after="120"/>
        <w:jc w:val="both"/>
      </w:pPr>
      <w:r>
        <w:t xml:space="preserve">The commissioners also discussed </w:t>
      </w:r>
      <w:r w:rsidR="00E4512D">
        <w:t>the financial commitments that should be required of ILLEs</w:t>
      </w:r>
      <w:r>
        <w:t xml:space="preserve"> seeking to participate in Batch 0.</w:t>
      </w:r>
      <w:r w:rsidR="00251C60">
        <w:t xml:space="preserve"> The following summarizes that guidance</w:t>
      </w:r>
      <w:r w:rsidR="00BB385A">
        <w:t>:</w:t>
      </w:r>
    </w:p>
    <w:p w14:paraId="6B40A78D" w14:textId="77777777" w:rsidR="00AB556F" w:rsidRDefault="006B0C6F" w:rsidP="00D86277">
      <w:pPr>
        <w:pStyle w:val="NormalArial"/>
        <w:numPr>
          <w:ilvl w:val="0"/>
          <w:numId w:val="5"/>
        </w:numPr>
        <w:spacing w:before="120" w:after="120"/>
        <w:ind w:left="792"/>
        <w:jc w:val="both"/>
      </w:pPr>
      <w:r w:rsidRPr="008E7B6C">
        <w:rPr>
          <w:i/>
          <w:iCs/>
        </w:rPr>
        <w:t>Direct Interconnection Cost Commitments</w:t>
      </w:r>
    </w:p>
    <w:p w14:paraId="3BEBA925" w14:textId="7336BED3" w:rsidR="006B0C6F" w:rsidRDefault="00B96445" w:rsidP="00D86277">
      <w:pPr>
        <w:pStyle w:val="NormalArial"/>
        <w:numPr>
          <w:ilvl w:val="1"/>
          <w:numId w:val="5"/>
        </w:numPr>
        <w:spacing w:before="120" w:after="120"/>
        <w:jc w:val="both"/>
      </w:pPr>
      <w:r>
        <w:t xml:space="preserve">For </w:t>
      </w:r>
      <w:r w:rsidR="002C140C">
        <w:t>ILLEs</w:t>
      </w:r>
      <w:r w:rsidR="00137993">
        <w:t xml:space="preserve"> seeking Batch 0 base load status </w:t>
      </w:r>
      <w:r w:rsidR="00A024C2">
        <w:t xml:space="preserve">that </w:t>
      </w:r>
      <w:r w:rsidR="00366700">
        <w:t xml:space="preserve">must </w:t>
      </w:r>
      <w:r w:rsidR="003236CB">
        <w:t xml:space="preserve">provide security or payment against direct interconnection costs </w:t>
      </w:r>
      <w:r w:rsidR="00122C19">
        <w:t xml:space="preserve">under </w:t>
      </w:r>
      <w:r w:rsidR="002E67FF">
        <w:t>§9.2.1.1(1)(e)(</w:t>
      </w:r>
      <w:r w:rsidR="001F3378">
        <w:t>vii)</w:t>
      </w:r>
      <w:r w:rsidR="0042353D">
        <w:t xml:space="preserve"> or </w:t>
      </w:r>
      <w:r w:rsidR="009F703F">
        <w:t>§9.2.1.1(1)(f)(v)</w:t>
      </w:r>
      <w:r w:rsidR="00A024C2">
        <w:t>, no</w:t>
      </w:r>
      <w:r w:rsidR="003236CB">
        <w:t xml:space="preserve"> </w:t>
      </w:r>
      <w:r w:rsidR="006B0C6F">
        <w:t>portion of th</w:t>
      </w:r>
      <w:r w:rsidR="00C26B3D">
        <w:t>at</w:t>
      </w:r>
      <w:r w:rsidR="006B0C6F">
        <w:t xml:space="preserve"> </w:t>
      </w:r>
      <w:r w:rsidR="001014DD">
        <w:t xml:space="preserve">security or payment </w:t>
      </w:r>
      <w:r w:rsidR="00B83B57">
        <w:t xml:space="preserve">should </w:t>
      </w:r>
      <w:r w:rsidR="001014DD">
        <w:t xml:space="preserve">be </w:t>
      </w:r>
      <w:r w:rsidR="00B531D3">
        <w:t xml:space="preserve">allowed to </w:t>
      </w:r>
      <w:r w:rsidR="00C245E6">
        <w:t xml:space="preserve">be </w:t>
      </w:r>
      <w:r w:rsidR="00C53B42">
        <w:t>return</w:t>
      </w:r>
      <w:r w:rsidR="00C245E6">
        <w:t>ed</w:t>
      </w:r>
      <w:r w:rsidR="00C53B42">
        <w:t xml:space="preserve"> to the ILLE</w:t>
      </w:r>
      <w:r w:rsidR="001014DD">
        <w:t>.</w:t>
      </w:r>
      <w:r w:rsidR="00384226">
        <w:t xml:space="preserve">  </w:t>
      </w:r>
      <w:r w:rsidR="00944595">
        <w:t xml:space="preserve">Study results under </w:t>
      </w:r>
      <w:r w:rsidR="00384226">
        <w:t xml:space="preserve">Batch 0 </w:t>
      </w:r>
      <w:r w:rsidR="00944595">
        <w:t xml:space="preserve">will </w:t>
      </w:r>
      <w:r w:rsidR="00384226">
        <w:t xml:space="preserve">guarantee </w:t>
      </w:r>
      <w:r w:rsidR="00EF4E3E">
        <w:t xml:space="preserve">the load </w:t>
      </w:r>
      <w:r w:rsidR="00944595">
        <w:t xml:space="preserve">a </w:t>
      </w:r>
      <w:r w:rsidR="00384226">
        <w:t xml:space="preserve">megawatt allocation and </w:t>
      </w:r>
      <w:r w:rsidR="00944595">
        <w:t xml:space="preserve">a </w:t>
      </w:r>
      <w:r w:rsidR="00384226">
        <w:t>load commission plan</w:t>
      </w:r>
      <w:r w:rsidR="000E11BB">
        <w:t xml:space="preserve">; therefore, </w:t>
      </w:r>
      <w:r w:rsidR="009C6224">
        <w:t xml:space="preserve">the </w:t>
      </w:r>
      <w:r w:rsidR="00604C9A">
        <w:t>ILLE</w:t>
      </w:r>
      <w:r w:rsidR="009C6224">
        <w:t xml:space="preserve"> must fully commit to funding </w:t>
      </w:r>
      <w:r w:rsidR="000B210B">
        <w:t>these costs</w:t>
      </w:r>
      <w:r w:rsidR="00D755D5">
        <w:t xml:space="preserve"> to justify the transmission capacity allocation and to protect ratepayers </w:t>
      </w:r>
      <w:r w:rsidR="00F6161F">
        <w:t>from the costs of these direct interconnection costs.</w:t>
      </w:r>
    </w:p>
    <w:p w14:paraId="7F623EC3" w14:textId="25C76172" w:rsidR="002C140C" w:rsidRDefault="00C245E6" w:rsidP="00D86277">
      <w:pPr>
        <w:pStyle w:val="NormalArial"/>
        <w:numPr>
          <w:ilvl w:val="1"/>
          <w:numId w:val="5"/>
        </w:numPr>
        <w:spacing w:before="120" w:after="120"/>
        <w:ind w:left="1512"/>
        <w:jc w:val="both"/>
      </w:pPr>
      <w:r>
        <w:t xml:space="preserve">For studied loads, the ILLE does not need to provide security or payment against direct interconnection costs to </w:t>
      </w:r>
      <w:proofErr w:type="gramStart"/>
      <w:r>
        <w:t>gain entry into</w:t>
      </w:r>
      <w:proofErr w:type="gramEnd"/>
      <w:r>
        <w:t xml:space="preserve"> Batch 0.</w:t>
      </w:r>
    </w:p>
    <w:p w14:paraId="248696B6" w14:textId="1C84E790" w:rsidR="000B210B" w:rsidRDefault="008E7B6C" w:rsidP="00D86277">
      <w:pPr>
        <w:pStyle w:val="NormalArial"/>
        <w:numPr>
          <w:ilvl w:val="0"/>
          <w:numId w:val="5"/>
        </w:numPr>
        <w:spacing w:before="120" w:after="120"/>
        <w:jc w:val="both"/>
      </w:pPr>
      <w:r w:rsidRPr="008E7B6C">
        <w:rPr>
          <w:i/>
          <w:iCs/>
        </w:rPr>
        <w:t>System Upgrade Cost Commitments</w:t>
      </w:r>
    </w:p>
    <w:p w14:paraId="6B210921" w14:textId="516E7107" w:rsidR="00C7249F" w:rsidRDefault="00E40C02" w:rsidP="00D86277">
      <w:pPr>
        <w:pStyle w:val="NormalArial"/>
        <w:numPr>
          <w:ilvl w:val="1"/>
          <w:numId w:val="5"/>
        </w:numPr>
        <w:spacing w:before="120" w:after="120"/>
        <w:ind w:left="1512"/>
        <w:jc w:val="both"/>
      </w:pPr>
      <w:r>
        <w:t xml:space="preserve">For </w:t>
      </w:r>
      <w:r w:rsidR="002C140C">
        <w:t xml:space="preserve">ILLEs seeking Batch 0 </w:t>
      </w:r>
      <w:r w:rsidR="006342E1">
        <w:t>base load</w:t>
      </w:r>
      <w:r w:rsidR="002C140C">
        <w:t xml:space="preserve"> status</w:t>
      </w:r>
      <w:r w:rsidR="006342E1">
        <w:t xml:space="preserve"> that </w:t>
      </w:r>
      <w:r w:rsidR="00C53B42">
        <w:t xml:space="preserve">must either </w:t>
      </w:r>
      <w:r w:rsidR="004C5FD1">
        <w:t xml:space="preserve">provide </w:t>
      </w:r>
      <w:r w:rsidR="00F74A5E">
        <w:t>payment against known system upgrade costs or post financial security equal to $50,000 per MW of its contracted peak demand</w:t>
      </w:r>
      <w:r w:rsidR="00D073A6">
        <w:t xml:space="preserve"> </w:t>
      </w:r>
      <w:r w:rsidR="00230C35">
        <w:t>under §9.2.1.1(1)(e)</w:t>
      </w:r>
      <w:r w:rsidR="00B656DE">
        <w:t>, up</w:t>
      </w:r>
      <w:r w:rsidR="00D073A6">
        <w:t xml:space="preserve"> </w:t>
      </w:r>
      <w:r w:rsidR="00BB3E03">
        <w:t xml:space="preserve">to </w:t>
      </w:r>
      <w:r w:rsidR="007039EA">
        <w:t xml:space="preserve">100% of </w:t>
      </w:r>
      <w:r w:rsidR="0082494D">
        <w:t>th</w:t>
      </w:r>
      <w:r w:rsidR="00BB3E03">
        <w:t>is</w:t>
      </w:r>
      <w:r w:rsidR="0082494D">
        <w:t xml:space="preserve"> commitment—whether against known costs or unknown costs—should be </w:t>
      </w:r>
      <w:r w:rsidR="000D25EB">
        <w:t xml:space="preserve">allowed to be returned </w:t>
      </w:r>
      <w:r w:rsidR="009C63DB">
        <w:t>to the ILLE</w:t>
      </w:r>
      <w:r w:rsidR="0082494D">
        <w:t>.</w:t>
      </w:r>
      <w:r w:rsidR="0003612C">
        <w:t xml:space="preserve">  These projects are the most mature and will have provided evidence of significant financial outlay</w:t>
      </w:r>
      <w:r w:rsidR="001D3993">
        <w:t xml:space="preserve"> through the project development process.  Therefore, </w:t>
      </w:r>
      <w:r w:rsidR="00082365">
        <w:t>Staff</w:t>
      </w:r>
      <w:r w:rsidR="00C52C27">
        <w:t xml:space="preserve"> believes </w:t>
      </w:r>
      <w:r w:rsidR="00082365">
        <w:t xml:space="preserve">that </w:t>
      </w:r>
      <w:r w:rsidR="00F55758">
        <w:t xml:space="preserve">the Commission should not place additional financial burdens </w:t>
      </w:r>
      <w:r w:rsidR="00082365">
        <w:t xml:space="preserve">on the projects that are most likely to materialize, </w:t>
      </w:r>
      <w:r w:rsidR="00F55758">
        <w:t xml:space="preserve">which </w:t>
      </w:r>
      <w:r w:rsidR="00B54D94">
        <w:t xml:space="preserve">could </w:t>
      </w:r>
      <w:r w:rsidR="00F55758">
        <w:t>result in suppressing economic development</w:t>
      </w:r>
      <w:r w:rsidR="00B54D94">
        <w:t>.</w:t>
      </w:r>
    </w:p>
    <w:p w14:paraId="1F36D0CA" w14:textId="28F2A70A" w:rsidR="00EF6718" w:rsidRDefault="00E57305" w:rsidP="00D86277">
      <w:pPr>
        <w:pStyle w:val="NormalArial"/>
        <w:numPr>
          <w:ilvl w:val="1"/>
          <w:numId w:val="5"/>
        </w:numPr>
        <w:spacing w:before="120" w:after="120"/>
        <w:ind w:left="1512"/>
        <w:jc w:val="both"/>
      </w:pPr>
      <w:r>
        <w:t xml:space="preserve">For </w:t>
      </w:r>
      <w:r w:rsidR="002C140C">
        <w:t xml:space="preserve">ILLEs seeking Batch 0 base load status </w:t>
      </w:r>
      <w:r w:rsidR="00EF6718">
        <w:t xml:space="preserve">that </w:t>
      </w:r>
      <w:r w:rsidR="009C63DB">
        <w:t xml:space="preserve">must </w:t>
      </w:r>
      <w:r w:rsidR="00EF6718">
        <w:t>either provide payment against known system upgrade costs or post financial security equal to $50,000 per MW of its contracted peak demand</w:t>
      </w:r>
      <w:r w:rsidR="00234518">
        <w:t xml:space="preserve"> </w:t>
      </w:r>
      <w:r w:rsidR="006123FC">
        <w:t xml:space="preserve">under </w:t>
      </w:r>
      <w:r w:rsidR="006123FC">
        <w:lastRenderedPageBreak/>
        <w:t>§9.2.1.1(1)(f), up</w:t>
      </w:r>
      <w:r w:rsidR="00234518">
        <w:t xml:space="preserve"> </w:t>
      </w:r>
      <w:r w:rsidR="00931248">
        <w:t xml:space="preserve">to </w:t>
      </w:r>
      <w:r w:rsidR="00423A22">
        <w:t>50% of th</w:t>
      </w:r>
      <w:r w:rsidR="00234518">
        <w:t>is</w:t>
      </w:r>
      <w:r w:rsidR="00423A22">
        <w:t xml:space="preserve"> </w:t>
      </w:r>
      <w:r w:rsidR="00D3046B">
        <w:t xml:space="preserve">commitment should be </w:t>
      </w:r>
      <w:r w:rsidR="00234518">
        <w:t>allowed to be returned to the ILLE</w:t>
      </w:r>
      <w:r w:rsidR="00D3046B">
        <w:t>.</w:t>
      </w:r>
      <w:r w:rsidR="00423A22">
        <w:t xml:space="preserve"> </w:t>
      </w:r>
      <w:r w:rsidR="00986F0F">
        <w:t xml:space="preserve">These projects </w:t>
      </w:r>
      <w:r w:rsidR="00DC5741">
        <w:t xml:space="preserve">are less well developed and </w:t>
      </w:r>
      <w:r w:rsidR="00F72BC9">
        <w:t>therefore</w:t>
      </w:r>
      <w:r w:rsidR="00DC5741">
        <w:t xml:space="preserve"> are more speculative in nature.  </w:t>
      </w:r>
      <w:r w:rsidR="00E343A7">
        <w:t>Because inclusion in Batch 0 as a base load will result in a guaranteed MW allocation and LCP</w:t>
      </w:r>
      <w:r w:rsidR="00DC5741">
        <w:t xml:space="preserve">, </w:t>
      </w:r>
      <w:r w:rsidR="00436968">
        <w:t xml:space="preserve">Staff finds that </w:t>
      </w:r>
      <w:r w:rsidR="00B83000">
        <w:t>it would be appropriate</w:t>
      </w:r>
      <w:r w:rsidR="00581E6B">
        <w:t xml:space="preserve"> to erect this binding financial commitment to both protect consumers against </w:t>
      </w:r>
      <w:r w:rsidR="00F04037">
        <w:t xml:space="preserve">the costs of system upgrades built for projects that fail to materialize and to help filter out the more </w:t>
      </w:r>
      <w:r w:rsidR="003667FB">
        <w:t>tenuous projects.</w:t>
      </w:r>
    </w:p>
    <w:p w14:paraId="7C4488AB" w14:textId="2E747838" w:rsidR="003667FB" w:rsidRDefault="003667FB" w:rsidP="00D86277">
      <w:pPr>
        <w:pStyle w:val="NormalArial"/>
        <w:numPr>
          <w:ilvl w:val="1"/>
          <w:numId w:val="5"/>
        </w:numPr>
        <w:spacing w:before="120" w:after="120"/>
        <w:ind w:left="1512"/>
        <w:jc w:val="both"/>
      </w:pPr>
      <w:r>
        <w:t>For studied loads</w:t>
      </w:r>
      <w:r w:rsidR="00F5429E">
        <w:t xml:space="preserve"> that </w:t>
      </w:r>
      <w:r w:rsidR="001E1529">
        <w:t xml:space="preserve">must post financial security equal to $50,000 per MW of its contracted peak demand </w:t>
      </w:r>
      <w:r w:rsidR="00F5429E">
        <w:t xml:space="preserve">under </w:t>
      </w:r>
      <w:r w:rsidR="00872495">
        <w:t xml:space="preserve">§9.2.1.2(c), up </w:t>
      </w:r>
      <w:r w:rsidR="00931248">
        <w:t>to 80% of this commitment should be allowed to be returned to the ILLE.</w:t>
      </w:r>
      <w:r w:rsidR="00BD3D34">
        <w:t xml:space="preserve"> Many of the </w:t>
      </w:r>
      <w:proofErr w:type="gramStart"/>
      <w:r w:rsidR="00BD3D34">
        <w:t>studied loads</w:t>
      </w:r>
      <w:proofErr w:type="gramEnd"/>
      <w:r w:rsidR="00BD3D34">
        <w:t xml:space="preserve"> will be the most speculative </w:t>
      </w:r>
      <w:r w:rsidR="00BF4802">
        <w:t xml:space="preserve">as they may be earlier in the project development cycle. However, unlike the previous category of base loads, the studied loads are not guaranteed a MW allocation or </w:t>
      </w:r>
      <w:r w:rsidR="00D41774">
        <w:t xml:space="preserve">an LCP.  Therefore, </w:t>
      </w:r>
      <w:r w:rsidR="00A34685">
        <w:t xml:space="preserve">Staff finds it appropriate to reduce the binding commitment </w:t>
      </w:r>
      <w:r w:rsidR="00CD5494">
        <w:t xml:space="preserve">to strike a balance between </w:t>
      </w:r>
      <w:r w:rsidR="000E64AD">
        <w:t>consumer protection and keeping economic development opportunities viable.</w:t>
      </w:r>
    </w:p>
    <w:p w14:paraId="68E33E32" w14:textId="7E117B8F" w:rsidR="00D3534F" w:rsidRDefault="00A84A45" w:rsidP="00D86277">
      <w:pPr>
        <w:pStyle w:val="NormalArial"/>
        <w:numPr>
          <w:ilvl w:val="1"/>
          <w:numId w:val="5"/>
        </w:numPr>
        <w:spacing w:before="120" w:after="120"/>
        <w:ind w:left="1512"/>
        <w:jc w:val="both"/>
      </w:pPr>
      <w:r>
        <w:t>L</w:t>
      </w:r>
      <w:r w:rsidR="00772F32">
        <w:t xml:space="preserve">oads that are part of a proposed net metering arrangement </w:t>
      </w:r>
      <w:r w:rsidR="006D2034">
        <w:t xml:space="preserve">submitted to the Commission </w:t>
      </w:r>
      <w:r>
        <w:t xml:space="preserve">by March 4, </w:t>
      </w:r>
      <w:proofErr w:type="gramStart"/>
      <w:r>
        <w:t>2026</w:t>
      </w:r>
      <w:proofErr w:type="gramEnd"/>
      <w:r>
        <w:t xml:space="preserve"> must either provide payment against known system upgrade costs or post financial security equal to $50,000 per MW of its contracted peak demand.</w:t>
      </w:r>
      <w:r w:rsidR="00AA4659">
        <w:t xml:space="preserve">  </w:t>
      </w:r>
      <w:r w:rsidR="00D01D33">
        <w:t>This requirement should be included in PGRR 145.</w:t>
      </w:r>
    </w:p>
    <w:p w14:paraId="1C219D07" w14:textId="51ECE798" w:rsidR="00A130E3" w:rsidRPr="00B36BDE" w:rsidRDefault="00533D87" w:rsidP="00D86277">
      <w:pPr>
        <w:pStyle w:val="NormalArial"/>
        <w:spacing w:before="120" w:after="120"/>
        <w:jc w:val="both"/>
      </w:pPr>
      <w:r>
        <w:t xml:space="preserve">Stakeholders have requested additional clarity around </w:t>
      </w:r>
      <w:r w:rsidR="000D3622">
        <w:t>other financial commitment requirements</w:t>
      </w:r>
      <w:r w:rsidR="004D6750">
        <w:t xml:space="preserve"> proposed in Project No. 58481</w:t>
      </w:r>
      <w:r w:rsidR="000D3622">
        <w:t>.</w:t>
      </w:r>
      <w:r w:rsidR="004D6750">
        <w:t xml:space="preserve">  The following bullets address </w:t>
      </w:r>
      <w:r w:rsidR="004E59AA">
        <w:t xml:space="preserve">Staff’s current vision for how those requirements should apply specifically to Batch 0.  </w:t>
      </w:r>
      <w:r w:rsidR="00A84473">
        <w:t>Staff notes that treatment of these commitments may evolve as the rulemaking progresses</w:t>
      </w:r>
      <w:r w:rsidR="009223B6">
        <w:t>,</w:t>
      </w:r>
      <w:r w:rsidR="00A84473">
        <w:t xml:space="preserve"> a</w:t>
      </w:r>
      <w:r w:rsidR="00B91264">
        <w:t>nd its final recommendations to the commissioners may be different for future Batch runs.</w:t>
      </w:r>
      <w:r w:rsidR="0054592A">
        <w:t xml:space="preserve">  As a result, it is appropriate that these items are not included in PGRR 145.</w:t>
      </w:r>
    </w:p>
    <w:p w14:paraId="4A3163E2" w14:textId="3A70DCE5" w:rsidR="00344DEA" w:rsidRDefault="00AF1237" w:rsidP="00D86277">
      <w:pPr>
        <w:pStyle w:val="NormalArial"/>
        <w:numPr>
          <w:ilvl w:val="0"/>
          <w:numId w:val="5"/>
        </w:numPr>
        <w:spacing w:before="120" w:after="120"/>
        <w:ind w:left="792"/>
        <w:jc w:val="both"/>
      </w:pPr>
      <w:r>
        <w:t xml:space="preserve">The proposal for publication in Project No. 58481 includes </w:t>
      </w:r>
      <w:r w:rsidR="00E518F3">
        <w:t>two additional financial commitments at the ‘intermediate agreement’ phase, which corresponds with the concept of Batch 0 eligibility criteria.</w:t>
      </w:r>
    </w:p>
    <w:p w14:paraId="11EFAEE1" w14:textId="7790819B" w:rsidR="00516663" w:rsidRDefault="00516663" w:rsidP="00D86277">
      <w:pPr>
        <w:pStyle w:val="NormalArial"/>
        <w:numPr>
          <w:ilvl w:val="1"/>
          <w:numId w:val="5"/>
        </w:numPr>
        <w:spacing w:before="120" w:after="120"/>
        <w:jc w:val="both"/>
      </w:pPr>
      <w:r w:rsidRPr="00F32A8D">
        <w:rPr>
          <w:u w:val="single"/>
        </w:rPr>
        <w:t>Study fee</w:t>
      </w:r>
      <w:r>
        <w:t xml:space="preserve">. </w:t>
      </w:r>
      <w:r w:rsidR="00E35DB6">
        <w:t>Under proposed §25.194(d)(9), an ILLE must pay the utility a study fee</w:t>
      </w:r>
      <w:r w:rsidR="00483D7C">
        <w:t xml:space="preserve"> in an amount based on its contract peak demand.</w:t>
      </w:r>
      <w:r w:rsidR="00FE6F04">
        <w:t xml:space="preserve"> </w:t>
      </w:r>
      <w:r w:rsidR="00E416E7">
        <w:t xml:space="preserve">Staff </w:t>
      </w:r>
      <w:proofErr w:type="gramStart"/>
      <w:r w:rsidR="00E416E7">
        <w:t>finds</w:t>
      </w:r>
      <w:proofErr w:type="gramEnd"/>
      <w:r w:rsidR="00E416E7">
        <w:t xml:space="preserve"> it appropriate to retain this commitment as a Batch 0 eligibility requirement.</w:t>
      </w:r>
    </w:p>
    <w:p w14:paraId="27780440" w14:textId="0839322F" w:rsidR="00E416E7" w:rsidRDefault="00210228" w:rsidP="00D86277">
      <w:pPr>
        <w:pStyle w:val="NormalArial"/>
        <w:numPr>
          <w:ilvl w:val="1"/>
          <w:numId w:val="5"/>
        </w:numPr>
        <w:spacing w:before="120" w:after="120"/>
        <w:jc w:val="both"/>
      </w:pPr>
      <w:r w:rsidRPr="00F32A8D">
        <w:rPr>
          <w:u w:val="single"/>
        </w:rPr>
        <w:t>Financial security for significant equipment</w:t>
      </w:r>
      <w:r>
        <w:t>.  Under proposed §25.194(d)(11), a</w:t>
      </w:r>
      <w:r w:rsidR="004E57FE">
        <w:t xml:space="preserve"> utility must not procure </w:t>
      </w:r>
      <w:r w:rsidR="007B0A47">
        <w:t>equipment or services before the ILLE posts security</w:t>
      </w:r>
      <w:r w:rsidR="00BE6B9A">
        <w:t xml:space="preserve">. Staff </w:t>
      </w:r>
      <w:proofErr w:type="gramStart"/>
      <w:r w:rsidR="00BE6B9A">
        <w:t>finds</w:t>
      </w:r>
      <w:proofErr w:type="gramEnd"/>
      <w:r w:rsidR="00BE6B9A">
        <w:t xml:space="preserve"> this security to be redundant with the </w:t>
      </w:r>
      <w:r w:rsidR="009B571C">
        <w:t xml:space="preserve">financial commitment </w:t>
      </w:r>
      <w:r w:rsidR="00471F4F">
        <w:t xml:space="preserve">requirement </w:t>
      </w:r>
      <w:r w:rsidR="00BE6B9A">
        <w:t>for the direct costs of interconnection</w:t>
      </w:r>
      <w:r w:rsidR="00716851">
        <w:t xml:space="preserve"> and </w:t>
      </w:r>
      <w:r w:rsidR="007C503A">
        <w:t xml:space="preserve">the </w:t>
      </w:r>
      <w:r w:rsidR="008561DB">
        <w:t xml:space="preserve">security </w:t>
      </w:r>
      <w:r w:rsidR="00471F4F">
        <w:t xml:space="preserve">requirement </w:t>
      </w:r>
      <w:r w:rsidR="008561DB">
        <w:t xml:space="preserve">for system upgrades.  Therefore, </w:t>
      </w:r>
      <w:r w:rsidR="00716851">
        <w:t xml:space="preserve">it </w:t>
      </w:r>
      <w:r w:rsidR="00F32A8D">
        <w:t xml:space="preserve">is </w:t>
      </w:r>
      <w:r w:rsidR="00716851">
        <w:t>appropriate to remove this commitment as a Batch 0 eligibility requirement.</w:t>
      </w:r>
    </w:p>
    <w:p w14:paraId="505DC3A1" w14:textId="364A0F0D" w:rsidR="00C41DBE" w:rsidRDefault="00C41DBE" w:rsidP="00D86277">
      <w:pPr>
        <w:pStyle w:val="NormalArial"/>
        <w:numPr>
          <w:ilvl w:val="0"/>
          <w:numId w:val="5"/>
        </w:numPr>
        <w:spacing w:before="120" w:after="120"/>
        <w:ind w:left="792"/>
        <w:jc w:val="both"/>
      </w:pPr>
      <w:r>
        <w:lastRenderedPageBreak/>
        <w:t xml:space="preserve">The proposal for publication in Project No. 58481 includes four </w:t>
      </w:r>
      <w:r w:rsidR="0012060C">
        <w:t xml:space="preserve">subsections related to </w:t>
      </w:r>
      <w:r>
        <w:t>financial commitments at the ‘</w:t>
      </w:r>
      <w:r w:rsidR="0012060C">
        <w:t xml:space="preserve">interconnection </w:t>
      </w:r>
      <w:r>
        <w:t xml:space="preserve">agreement’ phase, which corresponds with the concept of Batch 0 </w:t>
      </w:r>
      <w:r w:rsidR="0012060C">
        <w:t>developer commitment period as drafted in PG §9.3.1</w:t>
      </w:r>
      <w:r>
        <w:t>.</w:t>
      </w:r>
    </w:p>
    <w:p w14:paraId="45AAC4BA" w14:textId="3FA8B72D" w:rsidR="00620C7D" w:rsidRDefault="00B104E9" w:rsidP="00D86277">
      <w:pPr>
        <w:pStyle w:val="NormalArial"/>
        <w:numPr>
          <w:ilvl w:val="1"/>
          <w:numId w:val="5"/>
        </w:numPr>
        <w:spacing w:before="120" w:after="120"/>
        <w:jc w:val="both"/>
      </w:pPr>
      <w:r w:rsidRPr="00F32A8D">
        <w:rPr>
          <w:u w:val="single"/>
        </w:rPr>
        <w:t>Non-refundable interconnection fee</w:t>
      </w:r>
      <w:r>
        <w:t>. Under proposed §25.194(f)(7)</w:t>
      </w:r>
      <w:r w:rsidR="002F31E5">
        <w:t>, an ILLE must post non-refundable security in the amount of $50,000 per MW</w:t>
      </w:r>
      <w:r w:rsidR="00E06D09">
        <w:t xml:space="preserve"> of contracted peak demand.  However, the utility </w:t>
      </w:r>
      <w:r w:rsidR="00F47A0A">
        <w:t xml:space="preserve">would be allowed to </w:t>
      </w:r>
      <w:r w:rsidR="00833424">
        <w:t>apply</w:t>
      </w:r>
      <w:r w:rsidR="00F47A0A">
        <w:t xml:space="preserve"> any unused security from the intermediate agreement to satisfy this fee.</w:t>
      </w:r>
      <w:r w:rsidR="008F4CDC">
        <w:t xml:space="preserve">  Staff </w:t>
      </w:r>
      <w:proofErr w:type="gramStart"/>
      <w:r w:rsidR="008F4CDC">
        <w:t>finds</w:t>
      </w:r>
      <w:proofErr w:type="gramEnd"/>
      <w:r w:rsidR="008F4CDC">
        <w:t xml:space="preserve"> </w:t>
      </w:r>
      <w:r w:rsidR="00496D78">
        <w:t>it appropriate to remove this fee as a Batch 0 exit requirement</w:t>
      </w:r>
      <w:r w:rsidR="00B367F7">
        <w:t>.</w:t>
      </w:r>
    </w:p>
    <w:p w14:paraId="6C74596F" w14:textId="296CCB0E" w:rsidR="00F80C59" w:rsidRDefault="00F80C59" w:rsidP="00D86277">
      <w:pPr>
        <w:pStyle w:val="NormalArial"/>
        <w:numPr>
          <w:ilvl w:val="1"/>
          <w:numId w:val="5"/>
        </w:numPr>
        <w:spacing w:before="120" w:after="120"/>
        <w:jc w:val="both"/>
      </w:pPr>
      <w:r w:rsidRPr="00F32A8D">
        <w:rPr>
          <w:u w:val="single"/>
        </w:rPr>
        <w:t>Financial security for significant equipment</w:t>
      </w:r>
      <w:r>
        <w:t xml:space="preserve">.  Under proposed §25.194(f)(8), a utility must not procure </w:t>
      </w:r>
      <w:r w:rsidR="00F11271">
        <w:t xml:space="preserve">significant </w:t>
      </w:r>
      <w:r>
        <w:t xml:space="preserve">equipment or services before the ILLE posts security. Staff </w:t>
      </w:r>
      <w:proofErr w:type="gramStart"/>
      <w:r>
        <w:t>finds</w:t>
      </w:r>
      <w:proofErr w:type="gramEnd"/>
      <w:r>
        <w:t xml:space="preserve"> </w:t>
      </w:r>
      <w:r w:rsidR="00765DE9">
        <w:t>it appropriate to retain this ratepayer protection requirement</w:t>
      </w:r>
      <w:r>
        <w:t>.</w:t>
      </w:r>
    </w:p>
    <w:p w14:paraId="477F00BA" w14:textId="2008D74C" w:rsidR="003978E6" w:rsidRDefault="003D6075" w:rsidP="00D86277">
      <w:pPr>
        <w:pStyle w:val="NormalArial"/>
        <w:numPr>
          <w:ilvl w:val="1"/>
          <w:numId w:val="5"/>
        </w:numPr>
        <w:spacing w:before="120" w:after="120"/>
        <w:jc w:val="both"/>
      </w:pPr>
      <w:r w:rsidRPr="00F32A8D">
        <w:rPr>
          <w:u w:val="single"/>
        </w:rPr>
        <w:t>Contribution in aid of construction</w:t>
      </w:r>
      <w:r>
        <w:t>. Under proposed §25.194(f)(9), an ILLE must pay direct interconnection costs through CIAC.</w:t>
      </w:r>
      <w:r w:rsidR="00241A90">
        <w:t xml:space="preserve">  This subsection does not create an additional financial commitment</w:t>
      </w:r>
      <w:r w:rsidR="00864FE0">
        <w:t xml:space="preserve"> for </w:t>
      </w:r>
      <w:r w:rsidR="00833424">
        <w:t xml:space="preserve">ILLEs in </w:t>
      </w:r>
      <w:r w:rsidR="00864FE0">
        <w:t>Batch 0.</w:t>
      </w:r>
    </w:p>
    <w:p w14:paraId="2CCB3E85" w14:textId="5DE39780" w:rsidR="00DC67D7" w:rsidRDefault="00864FE0" w:rsidP="00D86277">
      <w:pPr>
        <w:pStyle w:val="NormalArial"/>
        <w:numPr>
          <w:ilvl w:val="1"/>
          <w:numId w:val="5"/>
        </w:numPr>
        <w:spacing w:before="120" w:after="120"/>
        <w:jc w:val="both"/>
      </w:pPr>
      <w:r w:rsidRPr="00833424">
        <w:rPr>
          <w:u w:val="single"/>
        </w:rPr>
        <w:t>Financial security for system upgrades</w:t>
      </w:r>
      <w:r>
        <w:t xml:space="preserve">. Under proposed §25.194(f)(10), an ILLE must post </w:t>
      </w:r>
      <w:r w:rsidR="00C050C4">
        <w:t xml:space="preserve">security </w:t>
      </w:r>
      <w:r w:rsidR="00DD2B3A">
        <w:t xml:space="preserve">against the costs of system upgrades. Up to </w:t>
      </w:r>
      <w:r w:rsidR="00DC67D7">
        <w:t>2</w:t>
      </w:r>
      <w:r w:rsidR="00DD2B3A">
        <w:t xml:space="preserve">0% </w:t>
      </w:r>
      <w:r w:rsidR="00DC67D7">
        <w:t>of this amount is allowed to be returned to the ILLE in the proposed rule.</w:t>
      </w:r>
      <w:r w:rsidR="00833424">
        <w:t xml:space="preserve">  </w:t>
      </w:r>
      <w:r w:rsidR="00813D29">
        <w:t xml:space="preserve">Concepts about how best to handle </w:t>
      </w:r>
      <w:r w:rsidR="004A5653">
        <w:t xml:space="preserve">system upgrade costs </w:t>
      </w:r>
      <w:r w:rsidR="00813D29">
        <w:t xml:space="preserve">continue to evolve </w:t>
      </w:r>
      <w:r w:rsidR="00D14CE8">
        <w:t xml:space="preserve">and consistent with the bullets below, this financial commitment requirement will likely get addressed </w:t>
      </w:r>
      <w:r w:rsidR="007E6D82">
        <w:t>through additional rulemaking</w:t>
      </w:r>
      <w:r w:rsidR="00BC6C63">
        <w:t>.</w:t>
      </w:r>
    </w:p>
    <w:p w14:paraId="17743678" w14:textId="742C950C" w:rsidR="00E14077" w:rsidRPr="0054592A" w:rsidRDefault="00854134" w:rsidP="00D86277">
      <w:pPr>
        <w:pStyle w:val="NormalArial"/>
        <w:spacing w:before="120" w:after="120"/>
        <w:jc w:val="both"/>
      </w:pPr>
      <w:r>
        <w:t>Finally, Staff provides a few a</w:t>
      </w:r>
      <w:r w:rsidR="00E14077" w:rsidRPr="0054592A">
        <w:t xml:space="preserve">dditional considerations </w:t>
      </w:r>
      <w:r w:rsidR="00B30705">
        <w:t xml:space="preserve">related to </w:t>
      </w:r>
      <w:r w:rsidR="00112F60">
        <w:t>financial commitments.</w:t>
      </w:r>
    </w:p>
    <w:p w14:paraId="3F057249" w14:textId="0039088C" w:rsidR="004B5BED" w:rsidRDefault="00CC5799" w:rsidP="00D86277">
      <w:pPr>
        <w:pStyle w:val="NormalArial"/>
        <w:numPr>
          <w:ilvl w:val="0"/>
          <w:numId w:val="5"/>
        </w:numPr>
        <w:spacing w:before="120" w:after="120"/>
        <w:jc w:val="both"/>
      </w:pPr>
      <w:r>
        <w:t>Staff will continue to evaluate t</w:t>
      </w:r>
      <w:r w:rsidR="005C60C2">
        <w:t xml:space="preserve">reatment of financial security against system upgrades costs </w:t>
      </w:r>
      <w:r w:rsidR="00280B13">
        <w:t xml:space="preserve">in </w:t>
      </w:r>
      <w:r w:rsidR="00750EDB">
        <w:t xml:space="preserve">a forthcoming rulemaking related to transmission cost of service.  </w:t>
      </w:r>
      <w:r w:rsidR="003F7EDC">
        <w:t xml:space="preserve">Staff may consider </w:t>
      </w:r>
      <w:r w:rsidR="00681580">
        <w:t xml:space="preserve">options that tie </w:t>
      </w:r>
      <w:r w:rsidR="001D26F2">
        <w:t xml:space="preserve">return of security to an ILLE </w:t>
      </w:r>
      <w:r w:rsidR="00670ECB">
        <w:t xml:space="preserve">if </w:t>
      </w:r>
      <w:r w:rsidR="001D26F2">
        <w:t>it execute</w:t>
      </w:r>
      <w:r w:rsidR="00670ECB">
        <w:t>s</w:t>
      </w:r>
      <w:r w:rsidR="001D26F2">
        <w:t xml:space="preserve"> a retail contract that </w:t>
      </w:r>
      <w:r w:rsidR="005E3E41">
        <w:t xml:space="preserve">is based on </w:t>
      </w:r>
      <w:r w:rsidR="002A4E95">
        <w:t>revised transmission service ratemaking methodologies.</w:t>
      </w:r>
    </w:p>
    <w:p w14:paraId="32EBD967" w14:textId="04DD7E5E" w:rsidR="00BC6C63" w:rsidRDefault="00BC6C63" w:rsidP="00D86277">
      <w:pPr>
        <w:pStyle w:val="NormalArial"/>
        <w:numPr>
          <w:ilvl w:val="0"/>
          <w:numId w:val="5"/>
        </w:numPr>
        <w:spacing w:before="120" w:after="120"/>
        <w:jc w:val="both"/>
      </w:pPr>
      <w:r>
        <w:t>Any security or payment that is retained should be subject to reconciliation against actual expenses where known.</w:t>
      </w:r>
      <w:r w:rsidR="007E6D82">
        <w:t xml:space="preserve">  A utility </w:t>
      </w:r>
      <w:r w:rsidR="00B262FE">
        <w:t xml:space="preserve">should apply any retained security or payment to a regulatory asset account pending </w:t>
      </w:r>
      <w:r w:rsidR="00E1703C">
        <w:t>the commission’s rule adoption order in Project No.58481.</w:t>
      </w:r>
    </w:p>
    <w:p w14:paraId="47556AB7" w14:textId="02217145" w:rsidR="00BC6C63" w:rsidRDefault="003635A1" w:rsidP="00D86277">
      <w:pPr>
        <w:pStyle w:val="NormalArial"/>
        <w:numPr>
          <w:ilvl w:val="0"/>
          <w:numId w:val="5"/>
        </w:numPr>
        <w:spacing w:before="120" w:after="120"/>
        <w:ind w:left="792"/>
        <w:jc w:val="both"/>
      </w:pPr>
      <w:r>
        <w:t>A portion of p</w:t>
      </w:r>
      <w:r w:rsidR="00B672DD">
        <w:t xml:space="preserve">ayments or security </w:t>
      </w:r>
      <w:r w:rsidR="00D91637">
        <w:t xml:space="preserve">against the costs of system upgrades </w:t>
      </w:r>
      <w:r w:rsidR="00B672DD">
        <w:t xml:space="preserve">should be retained </w:t>
      </w:r>
      <w:r w:rsidR="001521FF">
        <w:t>because</w:t>
      </w:r>
      <w:r w:rsidR="00B672DD">
        <w:t>:</w:t>
      </w:r>
    </w:p>
    <w:p w14:paraId="2509AD2B" w14:textId="7509C696" w:rsidR="001521FF" w:rsidRDefault="001521FF" w:rsidP="00D86277">
      <w:pPr>
        <w:pStyle w:val="NormalArial"/>
        <w:numPr>
          <w:ilvl w:val="1"/>
          <w:numId w:val="5"/>
        </w:numPr>
        <w:spacing w:before="120" w:after="120"/>
        <w:jc w:val="both"/>
      </w:pPr>
      <w:r>
        <w:t xml:space="preserve">An ILLE withdraws </w:t>
      </w:r>
      <w:r w:rsidR="00A214C1">
        <w:t>all or a portion of its contracted peak demand</w:t>
      </w:r>
      <w:r w:rsidR="0004764B">
        <w:t>.</w:t>
      </w:r>
    </w:p>
    <w:p w14:paraId="69EECC11" w14:textId="699AFD5E" w:rsidR="00355488" w:rsidRDefault="00D91637" w:rsidP="00D86277">
      <w:pPr>
        <w:pStyle w:val="NormalArial"/>
        <w:numPr>
          <w:ilvl w:val="1"/>
          <w:numId w:val="5"/>
        </w:numPr>
        <w:spacing w:before="120" w:after="120"/>
        <w:jc w:val="both"/>
      </w:pPr>
      <w:r>
        <w:t xml:space="preserve">The </w:t>
      </w:r>
      <w:r w:rsidR="00B672DD">
        <w:t xml:space="preserve">project </w:t>
      </w:r>
      <w:r w:rsidR="0004764B">
        <w:t xml:space="preserve">failed to meet its LCP. </w:t>
      </w:r>
      <w:r w:rsidR="00581E0A">
        <w:t>I</w:t>
      </w:r>
      <w:r w:rsidR="000E1EFA">
        <w:t xml:space="preserve">t </w:t>
      </w:r>
      <w:r w:rsidR="00581E0A">
        <w:t xml:space="preserve">is </w:t>
      </w:r>
      <w:r w:rsidR="000E1EFA">
        <w:t xml:space="preserve">appropriate to extend </w:t>
      </w:r>
      <w:r w:rsidR="00A22E7F">
        <w:t xml:space="preserve">the project milestone </w:t>
      </w:r>
      <w:r w:rsidR="00846333">
        <w:t xml:space="preserve">grace period </w:t>
      </w:r>
      <w:r w:rsidR="00A22E7F">
        <w:t>from 6 months, as proposed under §25.194(h)(1), to 12 months</w:t>
      </w:r>
      <w:r w:rsidR="00846333">
        <w:t>.</w:t>
      </w:r>
    </w:p>
    <w:p w14:paraId="6DBBF94C" w14:textId="77777777" w:rsidR="00FF5E88" w:rsidRDefault="00FF5E88" w:rsidP="00FF5E88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F5E88" w14:paraId="45037951" w14:textId="77777777" w:rsidTr="00BE1A46">
        <w:trPr>
          <w:trHeight w:val="350"/>
          <w:jc w:val="center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57C3E8" w14:textId="77777777" w:rsidR="00FF5E88" w:rsidRDefault="00FF5E88" w:rsidP="0036679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7FD4890" w14:textId="279DB0B5" w:rsidR="00152993" w:rsidRDefault="003E1952" w:rsidP="003E1952">
      <w:pPr>
        <w:pStyle w:val="NormalArial"/>
        <w:spacing w:before="120" w:after="120"/>
      </w:pPr>
      <w:r>
        <w:t>None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1C02C978" w14:textId="77777777" w:rsidTr="000D4731">
        <w:trPr>
          <w:trHeight w:val="350"/>
          <w:jc w:val="center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D582AB" w14:textId="77777777" w:rsidR="00152993" w:rsidRDefault="00152993">
            <w:pPr>
              <w:pStyle w:val="Header"/>
              <w:jc w:val="center"/>
            </w:pPr>
            <w:r>
              <w:t xml:space="preserve">Revised Proposed </w:t>
            </w:r>
            <w:r w:rsidR="00C158EE">
              <w:t xml:space="preserve">Guide </w:t>
            </w:r>
            <w:r>
              <w:t>Language</w:t>
            </w:r>
          </w:p>
        </w:tc>
      </w:tr>
    </w:tbl>
    <w:p w14:paraId="69AFAD61" w14:textId="31B48647" w:rsidR="00152993" w:rsidRDefault="003E1952" w:rsidP="003E1952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BA4E" w14:textId="77777777" w:rsidR="00F23F9A" w:rsidRDefault="00F23F9A">
      <w:r>
        <w:separator/>
      </w:r>
    </w:p>
  </w:endnote>
  <w:endnote w:type="continuationSeparator" w:id="0">
    <w:p w14:paraId="1FAC9498" w14:textId="77777777" w:rsidR="00F23F9A" w:rsidRDefault="00F2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6B7" w14:textId="3D73D32C" w:rsidR="003D0994" w:rsidRDefault="00D86277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145</w:t>
    </w:r>
    <w:r w:rsidR="00170E84">
      <w:rPr>
        <w:rFonts w:ascii="Arial" w:hAnsi="Arial"/>
        <w:sz w:val="18"/>
      </w:rPr>
      <w:t>P</w:t>
    </w:r>
    <w:r w:rsidR="00C158EE">
      <w:rPr>
        <w:rFonts w:ascii="Arial" w:hAnsi="Arial"/>
        <w:sz w:val="18"/>
      </w:rPr>
      <w:t>GRR</w:t>
    </w:r>
    <w:r>
      <w:rPr>
        <w:rFonts w:ascii="Arial" w:hAnsi="Arial"/>
        <w:sz w:val="18"/>
      </w:rPr>
      <w:t>-58 PUCT Staff</w:t>
    </w:r>
    <w:r w:rsidR="00C158EE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C</w:t>
    </w:r>
    <w:r w:rsidR="007269C4">
      <w:rPr>
        <w:rFonts w:ascii="Arial" w:hAnsi="Arial"/>
        <w:sz w:val="18"/>
      </w:rPr>
      <w:t>omment</w:t>
    </w:r>
    <w:r>
      <w:rPr>
        <w:rFonts w:ascii="Arial" w:hAnsi="Arial"/>
        <w:sz w:val="18"/>
      </w:rPr>
      <w:t>s</w:t>
    </w:r>
    <w:r w:rsidR="007269C4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042926</w:t>
    </w:r>
    <w:r w:rsidR="007269C4">
      <w:rPr>
        <w:rFonts w:ascii="Arial" w:hAnsi="Arial"/>
        <w:sz w:val="18"/>
      </w:rPr>
      <w:t xml:space="preserve"> 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6377936B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1B60" w14:textId="77777777" w:rsidR="00F23F9A" w:rsidRDefault="00F23F9A">
      <w:r>
        <w:separator/>
      </w:r>
    </w:p>
  </w:footnote>
  <w:footnote w:type="continuationSeparator" w:id="0">
    <w:p w14:paraId="62F389D3" w14:textId="77777777" w:rsidR="00F23F9A" w:rsidRDefault="00F2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8114" w14:textId="17D50737" w:rsidR="003D0994" w:rsidRPr="00670997" w:rsidRDefault="00170E84" w:rsidP="00670997">
    <w:pPr>
      <w:pStyle w:val="Header"/>
      <w:jc w:val="center"/>
      <w:rPr>
        <w:sz w:val="32"/>
      </w:rPr>
    </w:pPr>
    <w:r>
      <w:rPr>
        <w:sz w:val="32"/>
      </w:rPr>
      <w:t>P</w:t>
    </w:r>
    <w:r w:rsidR="00C158EE">
      <w:rPr>
        <w:sz w:val="32"/>
      </w:rPr>
      <w:t xml:space="preserve">GRR </w:t>
    </w:r>
    <w:r w:rsidR="003D0994">
      <w:rPr>
        <w:sz w:val="32"/>
      </w:rPr>
      <w:t>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4D41F5"/>
    <w:multiLevelType w:val="hybridMultilevel"/>
    <w:tmpl w:val="29C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17370"/>
    <w:multiLevelType w:val="hybridMultilevel"/>
    <w:tmpl w:val="C854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F693F"/>
    <w:multiLevelType w:val="hybridMultilevel"/>
    <w:tmpl w:val="C43259D4"/>
    <w:lvl w:ilvl="0" w:tplc="A8E26304">
      <w:start w:val="1"/>
      <w:numFmt w:val="decimal"/>
      <w:lvlText w:val="%1."/>
      <w:lvlJc w:val="left"/>
      <w:pPr>
        <w:ind w:left="1020" w:hanging="360"/>
      </w:pPr>
    </w:lvl>
    <w:lvl w:ilvl="1" w:tplc="00F07A3A">
      <w:start w:val="1"/>
      <w:numFmt w:val="decimal"/>
      <w:lvlText w:val="%2."/>
      <w:lvlJc w:val="left"/>
      <w:pPr>
        <w:ind w:left="1020" w:hanging="360"/>
      </w:pPr>
    </w:lvl>
    <w:lvl w:ilvl="2" w:tplc="742C1CF2">
      <w:start w:val="1"/>
      <w:numFmt w:val="decimal"/>
      <w:lvlText w:val="%3."/>
      <w:lvlJc w:val="left"/>
      <w:pPr>
        <w:ind w:left="1020" w:hanging="360"/>
      </w:pPr>
    </w:lvl>
    <w:lvl w:ilvl="3" w:tplc="F0F2260E">
      <w:start w:val="1"/>
      <w:numFmt w:val="decimal"/>
      <w:lvlText w:val="%4."/>
      <w:lvlJc w:val="left"/>
      <w:pPr>
        <w:ind w:left="1020" w:hanging="360"/>
      </w:pPr>
    </w:lvl>
    <w:lvl w:ilvl="4" w:tplc="64429EEC">
      <w:start w:val="1"/>
      <w:numFmt w:val="decimal"/>
      <w:lvlText w:val="%5."/>
      <w:lvlJc w:val="left"/>
      <w:pPr>
        <w:ind w:left="1020" w:hanging="360"/>
      </w:pPr>
    </w:lvl>
    <w:lvl w:ilvl="5" w:tplc="3DB481CA">
      <w:start w:val="1"/>
      <w:numFmt w:val="decimal"/>
      <w:lvlText w:val="%6."/>
      <w:lvlJc w:val="left"/>
      <w:pPr>
        <w:ind w:left="1020" w:hanging="360"/>
      </w:pPr>
    </w:lvl>
    <w:lvl w:ilvl="6" w:tplc="C8AC1F8C">
      <w:start w:val="1"/>
      <w:numFmt w:val="decimal"/>
      <w:lvlText w:val="%7."/>
      <w:lvlJc w:val="left"/>
      <w:pPr>
        <w:ind w:left="1020" w:hanging="360"/>
      </w:pPr>
    </w:lvl>
    <w:lvl w:ilvl="7" w:tplc="B1A24950">
      <w:start w:val="1"/>
      <w:numFmt w:val="decimal"/>
      <w:lvlText w:val="%8."/>
      <w:lvlJc w:val="left"/>
      <w:pPr>
        <w:ind w:left="1020" w:hanging="360"/>
      </w:pPr>
    </w:lvl>
    <w:lvl w:ilvl="8" w:tplc="F0FCB28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F3D2238"/>
    <w:multiLevelType w:val="hybridMultilevel"/>
    <w:tmpl w:val="D792A946"/>
    <w:lvl w:ilvl="0" w:tplc="57967158">
      <w:start w:val="1"/>
      <w:numFmt w:val="decimal"/>
      <w:lvlText w:val="%1."/>
      <w:lvlJc w:val="left"/>
      <w:pPr>
        <w:ind w:left="1020" w:hanging="360"/>
      </w:pPr>
    </w:lvl>
    <w:lvl w:ilvl="1" w:tplc="AD0415DE">
      <w:start w:val="1"/>
      <w:numFmt w:val="decimal"/>
      <w:lvlText w:val="%2."/>
      <w:lvlJc w:val="left"/>
      <w:pPr>
        <w:ind w:left="1020" w:hanging="360"/>
      </w:pPr>
    </w:lvl>
    <w:lvl w:ilvl="2" w:tplc="512EE0C0">
      <w:start w:val="1"/>
      <w:numFmt w:val="decimal"/>
      <w:lvlText w:val="%3."/>
      <w:lvlJc w:val="left"/>
      <w:pPr>
        <w:ind w:left="1020" w:hanging="360"/>
      </w:pPr>
    </w:lvl>
    <w:lvl w:ilvl="3" w:tplc="D13C6360">
      <w:start w:val="1"/>
      <w:numFmt w:val="decimal"/>
      <w:lvlText w:val="%4."/>
      <w:lvlJc w:val="left"/>
      <w:pPr>
        <w:ind w:left="1020" w:hanging="360"/>
      </w:pPr>
    </w:lvl>
    <w:lvl w:ilvl="4" w:tplc="CC6E1B72">
      <w:start w:val="1"/>
      <w:numFmt w:val="decimal"/>
      <w:lvlText w:val="%5."/>
      <w:lvlJc w:val="left"/>
      <w:pPr>
        <w:ind w:left="1020" w:hanging="360"/>
      </w:pPr>
    </w:lvl>
    <w:lvl w:ilvl="5" w:tplc="66DECEAE">
      <w:start w:val="1"/>
      <w:numFmt w:val="decimal"/>
      <w:lvlText w:val="%6."/>
      <w:lvlJc w:val="left"/>
      <w:pPr>
        <w:ind w:left="1020" w:hanging="360"/>
      </w:pPr>
    </w:lvl>
    <w:lvl w:ilvl="6" w:tplc="9356E956">
      <w:start w:val="1"/>
      <w:numFmt w:val="decimal"/>
      <w:lvlText w:val="%7."/>
      <w:lvlJc w:val="left"/>
      <w:pPr>
        <w:ind w:left="1020" w:hanging="360"/>
      </w:pPr>
    </w:lvl>
    <w:lvl w:ilvl="7" w:tplc="4DC2A05C">
      <w:start w:val="1"/>
      <w:numFmt w:val="decimal"/>
      <w:lvlText w:val="%8."/>
      <w:lvlJc w:val="left"/>
      <w:pPr>
        <w:ind w:left="1020" w:hanging="360"/>
      </w:pPr>
    </w:lvl>
    <w:lvl w:ilvl="8" w:tplc="93605E7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416135C"/>
    <w:multiLevelType w:val="hybridMultilevel"/>
    <w:tmpl w:val="B40EE9A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5BD40B0C"/>
    <w:multiLevelType w:val="hybridMultilevel"/>
    <w:tmpl w:val="197E59A4"/>
    <w:lvl w:ilvl="0" w:tplc="8362D47C">
      <w:start w:val="1"/>
      <w:numFmt w:val="decimal"/>
      <w:lvlText w:val="%1."/>
      <w:lvlJc w:val="left"/>
      <w:pPr>
        <w:ind w:left="1020" w:hanging="360"/>
      </w:pPr>
    </w:lvl>
    <w:lvl w:ilvl="1" w:tplc="16C4A40E">
      <w:start w:val="1"/>
      <w:numFmt w:val="decimal"/>
      <w:lvlText w:val="%2."/>
      <w:lvlJc w:val="left"/>
      <w:pPr>
        <w:ind w:left="1020" w:hanging="360"/>
      </w:pPr>
    </w:lvl>
    <w:lvl w:ilvl="2" w:tplc="3C54B170">
      <w:start w:val="1"/>
      <w:numFmt w:val="decimal"/>
      <w:lvlText w:val="%3."/>
      <w:lvlJc w:val="left"/>
      <w:pPr>
        <w:ind w:left="1020" w:hanging="360"/>
      </w:pPr>
    </w:lvl>
    <w:lvl w:ilvl="3" w:tplc="B146412E">
      <w:start w:val="1"/>
      <w:numFmt w:val="decimal"/>
      <w:lvlText w:val="%4."/>
      <w:lvlJc w:val="left"/>
      <w:pPr>
        <w:ind w:left="1020" w:hanging="360"/>
      </w:pPr>
    </w:lvl>
    <w:lvl w:ilvl="4" w:tplc="0C883464">
      <w:start w:val="1"/>
      <w:numFmt w:val="decimal"/>
      <w:lvlText w:val="%5."/>
      <w:lvlJc w:val="left"/>
      <w:pPr>
        <w:ind w:left="1020" w:hanging="360"/>
      </w:pPr>
    </w:lvl>
    <w:lvl w:ilvl="5" w:tplc="567C6B66">
      <w:start w:val="1"/>
      <w:numFmt w:val="decimal"/>
      <w:lvlText w:val="%6."/>
      <w:lvlJc w:val="left"/>
      <w:pPr>
        <w:ind w:left="1020" w:hanging="360"/>
      </w:pPr>
    </w:lvl>
    <w:lvl w:ilvl="6" w:tplc="B1EE6FA0">
      <w:start w:val="1"/>
      <w:numFmt w:val="decimal"/>
      <w:lvlText w:val="%7."/>
      <w:lvlJc w:val="left"/>
      <w:pPr>
        <w:ind w:left="1020" w:hanging="360"/>
      </w:pPr>
    </w:lvl>
    <w:lvl w:ilvl="7" w:tplc="DBBEB944">
      <w:start w:val="1"/>
      <w:numFmt w:val="decimal"/>
      <w:lvlText w:val="%8."/>
      <w:lvlJc w:val="left"/>
      <w:pPr>
        <w:ind w:left="1020" w:hanging="360"/>
      </w:pPr>
    </w:lvl>
    <w:lvl w:ilvl="8" w:tplc="E3F8520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61339E3"/>
    <w:multiLevelType w:val="hybridMultilevel"/>
    <w:tmpl w:val="E0909A8A"/>
    <w:lvl w:ilvl="0" w:tplc="46AE0200">
      <w:start w:val="1"/>
      <w:numFmt w:val="decimal"/>
      <w:lvlText w:val="%1."/>
      <w:lvlJc w:val="left"/>
      <w:pPr>
        <w:ind w:left="1020" w:hanging="360"/>
      </w:pPr>
    </w:lvl>
    <w:lvl w:ilvl="1" w:tplc="FE107452">
      <w:start w:val="1"/>
      <w:numFmt w:val="decimal"/>
      <w:lvlText w:val="%2."/>
      <w:lvlJc w:val="left"/>
      <w:pPr>
        <w:ind w:left="1020" w:hanging="360"/>
      </w:pPr>
    </w:lvl>
    <w:lvl w:ilvl="2" w:tplc="0128A750">
      <w:start w:val="1"/>
      <w:numFmt w:val="decimal"/>
      <w:lvlText w:val="%3."/>
      <w:lvlJc w:val="left"/>
      <w:pPr>
        <w:ind w:left="1020" w:hanging="360"/>
      </w:pPr>
    </w:lvl>
    <w:lvl w:ilvl="3" w:tplc="2682B6D2">
      <w:start w:val="1"/>
      <w:numFmt w:val="decimal"/>
      <w:lvlText w:val="%4."/>
      <w:lvlJc w:val="left"/>
      <w:pPr>
        <w:ind w:left="1020" w:hanging="360"/>
      </w:pPr>
    </w:lvl>
    <w:lvl w:ilvl="4" w:tplc="27E27D56">
      <w:start w:val="1"/>
      <w:numFmt w:val="decimal"/>
      <w:lvlText w:val="%5."/>
      <w:lvlJc w:val="left"/>
      <w:pPr>
        <w:ind w:left="1020" w:hanging="360"/>
      </w:pPr>
    </w:lvl>
    <w:lvl w:ilvl="5" w:tplc="B8BA514C">
      <w:start w:val="1"/>
      <w:numFmt w:val="decimal"/>
      <w:lvlText w:val="%6."/>
      <w:lvlJc w:val="left"/>
      <w:pPr>
        <w:ind w:left="1020" w:hanging="360"/>
      </w:pPr>
    </w:lvl>
    <w:lvl w:ilvl="6" w:tplc="5A947C32">
      <w:start w:val="1"/>
      <w:numFmt w:val="decimal"/>
      <w:lvlText w:val="%7."/>
      <w:lvlJc w:val="left"/>
      <w:pPr>
        <w:ind w:left="1020" w:hanging="360"/>
      </w:pPr>
    </w:lvl>
    <w:lvl w:ilvl="7" w:tplc="037CF666">
      <w:start w:val="1"/>
      <w:numFmt w:val="decimal"/>
      <w:lvlText w:val="%8."/>
      <w:lvlJc w:val="left"/>
      <w:pPr>
        <w:ind w:left="1020" w:hanging="360"/>
      </w:pPr>
    </w:lvl>
    <w:lvl w:ilvl="8" w:tplc="557C028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23304796">
    <w:abstractNumId w:val="0"/>
  </w:num>
  <w:num w:numId="2" w16cid:durableId="1101296235">
    <w:abstractNumId w:val="8"/>
  </w:num>
  <w:num w:numId="3" w16cid:durableId="491606949">
    <w:abstractNumId w:val="2"/>
  </w:num>
  <w:num w:numId="4" w16cid:durableId="1113551489">
    <w:abstractNumId w:val="1"/>
  </w:num>
  <w:num w:numId="5" w16cid:durableId="1510833535">
    <w:abstractNumId w:val="5"/>
  </w:num>
  <w:num w:numId="6" w16cid:durableId="1716470625">
    <w:abstractNumId w:val="7"/>
  </w:num>
  <w:num w:numId="7" w16cid:durableId="1806893134">
    <w:abstractNumId w:val="4"/>
  </w:num>
  <w:num w:numId="8" w16cid:durableId="906494921">
    <w:abstractNumId w:val="6"/>
  </w:num>
  <w:num w:numId="9" w16cid:durableId="843473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03A7"/>
    <w:rsid w:val="00012122"/>
    <w:rsid w:val="00014D30"/>
    <w:rsid w:val="000359EB"/>
    <w:rsid w:val="0003612C"/>
    <w:rsid w:val="00037668"/>
    <w:rsid w:val="0004764B"/>
    <w:rsid w:val="00051C70"/>
    <w:rsid w:val="000533F3"/>
    <w:rsid w:val="00054BF5"/>
    <w:rsid w:val="00057324"/>
    <w:rsid w:val="00075A94"/>
    <w:rsid w:val="00082365"/>
    <w:rsid w:val="00091A63"/>
    <w:rsid w:val="00093DF9"/>
    <w:rsid w:val="00096750"/>
    <w:rsid w:val="000A7D42"/>
    <w:rsid w:val="000B210B"/>
    <w:rsid w:val="000D25EB"/>
    <w:rsid w:val="000D3622"/>
    <w:rsid w:val="000D3C81"/>
    <w:rsid w:val="000D4731"/>
    <w:rsid w:val="000E11BB"/>
    <w:rsid w:val="000E1EFA"/>
    <w:rsid w:val="000E64AD"/>
    <w:rsid w:val="000F3EE7"/>
    <w:rsid w:val="001014DD"/>
    <w:rsid w:val="00112F60"/>
    <w:rsid w:val="00113CE2"/>
    <w:rsid w:val="0012060C"/>
    <w:rsid w:val="00122C19"/>
    <w:rsid w:val="00126455"/>
    <w:rsid w:val="00132855"/>
    <w:rsid w:val="00134D99"/>
    <w:rsid w:val="00137993"/>
    <w:rsid w:val="001521FF"/>
    <w:rsid w:val="00152993"/>
    <w:rsid w:val="00155F59"/>
    <w:rsid w:val="001566A7"/>
    <w:rsid w:val="00170297"/>
    <w:rsid w:val="00170E84"/>
    <w:rsid w:val="00180AA0"/>
    <w:rsid w:val="001971BA"/>
    <w:rsid w:val="001A227D"/>
    <w:rsid w:val="001A5D33"/>
    <w:rsid w:val="001A5F2A"/>
    <w:rsid w:val="001B6D5E"/>
    <w:rsid w:val="001D16A5"/>
    <w:rsid w:val="001D26F2"/>
    <w:rsid w:val="001D3993"/>
    <w:rsid w:val="001E1529"/>
    <w:rsid w:val="001E2032"/>
    <w:rsid w:val="001E4AA4"/>
    <w:rsid w:val="001F3378"/>
    <w:rsid w:val="00200C91"/>
    <w:rsid w:val="002068F9"/>
    <w:rsid w:val="00210228"/>
    <w:rsid w:val="002150D3"/>
    <w:rsid w:val="00217ADA"/>
    <w:rsid w:val="0023037B"/>
    <w:rsid w:val="00230C35"/>
    <w:rsid w:val="00233A9F"/>
    <w:rsid w:val="00234518"/>
    <w:rsid w:val="0023578E"/>
    <w:rsid w:val="00237F13"/>
    <w:rsid w:val="00241952"/>
    <w:rsid w:val="00241A90"/>
    <w:rsid w:val="00242C0F"/>
    <w:rsid w:val="00246DC1"/>
    <w:rsid w:val="00251C60"/>
    <w:rsid w:val="00270435"/>
    <w:rsid w:val="00270EB5"/>
    <w:rsid w:val="00270ECD"/>
    <w:rsid w:val="002717FD"/>
    <w:rsid w:val="002745F6"/>
    <w:rsid w:val="002771E6"/>
    <w:rsid w:val="00280B13"/>
    <w:rsid w:val="00282860"/>
    <w:rsid w:val="00286105"/>
    <w:rsid w:val="0029350B"/>
    <w:rsid w:val="00295F79"/>
    <w:rsid w:val="002A4452"/>
    <w:rsid w:val="002A4E95"/>
    <w:rsid w:val="002A7B34"/>
    <w:rsid w:val="002B4A42"/>
    <w:rsid w:val="002B7A29"/>
    <w:rsid w:val="002C140C"/>
    <w:rsid w:val="002C1EAD"/>
    <w:rsid w:val="002C6029"/>
    <w:rsid w:val="002E472A"/>
    <w:rsid w:val="002E5EF4"/>
    <w:rsid w:val="002E67FF"/>
    <w:rsid w:val="002F31E5"/>
    <w:rsid w:val="002F4938"/>
    <w:rsid w:val="002F6AE3"/>
    <w:rsid w:val="003010C0"/>
    <w:rsid w:val="00302136"/>
    <w:rsid w:val="003217FB"/>
    <w:rsid w:val="003236CB"/>
    <w:rsid w:val="00331A02"/>
    <w:rsid w:val="00332A97"/>
    <w:rsid w:val="00336FDD"/>
    <w:rsid w:val="00344DEA"/>
    <w:rsid w:val="00350C00"/>
    <w:rsid w:val="00355488"/>
    <w:rsid w:val="00363464"/>
    <w:rsid w:val="003635A1"/>
    <w:rsid w:val="00366113"/>
    <w:rsid w:val="00366700"/>
    <w:rsid w:val="00366799"/>
    <w:rsid w:val="003667FB"/>
    <w:rsid w:val="00366BFA"/>
    <w:rsid w:val="00384226"/>
    <w:rsid w:val="00387462"/>
    <w:rsid w:val="00390555"/>
    <w:rsid w:val="00390681"/>
    <w:rsid w:val="003978E6"/>
    <w:rsid w:val="003A416A"/>
    <w:rsid w:val="003B26E8"/>
    <w:rsid w:val="003C270C"/>
    <w:rsid w:val="003C405A"/>
    <w:rsid w:val="003C7453"/>
    <w:rsid w:val="003D0994"/>
    <w:rsid w:val="003D14E0"/>
    <w:rsid w:val="003D4B89"/>
    <w:rsid w:val="003D6075"/>
    <w:rsid w:val="003E1952"/>
    <w:rsid w:val="003E5C32"/>
    <w:rsid w:val="003E7D74"/>
    <w:rsid w:val="003F2EC4"/>
    <w:rsid w:val="003F379C"/>
    <w:rsid w:val="003F57B6"/>
    <w:rsid w:val="003F7EDC"/>
    <w:rsid w:val="0042353D"/>
    <w:rsid w:val="00423824"/>
    <w:rsid w:val="00423A22"/>
    <w:rsid w:val="004319E8"/>
    <w:rsid w:val="00433320"/>
    <w:rsid w:val="0043567D"/>
    <w:rsid w:val="00436968"/>
    <w:rsid w:val="00440602"/>
    <w:rsid w:val="00446F6B"/>
    <w:rsid w:val="0045000E"/>
    <w:rsid w:val="004566F6"/>
    <w:rsid w:val="00456DA9"/>
    <w:rsid w:val="00462DE9"/>
    <w:rsid w:val="004635B5"/>
    <w:rsid w:val="00471F4F"/>
    <w:rsid w:val="00482BE5"/>
    <w:rsid w:val="00483D7C"/>
    <w:rsid w:val="00496497"/>
    <w:rsid w:val="00496D78"/>
    <w:rsid w:val="004A1C0C"/>
    <w:rsid w:val="004A5153"/>
    <w:rsid w:val="004A5653"/>
    <w:rsid w:val="004B1B57"/>
    <w:rsid w:val="004B5BED"/>
    <w:rsid w:val="004B6BA1"/>
    <w:rsid w:val="004B7B90"/>
    <w:rsid w:val="004C5FD1"/>
    <w:rsid w:val="004D11AF"/>
    <w:rsid w:val="004D1275"/>
    <w:rsid w:val="004D1AB4"/>
    <w:rsid w:val="004D6750"/>
    <w:rsid w:val="004E2C19"/>
    <w:rsid w:val="004E57FE"/>
    <w:rsid w:val="004E59AA"/>
    <w:rsid w:val="004E6698"/>
    <w:rsid w:val="00500B67"/>
    <w:rsid w:val="00501A7E"/>
    <w:rsid w:val="00516663"/>
    <w:rsid w:val="00520036"/>
    <w:rsid w:val="00525D07"/>
    <w:rsid w:val="005266D0"/>
    <w:rsid w:val="00526E73"/>
    <w:rsid w:val="00533D87"/>
    <w:rsid w:val="0054592A"/>
    <w:rsid w:val="0055439A"/>
    <w:rsid w:val="00554BC5"/>
    <w:rsid w:val="0056174C"/>
    <w:rsid w:val="00563415"/>
    <w:rsid w:val="00575FEB"/>
    <w:rsid w:val="00581E0A"/>
    <w:rsid w:val="00581E6B"/>
    <w:rsid w:val="00586E03"/>
    <w:rsid w:val="005B2E0F"/>
    <w:rsid w:val="005C60C2"/>
    <w:rsid w:val="005D284C"/>
    <w:rsid w:val="005E1536"/>
    <w:rsid w:val="005E3E41"/>
    <w:rsid w:val="005E6CB9"/>
    <w:rsid w:val="00604C9A"/>
    <w:rsid w:val="006123FC"/>
    <w:rsid w:val="0061539C"/>
    <w:rsid w:val="00620C7D"/>
    <w:rsid w:val="00633738"/>
    <w:rsid w:val="00633E23"/>
    <w:rsid w:val="00633E94"/>
    <w:rsid w:val="006342E1"/>
    <w:rsid w:val="00635969"/>
    <w:rsid w:val="006369D3"/>
    <w:rsid w:val="00640B16"/>
    <w:rsid w:val="0064572E"/>
    <w:rsid w:val="00650B7C"/>
    <w:rsid w:val="00660545"/>
    <w:rsid w:val="00670997"/>
    <w:rsid w:val="00670ECB"/>
    <w:rsid w:val="00672EC7"/>
    <w:rsid w:val="00673B94"/>
    <w:rsid w:val="00674A89"/>
    <w:rsid w:val="006809DE"/>
    <w:rsid w:val="00680AC6"/>
    <w:rsid w:val="00681580"/>
    <w:rsid w:val="0068223B"/>
    <w:rsid w:val="006835D8"/>
    <w:rsid w:val="00686600"/>
    <w:rsid w:val="006A6183"/>
    <w:rsid w:val="006B0C6F"/>
    <w:rsid w:val="006B3E38"/>
    <w:rsid w:val="006C316E"/>
    <w:rsid w:val="006D0F7C"/>
    <w:rsid w:val="006D2034"/>
    <w:rsid w:val="006E7751"/>
    <w:rsid w:val="006E78A6"/>
    <w:rsid w:val="006E7B8C"/>
    <w:rsid w:val="006F40B3"/>
    <w:rsid w:val="006F4A9B"/>
    <w:rsid w:val="007039EA"/>
    <w:rsid w:val="007128D4"/>
    <w:rsid w:val="00713C09"/>
    <w:rsid w:val="00714A85"/>
    <w:rsid w:val="00715D68"/>
    <w:rsid w:val="00716851"/>
    <w:rsid w:val="00717708"/>
    <w:rsid w:val="007269C4"/>
    <w:rsid w:val="00734EAF"/>
    <w:rsid w:val="00735856"/>
    <w:rsid w:val="00741A8A"/>
    <w:rsid w:val="0074209E"/>
    <w:rsid w:val="00747FE1"/>
    <w:rsid w:val="00750EDB"/>
    <w:rsid w:val="00765DE9"/>
    <w:rsid w:val="00772F32"/>
    <w:rsid w:val="007832C0"/>
    <w:rsid w:val="007841D3"/>
    <w:rsid w:val="0079381B"/>
    <w:rsid w:val="00795F2B"/>
    <w:rsid w:val="007A4EE7"/>
    <w:rsid w:val="007A5C44"/>
    <w:rsid w:val="007B0A47"/>
    <w:rsid w:val="007B14E2"/>
    <w:rsid w:val="007B3989"/>
    <w:rsid w:val="007B4563"/>
    <w:rsid w:val="007B601E"/>
    <w:rsid w:val="007C503A"/>
    <w:rsid w:val="007E6D82"/>
    <w:rsid w:val="007F2CA8"/>
    <w:rsid w:val="007F7161"/>
    <w:rsid w:val="00802061"/>
    <w:rsid w:val="00813D29"/>
    <w:rsid w:val="00823E4A"/>
    <w:rsid w:val="0082494D"/>
    <w:rsid w:val="00833424"/>
    <w:rsid w:val="00834D68"/>
    <w:rsid w:val="00837475"/>
    <w:rsid w:val="0084200D"/>
    <w:rsid w:val="00845C18"/>
    <w:rsid w:val="00846333"/>
    <w:rsid w:val="00854134"/>
    <w:rsid w:val="0085559E"/>
    <w:rsid w:val="008561DB"/>
    <w:rsid w:val="00864FE0"/>
    <w:rsid w:val="0086779F"/>
    <w:rsid w:val="00872495"/>
    <w:rsid w:val="008736CE"/>
    <w:rsid w:val="0087508D"/>
    <w:rsid w:val="00896B1B"/>
    <w:rsid w:val="00897AFD"/>
    <w:rsid w:val="00897F15"/>
    <w:rsid w:val="008B1F4D"/>
    <w:rsid w:val="008D2821"/>
    <w:rsid w:val="008D2832"/>
    <w:rsid w:val="008E559E"/>
    <w:rsid w:val="008E7B6C"/>
    <w:rsid w:val="008F4CDC"/>
    <w:rsid w:val="008F7731"/>
    <w:rsid w:val="00916080"/>
    <w:rsid w:val="00917351"/>
    <w:rsid w:val="00921A68"/>
    <w:rsid w:val="00921BFD"/>
    <w:rsid w:val="00921F85"/>
    <w:rsid w:val="009223B6"/>
    <w:rsid w:val="00931248"/>
    <w:rsid w:val="0094199F"/>
    <w:rsid w:val="00944595"/>
    <w:rsid w:val="00944A1A"/>
    <w:rsid w:val="009451F0"/>
    <w:rsid w:val="00960706"/>
    <w:rsid w:val="00966EF8"/>
    <w:rsid w:val="00972F20"/>
    <w:rsid w:val="00973B5F"/>
    <w:rsid w:val="00976C79"/>
    <w:rsid w:val="00986F0F"/>
    <w:rsid w:val="009937DA"/>
    <w:rsid w:val="009957C9"/>
    <w:rsid w:val="00997465"/>
    <w:rsid w:val="009B571C"/>
    <w:rsid w:val="009C1204"/>
    <w:rsid w:val="009C6224"/>
    <w:rsid w:val="009C63DB"/>
    <w:rsid w:val="009D2B28"/>
    <w:rsid w:val="009E0ABE"/>
    <w:rsid w:val="009F703F"/>
    <w:rsid w:val="00A015C4"/>
    <w:rsid w:val="00A024C2"/>
    <w:rsid w:val="00A02EC3"/>
    <w:rsid w:val="00A130E3"/>
    <w:rsid w:val="00A15172"/>
    <w:rsid w:val="00A214C1"/>
    <w:rsid w:val="00A22E7F"/>
    <w:rsid w:val="00A262ED"/>
    <w:rsid w:val="00A34685"/>
    <w:rsid w:val="00A4180B"/>
    <w:rsid w:val="00A47BDB"/>
    <w:rsid w:val="00A63290"/>
    <w:rsid w:val="00A719A8"/>
    <w:rsid w:val="00A84473"/>
    <w:rsid w:val="00A84A45"/>
    <w:rsid w:val="00A851BE"/>
    <w:rsid w:val="00A904F9"/>
    <w:rsid w:val="00AA4659"/>
    <w:rsid w:val="00AB038C"/>
    <w:rsid w:val="00AB556F"/>
    <w:rsid w:val="00AB7616"/>
    <w:rsid w:val="00AC754C"/>
    <w:rsid w:val="00AE0F80"/>
    <w:rsid w:val="00AE3274"/>
    <w:rsid w:val="00AE49DE"/>
    <w:rsid w:val="00AF1237"/>
    <w:rsid w:val="00B05CBD"/>
    <w:rsid w:val="00B104E9"/>
    <w:rsid w:val="00B236C5"/>
    <w:rsid w:val="00B262FE"/>
    <w:rsid w:val="00B3043C"/>
    <w:rsid w:val="00B30705"/>
    <w:rsid w:val="00B367F7"/>
    <w:rsid w:val="00B36BDE"/>
    <w:rsid w:val="00B46E5E"/>
    <w:rsid w:val="00B5120D"/>
    <w:rsid w:val="00B52DDD"/>
    <w:rsid w:val="00B531D3"/>
    <w:rsid w:val="00B53758"/>
    <w:rsid w:val="00B54D94"/>
    <w:rsid w:val="00B6521D"/>
    <w:rsid w:val="00B656DE"/>
    <w:rsid w:val="00B672DD"/>
    <w:rsid w:val="00B70C2D"/>
    <w:rsid w:val="00B776AD"/>
    <w:rsid w:val="00B81D3F"/>
    <w:rsid w:val="00B83000"/>
    <w:rsid w:val="00B83B57"/>
    <w:rsid w:val="00B845F9"/>
    <w:rsid w:val="00B91264"/>
    <w:rsid w:val="00B916B9"/>
    <w:rsid w:val="00B951BA"/>
    <w:rsid w:val="00B96445"/>
    <w:rsid w:val="00BA0844"/>
    <w:rsid w:val="00BA0E3A"/>
    <w:rsid w:val="00BA5405"/>
    <w:rsid w:val="00BA6D23"/>
    <w:rsid w:val="00BB3603"/>
    <w:rsid w:val="00BB385A"/>
    <w:rsid w:val="00BB3E03"/>
    <w:rsid w:val="00BC6C63"/>
    <w:rsid w:val="00BD3D34"/>
    <w:rsid w:val="00BE1A46"/>
    <w:rsid w:val="00BE6B9A"/>
    <w:rsid w:val="00BF4802"/>
    <w:rsid w:val="00BF6622"/>
    <w:rsid w:val="00BF74C9"/>
    <w:rsid w:val="00C01A61"/>
    <w:rsid w:val="00C02401"/>
    <w:rsid w:val="00C050C4"/>
    <w:rsid w:val="00C0598D"/>
    <w:rsid w:val="00C11956"/>
    <w:rsid w:val="00C158EE"/>
    <w:rsid w:val="00C21DCE"/>
    <w:rsid w:val="00C23EDF"/>
    <w:rsid w:val="00C245E6"/>
    <w:rsid w:val="00C26B3D"/>
    <w:rsid w:val="00C26F47"/>
    <w:rsid w:val="00C333F6"/>
    <w:rsid w:val="00C3430D"/>
    <w:rsid w:val="00C4007D"/>
    <w:rsid w:val="00C41DBE"/>
    <w:rsid w:val="00C44C4A"/>
    <w:rsid w:val="00C44F50"/>
    <w:rsid w:val="00C52C27"/>
    <w:rsid w:val="00C53B42"/>
    <w:rsid w:val="00C602E5"/>
    <w:rsid w:val="00C6581A"/>
    <w:rsid w:val="00C7249F"/>
    <w:rsid w:val="00C748FD"/>
    <w:rsid w:val="00C75D30"/>
    <w:rsid w:val="00C86B68"/>
    <w:rsid w:val="00C910EF"/>
    <w:rsid w:val="00C926DA"/>
    <w:rsid w:val="00CA5890"/>
    <w:rsid w:val="00CA65ED"/>
    <w:rsid w:val="00CA7C28"/>
    <w:rsid w:val="00CC5799"/>
    <w:rsid w:val="00CC7568"/>
    <w:rsid w:val="00CC7A47"/>
    <w:rsid w:val="00CD3986"/>
    <w:rsid w:val="00CD5494"/>
    <w:rsid w:val="00CE778C"/>
    <w:rsid w:val="00CF287F"/>
    <w:rsid w:val="00CF69AA"/>
    <w:rsid w:val="00D00A42"/>
    <w:rsid w:val="00D01D33"/>
    <w:rsid w:val="00D02E66"/>
    <w:rsid w:val="00D04D79"/>
    <w:rsid w:val="00D073A6"/>
    <w:rsid w:val="00D14342"/>
    <w:rsid w:val="00D14CE8"/>
    <w:rsid w:val="00D24DCF"/>
    <w:rsid w:val="00D3046B"/>
    <w:rsid w:val="00D3534F"/>
    <w:rsid w:val="00D4046E"/>
    <w:rsid w:val="00D41774"/>
    <w:rsid w:val="00D47B1C"/>
    <w:rsid w:val="00D5274B"/>
    <w:rsid w:val="00D65CDC"/>
    <w:rsid w:val="00D74555"/>
    <w:rsid w:val="00D755D5"/>
    <w:rsid w:val="00D75F91"/>
    <w:rsid w:val="00D76240"/>
    <w:rsid w:val="00D86277"/>
    <w:rsid w:val="00D91637"/>
    <w:rsid w:val="00D95966"/>
    <w:rsid w:val="00DA2402"/>
    <w:rsid w:val="00DB6E79"/>
    <w:rsid w:val="00DB7911"/>
    <w:rsid w:val="00DC5741"/>
    <w:rsid w:val="00DC67D7"/>
    <w:rsid w:val="00DD2B3A"/>
    <w:rsid w:val="00DD4739"/>
    <w:rsid w:val="00DE200F"/>
    <w:rsid w:val="00DE5F33"/>
    <w:rsid w:val="00DF2C9A"/>
    <w:rsid w:val="00DF3525"/>
    <w:rsid w:val="00DF7D88"/>
    <w:rsid w:val="00E042AE"/>
    <w:rsid w:val="00E06D09"/>
    <w:rsid w:val="00E07B54"/>
    <w:rsid w:val="00E102FA"/>
    <w:rsid w:val="00E11F78"/>
    <w:rsid w:val="00E126EA"/>
    <w:rsid w:val="00E14077"/>
    <w:rsid w:val="00E1703C"/>
    <w:rsid w:val="00E203DD"/>
    <w:rsid w:val="00E271BC"/>
    <w:rsid w:val="00E2767C"/>
    <w:rsid w:val="00E31B58"/>
    <w:rsid w:val="00E343A7"/>
    <w:rsid w:val="00E35DB6"/>
    <w:rsid w:val="00E40C02"/>
    <w:rsid w:val="00E416E7"/>
    <w:rsid w:val="00E4512D"/>
    <w:rsid w:val="00E47DBA"/>
    <w:rsid w:val="00E518F3"/>
    <w:rsid w:val="00E5269D"/>
    <w:rsid w:val="00E53492"/>
    <w:rsid w:val="00E57305"/>
    <w:rsid w:val="00E61D4E"/>
    <w:rsid w:val="00E621E1"/>
    <w:rsid w:val="00E724CC"/>
    <w:rsid w:val="00E737F8"/>
    <w:rsid w:val="00E77F19"/>
    <w:rsid w:val="00E8593A"/>
    <w:rsid w:val="00E87ADA"/>
    <w:rsid w:val="00EA2ED0"/>
    <w:rsid w:val="00EA745D"/>
    <w:rsid w:val="00EB035A"/>
    <w:rsid w:val="00EB28E4"/>
    <w:rsid w:val="00EB57E7"/>
    <w:rsid w:val="00EC55B3"/>
    <w:rsid w:val="00ED5A4E"/>
    <w:rsid w:val="00ED75E4"/>
    <w:rsid w:val="00EF4E3E"/>
    <w:rsid w:val="00EF6718"/>
    <w:rsid w:val="00F030E8"/>
    <w:rsid w:val="00F038EC"/>
    <w:rsid w:val="00F04037"/>
    <w:rsid w:val="00F11271"/>
    <w:rsid w:val="00F133AF"/>
    <w:rsid w:val="00F1461F"/>
    <w:rsid w:val="00F14D08"/>
    <w:rsid w:val="00F20B72"/>
    <w:rsid w:val="00F23F9A"/>
    <w:rsid w:val="00F32A8D"/>
    <w:rsid w:val="00F47A0A"/>
    <w:rsid w:val="00F5429E"/>
    <w:rsid w:val="00F55758"/>
    <w:rsid w:val="00F55930"/>
    <w:rsid w:val="00F577F5"/>
    <w:rsid w:val="00F6161F"/>
    <w:rsid w:val="00F65AC9"/>
    <w:rsid w:val="00F66FEC"/>
    <w:rsid w:val="00F72BC9"/>
    <w:rsid w:val="00F74A5E"/>
    <w:rsid w:val="00F80C59"/>
    <w:rsid w:val="00F81D72"/>
    <w:rsid w:val="00F96FB2"/>
    <w:rsid w:val="00FA0A6B"/>
    <w:rsid w:val="00FA59CC"/>
    <w:rsid w:val="00FB4860"/>
    <w:rsid w:val="00FB51D8"/>
    <w:rsid w:val="00FC5C7F"/>
    <w:rsid w:val="00FD08E8"/>
    <w:rsid w:val="00FE5B3D"/>
    <w:rsid w:val="00FE68BA"/>
    <w:rsid w:val="00FE6965"/>
    <w:rsid w:val="00FE6F04"/>
    <w:rsid w:val="00FE751D"/>
    <w:rsid w:val="00FF5E88"/>
    <w:rsid w:val="00FF7113"/>
    <w:rsid w:val="0C71F8DC"/>
    <w:rsid w:val="23B5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A2B17"/>
  <w15:chartTrackingRefBased/>
  <w15:docId w15:val="{CF21DD51-A464-4C4A-8393-02535D11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E1A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ksdale.english@puc.texa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ssie.horn@puc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1491</Words>
  <Characters>8392</Characters>
  <Application>Microsoft Office Word</Application>
  <DocSecurity>0</DocSecurity>
  <Lines>182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4</cp:revision>
  <cp:lastPrinted>2001-06-20T16:28:00Z</cp:lastPrinted>
  <dcterms:created xsi:type="dcterms:W3CDTF">2026-04-29T20:20:00Z</dcterms:created>
  <dcterms:modified xsi:type="dcterms:W3CDTF">2026-04-29T20:25:00Z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2026-04-29T20:20:15Z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b2eb8d3f-6fe8-4440-8af9-9dbf0ed37778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