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670E53E5" w:rsidR="00152993" w:rsidRDefault="00E4039D">
            <w:pPr>
              <w:pStyle w:val="Header"/>
            </w:pPr>
            <w:r w:rsidRPr="00E4039D">
              <w:t xml:space="preserve">Board Priority - Large </w:t>
            </w:r>
            <w:r w:rsidR="00411A5A">
              <w:t>Electronic</w:t>
            </w:r>
            <w:r w:rsidRPr="00E4039D">
              <w:t xml:space="preserve">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4DBA9702" w:rsidR="00152993" w:rsidRDefault="00E56C25">
            <w:pPr>
              <w:pStyle w:val="NormalArial"/>
            </w:pPr>
            <w:r>
              <w:t>April 2</w:t>
            </w:r>
            <w:r w:rsidR="0080425D">
              <w:t>4</w:t>
            </w:r>
            <w:r>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0A5CB7E9" w:rsidR="00152993" w:rsidRDefault="00E56C25">
            <w:pPr>
              <w:pStyle w:val="NormalArial"/>
            </w:pPr>
            <w:r>
              <w:t>Nathan Bigbee</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5B475038" w:rsidR="005307AF" w:rsidRDefault="00E831D9">
            <w:pPr>
              <w:pStyle w:val="NormalArial"/>
            </w:pPr>
            <w:hyperlink r:id="rId12" w:history="1">
              <w:r w:rsidRPr="00992B08">
                <w:rPr>
                  <w:rStyle w:val="Hyperlink"/>
                </w:rPr>
                <w:t>nathan.bigbee@ercot.com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057BF62A" w:rsidR="00152993" w:rsidRDefault="005307AF">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0AF23861" w:rsidR="00152993" w:rsidRDefault="00583AE5">
            <w:pPr>
              <w:pStyle w:val="NormalArial"/>
            </w:pPr>
            <w:r>
              <w:t>512</w:t>
            </w:r>
            <w:r w:rsidR="00E831D9">
              <w:t>-</w:t>
            </w:r>
            <w:r>
              <w:t>225-7093</w:t>
            </w: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68969A82" w:rsidR="00152993" w:rsidRDefault="00152993">
            <w:pPr>
              <w:pStyle w:val="NormalArial"/>
            </w:pP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7E007A5B" w:rsidR="00075A94" w:rsidRDefault="005307AF">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477A2CBF" w14:textId="43DDFCE6" w:rsidR="009264BB" w:rsidRPr="009264BB" w:rsidRDefault="009264BB" w:rsidP="009264BB">
      <w:pPr>
        <w:pStyle w:val="NormalArial"/>
        <w:spacing w:before="120" w:after="120"/>
      </w:pPr>
      <w:r w:rsidRPr="009264BB">
        <w:t xml:space="preserve">ERCOT submits these comments to respond to two distinct legal issues that have been raised in </w:t>
      </w:r>
      <w:r w:rsidR="00E92C4D">
        <w:t>stakeholder comments to</w:t>
      </w:r>
      <w:r w:rsidRPr="009264BB">
        <w:t xml:space="preserve"> this NOGRR.  First, Texas Industrial Energy Consumers (TIEC) and the Texas Blockchain Council (TBC) have questioned ERCOT’s statutory authority to adopt grid reliability requirements for </w:t>
      </w:r>
      <w:r w:rsidR="005F7744">
        <w:t>c</w:t>
      </w:r>
      <w:r w:rsidRPr="009264BB">
        <w:t xml:space="preserve">ustomers.  Second, Vistra, Intersect, and TBC argue that the NOGRR </w:t>
      </w:r>
      <w:r w:rsidR="003459B2">
        <w:t xml:space="preserve">has an impermissible retroactive effect.  </w:t>
      </w:r>
      <w:r w:rsidRPr="009264BB">
        <w:t>ERCOT disagrees with these assertions.  As ERCOT explained in detail at the January 21, 2026, meeting of the Technical Advisory Committee</w:t>
      </w:r>
      <w:r w:rsidR="0035065E">
        <w:t xml:space="preserve"> (TAC)</w:t>
      </w:r>
      <w:r w:rsidRPr="009264BB">
        <w:t xml:space="preserve">, ERCOT’s proposal to require Large Computational Loads (LCL) to ride through certain defined voltage and frequency excursions is necessary </w:t>
      </w:r>
      <w:r w:rsidR="003459B2">
        <w:t xml:space="preserve">to address the significant reliability risk associated with the tripping of LCLs during fault conditions and is therefore an </w:t>
      </w:r>
      <w:r w:rsidRPr="009264BB">
        <w:t xml:space="preserve">appropriate exercise of ERCOT’s broad statutory authority to ensure system reliability.  TIEC’s proposed alternative solutions do not </w:t>
      </w:r>
      <w:r w:rsidR="003459B2">
        <w:t>mitigate</w:t>
      </w:r>
      <w:r w:rsidRPr="009264BB">
        <w:t xml:space="preserve"> this risk.  This NOGRR is also consistent with Texas law on retroactivity.  The NOGRR would operate only prospectively, and impacted </w:t>
      </w:r>
      <w:r w:rsidR="005F7744">
        <w:t>c</w:t>
      </w:r>
      <w:r w:rsidRPr="009264BB">
        <w:t xml:space="preserve">ustomers </w:t>
      </w:r>
      <w:r w:rsidR="00413A4F">
        <w:t xml:space="preserve">could </w:t>
      </w:r>
      <w:r w:rsidR="003459B2">
        <w:t xml:space="preserve">not </w:t>
      </w:r>
      <w:r w:rsidRPr="009264BB">
        <w:t xml:space="preserve">have any reasonable expectation </w:t>
      </w:r>
      <w:r w:rsidR="002653C3">
        <w:t xml:space="preserve">that they </w:t>
      </w:r>
      <w:r w:rsidR="003459B2">
        <w:t>w</w:t>
      </w:r>
      <w:r w:rsidR="00583AE5">
        <w:t>ould never</w:t>
      </w:r>
      <w:r w:rsidR="002653C3">
        <w:t xml:space="preserve"> be subject to standards needed to ensure grid rel</w:t>
      </w:r>
      <w:r w:rsidR="004C5DA4">
        <w:t>i</w:t>
      </w:r>
      <w:r w:rsidR="002653C3">
        <w:t>ability</w:t>
      </w:r>
      <w:r w:rsidRPr="009264BB">
        <w:t xml:space="preserve">.  </w:t>
      </w:r>
    </w:p>
    <w:p w14:paraId="35137800" w14:textId="77777777" w:rsidR="009264BB" w:rsidRPr="009264BB" w:rsidRDefault="009264BB" w:rsidP="009264BB">
      <w:pPr>
        <w:pStyle w:val="NormalArial"/>
        <w:numPr>
          <w:ilvl w:val="0"/>
          <w:numId w:val="13"/>
        </w:numPr>
        <w:spacing w:before="120" w:after="120"/>
        <w:rPr>
          <w:b/>
          <w:bCs/>
        </w:rPr>
      </w:pPr>
      <w:r w:rsidRPr="009264BB">
        <w:rPr>
          <w:b/>
          <w:bCs/>
        </w:rPr>
        <w:t xml:space="preserve">ERCOT Authority to Adopt Reliability Requirements for Customers </w:t>
      </w:r>
    </w:p>
    <w:p w14:paraId="46EF5EF5" w14:textId="77777777" w:rsidR="009264BB" w:rsidRPr="009264BB" w:rsidRDefault="009264BB" w:rsidP="009264BB">
      <w:pPr>
        <w:pStyle w:val="NormalArial"/>
        <w:numPr>
          <w:ilvl w:val="1"/>
          <w:numId w:val="13"/>
        </w:numPr>
        <w:spacing w:before="120" w:after="120"/>
        <w:rPr>
          <w:b/>
          <w:bCs/>
        </w:rPr>
      </w:pPr>
      <w:r w:rsidRPr="009264BB">
        <w:rPr>
          <w:b/>
          <w:bCs/>
        </w:rPr>
        <w:t>ERCOT’s broad reliability authority justifies the proposed ride-through requirements.</w:t>
      </w:r>
    </w:p>
    <w:p w14:paraId="681AB75E" w14:textId="0E2F8A04" w:rsidR="009264BB" w:rsidRPr="009264BB" w:rsidRDefault="009264BB" w:rsidP="009264BB">
      <w:pPr>
        <w:pStyle w:val="NormalArial"/>
        <w:spacing w:before="120" w:after="120"/>
      </w:pPr>
      <w:r w:rsidRPr="009264BB">
        <w:t>As the “independent organization” designated by the Public Utility Commission of Texas (PUC) for the ERCOT power region under Section 39.151 of the Public Utility Regulatory Act (PURA),</w:t>
      </w:r>
      <w:r w:rsidRPr="009264BB">
        <w:rPr>
          <w:vertAlign w:val="superscript"/>
        </w:rPr>
        <w:footnoteReference w:id="1"/>
      </w:r>
      <w:r w:rsidRPr="009264BB">
        <w:t xml:space="preserve"> ERCOT has several important responsibilities. Chief among </w:t>
      </w:r>
      <w:r w:rsidRPr="009264BB">
        <w:lastRenderedPageBreak/>
        <w:t>these is ERCOT’s duty under Section 39.151(a)(2) to “ensure the reliability and adequacy of the regional electrical network.”</w:t>
      </w:r>
      <w:r w:rsidRPr="009264BB">
        <w:rPr>
          <w:vertAlign w:val="superscript"/>
        </w:rPr>
        <w:footnoteReference w:id="2"/>
      </w:r>
      <w:r w:rsidRPr="009264BB">
        <w:t xml:space="preserve">   This same directive is reflected in the PUC’s rule </w:t>
      </w:r>
      <w:r w:rsidR="004C5DA4">
        <w:t>that details</w:t>
      </w:r>
      <w:r w:rsidR="004C5DA4" w:rsidRPr="009264BB">
        <w:t xml:space="preserve"> </w:t>
      </w:r>
      <w:r w:rsidRPr="009264BB">
        <w:t>ERCOT</w:t>
      </w:r>
      <w:r w:rsidR="004C5DA4">
        <w:t>’s core functions</w:t>
      </w:r>
      <w:r w:rsidRPr="009264BB">
        <w:t>.</w:t>
      </w:r>
      <w:r w:rsidRPr="009264BB">
        <w:rPr>
          <w:vertAlign w:val="superscript"/>
        </w:rPr>
        <w:footnoteReference w:id="3"/>
      </w:r>
      <w:r w:rsidRPr="009264BB">
        <w:t xml:space="preserve">  </w:t>
      </w:r>
      <w:r w:rsidR="004C5DA4">
        <w:t>ERCOT’s</w:t>
      </w:r>
      <w:r w:rsidR="004C5DA4" w:rsidRPr="009264BB">
        <w:t xml:space="preserve"> </w:t>
      </w:r>
      <w:r w:rsidRPr="009264BB">
        <w:t xml:space="preserve">broad reliability authority </w:t>
      </w:r>
      <w:r w:rsidR="004A5243">
        <w:t xml:space="preserve">in PURA </w:t>
      </w:r>
      <w:r w:rsidRPr="009264BB">
        <w:t xml:space="preserve">establishes the legal basis for many </w:t>
      </w:r>
      <w:r w:rsidR="004C5DA4">
        <w:t>provisions in</w:t>
      </w:r>
      <w:r w:rsidRPr="009264BB">
        <w:t xml:space="preserve"> ERCOT’s Protocols, Operating Guides, Planning Guide, and Other Binding Documents that impact the operation and planning of the ERCOT grid.  For example, this authority provided the ultimate legal justification for ERCOT to establish voltage ride-through requirements for Inverter-Based Resources in NOGRR245 and interconnection requirements and modeling standards for Large Loads in PGRR115 and NPRR1234.</w:t>
      </w:r>
      <w:r w:rsidRPr="009264BB">
        <w:rPr>
          <w:vertAlign w:val="superscript"/>
        </w:rPr>
        <w:footnoteReference w:id="4"/>
      </w:r>
      <w:r w:rsidRPr="009264BB">
        <w:t xml:space="preserve">   ERCOT has also explicitly relied on this authority to take certain actions necessary to ensure system reliability in the absence of specific PUC rules or ERCOT requirements.</w:t>
      </w:r>
      <w:r w:rsidRPr="009264BB">
        <w:rPr>
          <w:vertAlign w:val="superscript"/>
        </w:rPr>
        <w:footnoteReference w:id="5"/>
      </w:r>
    </w:p>
    <w:p w14:paraId="63F96D3C" w14:textId="0F4355E4" w:rsidR="009264BB" w:rsidRPr="009264BB" w:rsidRDefault="009264BB" w:rsidP="009264BB">
      <w:pPr>
        <w:pStyle w:val="NormalArial"/>
        <w:spacing w:before="120" w:after="120"/>
      </w:pPr>
      <w:r w:rsidRPr="009264BB">
        <w:t>ERCOT’s statutory duty to ensure reliability under Section 39.151 also justifies this NOGRR, which would establish voltage and frequency ride-through requirements for LCLs.  As noted in ERCOT’s June 23, 2025 Market Notice announcing the need for an interim voltage ride-through assessment for each LCL interconnecting to the ERCOT System, ERCOT has experienced a number of events since October 2022 involving the loss of one or more LCLs during typical voltage disturbances</w:t>
      </w:r>
      <w:r w:rsidR="004A5243">
        <w:t xml:space="preserve">.  </w:t>
      </w:r>
      <w:r w:rsidR="00680D1B">
        <w:t>ERCOT has continued to experience these events, as shown in the following chart:</w:t>
      </w:r>
      <w:r w:rsidRPr="009264BB">
        <w:rPr>
          <w:vertAlign w:val="superscript"/>
        </w:rPr>
        <w:footnoteReference w:id="6"/>
      </w:r>
    </w:p>
    <w:p w14:paraId="5A9A972D" w14:textId="024BCBFA" w:rsidR="00680D1B" w:rsidRPr="00680D1B" w:rsidRDefault="00680D1B" w:rsidP="00680D1B">
      <w:pPr>
        <w:pStyle w:val="NormalArial"/>
        <w:spacing w:before="120" w:after="120"/>
      </w:pPr>
      <w:r w:rsidRPr="00680D1B">
        <w:rPr>
          <w:noProof/>
        </w:rPr>
        <w:drawing>
          <wp:inline distT="0" distB="0" distL="0" distR="0" wp14:anchorId="01A2B8DD" wp14:editId="1BDCB091">
            <wp:extent cx="5632704" cy="2738724"/>
            <wp:effectExtent l="0" t="0" r="6350" b="5080"/>
            <wp:docPr id="13941660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7979" cy="2780186"/>
                    </a:xfrm>
                    <a:prstGeom prst="rect">
                      <a:avLst/>
                    </a:prstGeom>
                    <a:noFill/>
                    <a:ln>
                      <a:noFill/>
                    </a:ln>
                  </pic:spPr>
                </pic:pic>
              </a:graphicData>
            </a:graphic>
          </wp:inline>
        </w:drawing>
      </w:r>
    </w:p>
    <w:p w14:paraId="28A9BF3D" w14:textId="77777777" w:rsidR="009264BB" w:rsidRPr="009264BB" w:rsidRDefault="009264BB" w:rsidP="009264BB">
      <w:pPr>
        <w:pStyle w:val="NormalArial"/>
        <w:spacing w:before="120" w:after="120"/>
      </w:pPr>
      <w:r w:rsidRPr="009264BB">
        <w:lastRenderedPageBreak/>
        <w:t>As ERCOT has previously noted, the loss of LCLs during voltage disturbances results in a sudden increase in system frequency, which could lead to cascading outages of generation and load across the system.</w:t>
      </w:r>
      <w:r w:rsidRPr="009264BB">
        <w:rPr>
          <w:vertAlign w:val="superscript"/>
        </w:rPr>
        <w:footnoteReference w:id="7"/>
      </w:r>
      <w:r w:rsidRPr="009264BB">
        <w:t xml:space="preserve">  As documented by ERCOT studies, the risk of cascading outages arises when the total amount of load associated with LCLs in a given area that are susceptible to tripping under low voltage conditions exceeds 3,200 MW.</w:t>
      </w:r>
      <w:r w:rsidRPr="009264BB">
        <w:rPr>
          <w:vertAlign w:val="superscript"/>
        </w:rPr>
        <w:footnoteReference w:id="8"/>
      </w:r>
      <w:r w:rsidRPr="009264BB">
        <w:t xml:space="preserve">  </w:t>
      </w:r>
    </w:p>
    <w:p w14:paraId="131A60B4" w14:textId="29A817EF" w:rsidR="009264BB" w:rsidRPr="009264BB" w:rsidRDefault="009264BB" w:rsidP="009264BB">
      <w:pPr>
        <w:pStyle w:val="NormalArial"/>
        <w:spacing w:before="120" w:after="120"/>
      </w:pPr>
      <w:r w:rsidRPr="009264BB">
        <w:t>This risk is of paramount concern because of the significant growth in LCLs expected in the ERCOT Region.  As the number of LCLs increases, the likelihood of exceeding the 3,200 MW stability limit at any one time also increases.  While it is unknown how many LCLs will actually materialize, ERCOT’s latest data show that more than 410,000 MW of large loads have initiated study requests for interconnection by 2030, and approximately 92% of those large loads—over 375,000 MW—are LCLs.</w:t>
      </w:r>
      <w:r w:rsidRPr="009264BB">
        <w:rPr>
          <w:vertAlign w:val="superscript"/>
        </w:rPr>
        <w:footnoteReference w:id="9"/>
      </w:r>
      <w:r w:rsidRPr="009264BB">
        <w:t xml:space="preserve">  This level of load is more than four times the current size of the peak level of demand of the entire ERCOT System.  Even if only a small fraction of these loads materialize, and those loads lack the ability to ride through typical voltage or frequency disturbances, that could present a catastrophic risk to the ERCOT System.  As ERCOT noted in its March 11, 2026 comments, ERCOT studies have shown that this risk cannot be fully mitigated by transmission upgrades.</w:t>
      </w:r>
      <w:r w:rsidRPr="009264BB">
        <w:rPr>
          <w:vertAlign w:val="superscript"/>
        </w:rPr>
        <w:footnoteReference w:id="10"/>
      </w:r>
      <w:r w:rsidRPr="009264BB">
        <w:t xml:space="preserve">  Under these circumstances, there can be no doubt that ERCOT’s duty to ensure reliability under PURA Section 39.151(a)(2) necessitates a requirement for LCLs to mitigate the voltage and frequency ride-through risk they present.</w:t>
      </w:r>
    </w:p>
    <w:p w14:paraId="75FC8F30" w14:textId="77777777" w:rsidR="009264BB" w:rsidRPr="009264BB" w:rsidRDefault="009264BB" w:rsidP="009264BB">
      <w:pPr>
        <w:pStyle w:val="NormalArial"/>
        <w:spacing w:before="120" w:after="120"/>
      </w:pPr>
      <w:r w:rsidRPr="009264BB">
        <w:t>ERCOT is not alone in identifying the reliability risks of LCLs.  In September 2025, the North American Electric Reliability Corporation (NERC) issued a Level 2 NERC Alert based on “a series of disturbances that occurred on the bulk power system (BPS) resulting in widespread and unexpected customer-initiated load reduction of large loads.”</w:t>
      </w:r>
      <w:r w:rsidRPr="009264BB">
        <w:rPr>
          <w:vertAlign w:val="superscript"/>
        </w:rPr>
        <w:footnoteReference w:id="11"/>
      </w:r>
      <w:r w:rsidRPr="009264BB">
        <w:t xml:space="preserve">  NERC’s notice explained that “[r]apid, major swings in load, both in typical operations as well as in response to grid disturbances, can impact the BPS’s ability to maintain frequency, regulate transmission voltage, and otherwise maintain stability.”</w:t>
      </w:r>
      <w:r w:rsidRPr="009264BB">
        <w:rPr>
          <w:vertAlign w:val="superscript"/>
        </w:rPr>
        <w:footnoteReference w:id="12"/>
      </w:r>
      <w:r w:rsidRPr="009264BB">
        <w:t xml:space="preserve">  In a March 2026 whitepaper, NERC’s Large Load Working Group noted that “limited voltage disturbance ride-through capability can pose multiple reliability challenges to the grid, such as balancing and stability impacts.”</w:t>
      </w:r>
      <w:r w:rsidRPr="009264BB">
        <w:rPr>
          <w:vertAlign w:val="superscript"/>
        </w:rPr>
        <w:footnoteReference w:id="13"/>
      </w:r>
      <w:r w:rsidRPr="009264BB">
        <w:t xml:space="preserve">  In fact, based on these and other risks, </w:t>
      </w:r>
      <w:r w:rsidRPr="009264BB">
        <w:lastRenderedPageBreak/>
        <w:t>NERC has since identified an “urgent” need to develop Reliability Standards to mitigate the reliability risks of computational loads.</w:t>
      </w:r>
      <w:r w:rsidRPr="009264BB">
        <w:rPr>
          <w:vertAlign w:val="superscript"/>
        </w:rPr>
        <w:footnoteReference w:id="14"/>
      </w:r>
      <w:r w:rsidRPr="009264BB">
        <w:t xml:space="preserve">  However, NERC is only at the beginning stages of these discussions.  In the meantime, Texas has quickly become a preferred destination for LCL developers and is already experiencing significant growth in energized LCLs.  To ensure the addition of LCLs does not jeopardize system reliability in the ERCOT region, ride-through standards are urgently needed. </w:t>
      </w:r>
    </w:p>
    <w:p w14:paraId="750E0E4F" w14:textId="77777777" w:rsidR="009264BB" w:rsidRPr="009264BB" w:rsidRDefault="009264BB" w:rsidP="009264BB">
      <w:pPr>
        <w:pStyle w:val="NormalArial"/>
        <w:numPr>
          <w:ilvl w:val="1"/>
          <w:numId w:val="13"/>
        </w:numPr>
        <w:spacing w:before="120" w:after="120"/>
        <w:rPr>
          <w:b/>
          <w:bCs/>
        </w:rPr>
      </w:pPr>
      <w:r w:rsidRPr="009264BB">
        <w:rPr>
          <w:b/>
          <w:bCs/>
        </w:rPr>
        <w:t>TIEC’s and TBC’s arguments do not raise a legitimate question about ERCOT’s authority to establish ride-through standards for LCLs.</w:t>
      </w:r>
    </w:p>
    <w:p w14:paraId="3747DFDD" w14:textId="1E8C3EE0" w:rsidR="009264BB" w:rsidRPr="009264BB" w:rsidRDefault="009264BB" w:rsidP="009264BB">
      <w:pPr>
        <w:pStyle w:val="NormalArial"/>
        <w:spacing w:before="120" w:after="120"/>
      </w:pPr>
      <w:r w:rsidRPr="009264BB">
        <w:t xml:space="preserve">TIEC argues that PURA does not specifically grant authority to regulate retail customers.  However, a specific grant of authority to regulate customers is not necessary because ERCOT already has broad authority to ensure the reliability of the ERCOT System, and that authority is not restricted to </w:t>
      </w:r>
      <w:r w:rsidR="001C5EDE">
        <w:t>any specific categories of assets, entities, or risks</w:t>
      </w:r>
      <w:r w:rsidRPr="009264BB">
        <w:t>.  ERCOT notes that PURA does not explicitly mention many of the reliability-related subjects addressed by ERCOT’s Protocols and its Other Binding Documents, including voltage and frequency ride-through capability of Generation Resources and Energy Storage Resources,</w:t>
      </w:r>
      <w:r w:rsidRPr="009264BB">
        <w:rPr>
          <w:vertAlign w:val="superscript"/>
        </w:rPr>
        <w:footnoteReference w:id="15"/>
      </w:r>
      <w:r w:rsidRPr="009264BB">
        <w:t xml:space="preserve"> manual load-shedding,</w:t>
      </w:r>
      <w:r w:rsidRPr="009264BB">
        <w:rPr>
          <w:vertAlign w:val="superscript"/>
        </w:rPr>
        <w:footnoteReference w:id="16"/>
      </w:r>
      <w:r w:rsidRPr="009264BB">
        <w:t xml:space="preserve"> Voltage Support Service,</w:t>
      </w:r>
      <w:r w:rsidRPr="009264BB">
        <w:rPr>
          <w:vertAlign w:val="superscript"/>
        </w:rPr>
        <w:footnoteReference w:id="17"/>
      </w:r>
      <w:r w:rsidRPr="009264BB">
        <w:t xml:space="preserve"> Primary Frequency Response (PFR),</w:t>
      </w:r>
      <w:r w:rsidRPr="009264BB">
        <w:rPr>
          <w:vertAlign w:val="superscript"/>
        </w:rPr>
        <w:footnoteReference w:id="18"/>
      </w:r>
      <w:r w:rsidRPr="009264BB">
        <w:t xml:space="preserve"> Under-Frequency Load Shedding,</w:t>
      </w:r>
      <w:r w:rsidRPr="009264BB">
        <w:rPr>
          <w:vertAlign w:val="superscript"/>
        </w:rPr>
        <w:footnoteReference w:id="19"/>
      </w:r>
      <w:r w:rsidRPr="009264BB">
        <w:t xml:space="preserve"> and so on.  All of those requirements </w:t>
      </w:r>
      <w:r w:rsidR="001C5EDE">
        <w:t>ultimately find</w:t>
      </w:r>
      <w:r w:rsidRPr="009264BB">
        <w:t xml:space="preserve"> </w:t>
      </w:r>
      <w:r w:rsidR="001C5EDE">
        <w:t xml:space="preserve">justification </w:t>
      </w:r>
      <w:r w:rsidRPr="009264BB">
        <w:t>under ERCOT’s broad reliability authority.  In the same way, this authority should logically be understood to allow ERCOT to adopt requirements that mitigate any other risk to grid reliability, including the significant risks associated with LCL failures to ride through voltage and frequency excursions.</w:t>
      </w:r>
    </w:p>
    <w:p w14:paraId="5B64022B" w14:textId="77777777" w:rsidR="009264BB" w:rsidRPr="009264BB" w:rsidRDefault="009264BB" w:rsidP="009264BB">
      <w:pPr>
        <w:pStyle w:val="NormalArial"/>
        <w:spacing w:before="120" w:after="120"/>
      </w:pPr>
      <w:r w:rsidRPr="009264BB">
        <w:t xml:space="preserve">TIEC and TBC both assert that this express grant of reliability authority should be ignored in favor of PURA Section 39.151(j), which requires that a “retail electric provider, municipally owned utility, electric cooperative, power marketer, transmission and distribution utility, or power generation company shall observe all scheduling, operating, planning, reliability, and settlement policies, rules, guidelines, and procedures established by the independent system operator in ERCOT.”  TIEC and TBC maintain that because customers are not included in this list, ERCOT lacks any authority to regulate them.  </w:t>
      </w:r>
    </w:p>
    <w:p w14:paraId="26B40024" w14:textId="46120B79" w:rsidR="009264BB" w:rsidRPr="009264BB" w:rsidRDefault="009264BB" w:rsidP="009264BB">
      <w:pPr>
        <w:pStyle w:val="NormalArial"/>
        <w:spacing w:before="120" w:after="120"/>
      </w:pPr>
      <w:r w:rsidRPr="009264BB">
        <w:t xml:space="preserve">ERCOT disagrees.  The purpose of Section 39.151(j) is not to implicitly foreclose ERCOT’s authority to establish regulations that may impact other entities not mentioned, but simply to establish that </w:t>
      </w:r>
      <w:r w:rsidR="00A37374">
        <w:t xml:space="preserve">each of the </w:t>
      </w:r>
      <w:r w:rsidRPr="009264BB">
        <w:t xml:space="preserve">entities identified </w:t>
      </w:r>
      <w:r w:rsidR="00A37374">
        <w:t xml:space="preserve">elsewhere </w:t>
      </w:r>
      <w:r w:rsidRPr="009264BB">
        <w:t xml:space="preserve">within the PURA framework must follow any </w:t>
      </w:r>
      <w:r w:rsidR="00AE102C">
        <w:t xml:space="preserve">applicable </w:t>
      </w:r>
      <w:r w:rsidRPr="009264BB">
        <w:t xml:space="preserve">rules.  The Texas Supreme Court has also made clear that the principle of implied exclusion TIEC and TBC rely on is “not an </w:t>
      </w:r>
      <w:r w:rsidRPr="009264BB">
        <w:lastRenderedPageBreak/>
        <w:t>absolute rule” and “should not be mechanically applied to compel an unreasonable interpretation.”</w:t>
      </w:r>
      <w:r w:rsidRPr="009264BB">
        <w:rPr>
          <w:vertAlign w:val="superscript"/>
        </w:rPr>
        <w:footnoteReference w:id="20"/>
      </w:r>
      <w:r w:rsidRPr="009264BB">
        <w:t xml:space="preserve">  Their conclusion would require ignoring PURA’s </w:t>
      </w:r>
      <w:r w:rsidRPr="009264BB">
        <w:rPr>
          <w:i/>
          <w:iCs/>
        </w:rPr>
        <w:t>explicit</w:t>
      </w:r>
      <w:r w:rsidRPr="009264BB">
        <w:t xml:space="preserve"> grant of authority to ensure reliability in favor of what TIEC and TBC assert is an </w:t>
      </w:r>
      <w:r w:rsidRPr="009264BB">
        <w:rPr>
          <w:i/>
          <w:iCs/>
        </w:rPr>
        <w:t>implicit</w:t>
      </w:r>
      <w:r w:rsidRPr="009264BB">
        <w:t xml:space="preserve"> prohibition against regulating entities not included in this list.  Texas law requires statutes to be construed harmoniously where that is possible, and it would be improper to infer an unstated prohibition when PURA has already expressly granted that authority.</w:t>
      </w:r>
      <w:r w:rsidRPr="009264BB">
        <w:rPr>
          <w:vertAlign w:val="superscript"/>
        </w:rPr>
        <w:footnoteReference w:id="21"/>
      </w:r>
      <w:r w:rsidRPr="009264BB">
        <w:t xml:space="preserve">  </w:t>
      </w:r>
    </w:p>
    <w:p w14:paraId="62763AB8" w14:textId="44275B13" w:rsidR="009264BB" w:rsidRPr="009264BB" w:rsidRDefault="009264BB" w:rsidP="009264BB">
      <w:pPr>
        <w:pStyle w:val="NormalArial"/>
        <w:spacing w:before="120" w:after="120"/>
      </w:pPr>
      <w:r w:rsidRPr="009264BB">
        <w:t>TIEC and TBC’s interpretation would require the conclusion that ERCOT is powerless to regulate a catastrophic risk to grid reliability.  That conclusion would not only fly in the face of common sense but would be contrary to statutory interpretation principles that require a presumption that “public interest is favored over any private interest” and that “a just and reasonable result is intended.”</w:t>
      </w:r>
      <w:r w:rsidRPr="009264BB">
        <w:rPr>
          <w:vertAlign w:val="superscript"/>
        </w:rPr>
        <w:footnoteReference w:id="22"/>
      </w:r>
      <w:r w:rsidRPr="009264BB">
        <w:t xml:space="preserve"> </w:t>
      </w:r>
    </w:p>
    <w:p w14:paraId="6CB79648" w14:textId="34DDCB09" w:rsidR="009264BB" w:rsidRPr="009264BB" w:rsidRDefault="009264BB" w:rsidP="009264BB">
      <w:pPr>
        <w:pStyle w:val="NormalArial"/>
        <w:spacing w:before="120" w:after="120"/>
      </w:pPr>
      <w:r w:rsidRPr="009264BB">
        <w:t>TIEC’s and TBC’s interpretation would also upend important elements of the current regulatory framework.  If Section 39.151(j) defines the universe of entities that could be subject to ERCOT requirements, other entities not identified in this list would not be required to follow various existing ERCOT requirements that apply to them.  For example, Qualified Scheduling Entities (QSEs) are not mentioned in Section 39.151(j) and yet have been assigned numerous important reliability-related obligations under the ERCOT regulatory framework since the beginning of the ERCOT market.</w:t>
      </w:r>
      <w:r w:rsidRPr="009264BB">
        <w:rPr>
          <w:vertAlign w:val="superscript"/>
        </w:rPr>
        <w:footnoteReference w:id="23"/>
      </w:r>
      <w:r w:rsidRPr="009264BB">
        <w:t xml:space="preserve">  Moreover, any of the various entities that are registered with the PUC as self-generators</w:t>
      </w:r>
      <w:r w:rsidRPr="009264BB">
        <w:rPr>
          <w:vertAlign w:val="superscript"/>
        </w:rPr>
        <w:footnoteReference w:id="24"/>
      </w:r>
      <w:r w:rsidRPr="009264BB">
        <w:t xml:space="preserve">—rather than as power generation companies—would also not be subject to any of the Protocols’ various reliability-related requirements for Settlement Only Transmission Self-Generators (SOTSG), including providing PFR, submitting modeling data, and Subsynchronous Oscillation (SSO) mitigation requirements.  This </w:t>
      </w:r>
      <w:r w:rsidR="009F3995">
        <w:t>unreasonable</w:t>
      </w:r>
      <w:r w:rsidR="009F3995" w:rsidRPr="009264BB">
        <w:t xml:space="preserve"> </w:t>
      </w:r>
      <w:r w:rsidRPr="009264BB">
        <w:t>outcome requires rejection of TIEC</w:t>
      </w:r>
      <w:r w:rsidR="009F3995">
        <w:t>’s</w:t>
      </w:r>
      <w:r w:rsidRPr="009264BB">
        <w:t xml:space="preserve"> and TBC’s interpretation.</w:t>
      </w:r>
    </w:p>
    <w:p w14:paraId="5A0D4882" w14:textId="3CD83B7F" w:rsidR="009264BB" w:rsidRPr="009264BB" w:rsidRDefault="009264BB" w:rsidP="009264BB">
      <w:pPr>
        <w:pStyle w:val="NormalArial"/>
        <w:spacing w:before="120" w:after="120"/>
      </w:pPr>
      <w:r w:rsidRPr="009264BB">
        <w:t xml:space="preserve">TIEC also suggests that ERCOT’s regulatory authority is limited to entities that have registered as Market Participants.  But this argument ignores existing ERCOT requirements governing entities that are not necessarily registered as ERCOT-registered Market Participants.  For example, Section 5.2.1 of the ERCOT Planning Guide requires “[a]ny Entity” proposing to interconnect a new or modified generator at least 1 MW in size to follow the prescribed Generator Interconnection or Modification (GIM) process—irrespective of whether that person may eventually register as a Market Participant.  Similarly, the Large Load interconnection process currently reflected in Section 9 of the Planning Guide establishes the mandatory steps required of any </w:t>
      </w:r>
      <w:r w:rsidR="001C5EDE">
        <w:t>c</w:t>
      </w:r>
      <w:r w:rsidRPr="009264BB">
        <w:t xml:space="preserve">ustomer that wishes to interconnect a Large Load project to the ERCOT System, including paying an Application Fee, supplying information about the project, signing an </w:t>
      </w:r>
      <w:r w:rsidRPr="009264BB">
        <w:lastRenderedPageBreak/>
        <w:t>interconnection agreement, posting financial security, providing notice to proceed, and complying with energization limits in the Load Commissioning Plan.</w:t>
      </w:r>
      <w:r w:rsidRPr="009264BB">
        <w:rPr>
          <w:vertAlign w:val="superscript"/>
        </w:rPr>
        <w:footnoteReference w:id="25"/>
      </w:r>
      <w:r w:rsidRPr="009264BB">
        <w:t xml:space="preserve">  More recently, NPRR1238 established telemetry and curtailment requirements for </w:t>
      </w:r>
      <w:r w:rsidR="00FA09B6">
        <w:t xml:space="preserve">customers that register as </w:t>
      </w:r>
      <w:r w:rsidRPr="009264BB">
        <w:t>Voluntary Early Curtailment Loads (VECL) without requiring Market Participant registration.</w:t>
      </w:r>
      <w:r w:rsidRPr="009264BB">
        <w:rPr>
          <w:vertAlign w:val="superscript"/>
        </w:rPr>
        <w:footnoteReference w:id="26"/>
      </w:r>
      <w:r w:rsidRPr="009264BB">
        <w:t xml:space="preserve">  None of these requirements would have been lawful if ERCOT lacked authority to regulate the activities of entities not registered as Market Participants.  </w:t>
      </w:r>
    </w:p>
    <w:p w14:paraId="4AA382E9" w14:textId="1FD3BDFA" w:rsidR="009264BB" w:rsidRPr="009264BB" w:rsidRDefault="009264BB" w:rsidP="009264BB">
      <w:pPr>
        <w:pStyle w:val="NormalArial"/>
        <w:spacing w:before="120" w:after="120"/>
      </w:pPr>
      <w:r w:rsidRPr="009264BB">
        <w:t>TIEC also argues that PURA Section 39.151(</w:t>
      </w:r>
      <w:r w:rsidRPr="009264BB">
        <w:rPr>
          <w:i/>
          <w:iCs/>
        </w:rPr>
        <w:t>l</w:t>
      </w:r>
      <w:r w:rsidRPr="009264BB">
        <w:t xml:space="preserve">) forecloses ERCOT’s authority to adopt regulations impacting customers. That section prohibits ERCOT from imposing requirements that “adversely affect or impede any manufacturing or other internal process operation associated with an industrial generation facility, except to the minimum extent necessary to assure reliability of the transmission network.”  But this provision only </w:t>
      </w:r>
      <w:r w:rsidR="00034CF4">
        <w:t>confirms</w:t>
      </w:r>
      <w:r w:rsidR="00034CF4" w:rsidRPr="009264BB">
        <w:t xml:space="preserve"> </w:t>
      </w:r>
      <w:r w:rsidRPr="009264BB">
        <w:t xml:space="preserve">ERCOT’s </w:t>
      </w:r>
      <w:r w:rsidR="00B153CA">
        <w:t xml:space="preserve">broad reliability </w:t>
      </w:r>
      <w:r w:rsidRPr="009264BB">
        <w:t>authority.  First, Section 39.151(</w:t>
      </w:r>
      <w:r w:rsidRPr="009264BB">
        <w:rPr>
          <w:i/>
          <w:iCs/>
        </w:rPr>
        <w:t>l</w:t>
      </w:r>
      <w:r w:rsidRPr="009264BB">
        <w:t>) clearly authorizes requirements that are necessary to ensure system reliability.  Second, the prohibition against adversely impeding manufacturing processes in Section 39.151(</w:t>
      </w:r>
      <w:r w:rsidRPr="009264BB">
        <w:rPr>
          <w:i/>
          <w:iCs/>
        </w:rPr>
        <w:t>l</w:t>
      </w:r>
      <w:r w:rsidRPr="009264BB">
        <w:t>) would be entirely unnecessary if Section 39.151(j) were construed to prohibit ERCOT regulation that impacts customers, as TIEC and TBC suggest.  Texas law disfavors interpretations that would render statutory provisions superfluous.</w:t>
      </w:r>
      <w:r w:rsidRPr="009264BB">
        <w:rPr>
          <w:vertAlign w:val="superscript"/>
        </w:rPr>
        <w:footnoteReference w:id="27"/>
      </w:r>
    </w:p>
    <w:p w14:paraId="7DE1FCC2" w14:textId="30A866F4" w:rsidR="009264BB" w:rsidRPr="009264BB" w:rsidRDefault="009264BB" w:rsidP="009264BB">
      <w:pPr>
        <w:pStyle w:val="NormalArial"/>
        <w:spacing w:before="120" w:after="120"/>
      </w:pPr>
      <w:r w:rsidRPr="009264BB">
        <w:t>TIEC also argues that the Legislature’s 2023 enactment of a bill requiring registration of virtual currency mining facilities</w:t>
      </w:r>
      <w:r w:rsidRPr="009264BB">
        <w:rPr>
          <w:vertAlign w:val="superscript"/>
        </w:rPr>
        <w:footnoteReference w:id="28"/>
      </w:r>
      <w:r w:rsidRPr="009264BB">
        <w:t xml:space="preserve"> shows that ERCOT lacks authority to regulate other types of loads because an earlier version of th</w:t>
      </w:r>
      <w:r w:rsidR="00034CF4">
        <w:t>e</w:t>
      </w:r>
      <w:r w:rsidRPr="009264BB">
        <w:t xml:space="preserve"> bill would have required a broader set of customers to register with ERCOT.  However, the asserted inference does not follow because the bill only addressed customer registration and had nothing to do with ERCOT’s authority to impose reliability-based requirements.  </w:t>
      </w:r>
      <w:r w:rsidR="00034CF4">
        <w:t>And in any case</w:t>
      </w:r>
      <w:r w:rsidRPr="009264BB">
        <w:t>, Texas law ascribes no interpretive meaning to the deletion of language during the legislative process.</w:t>
      </w:r>
      <w:r w:rsidRPr="009264BB">
        <w:rPr>
          <w:vertAlign w:val="superscript"/>
        </w:rPr>
        <w:footnoteReference w:id="29"/>
      </w:r>
      <w:r w:rsidRPr="009264BB">
        <w:t xml:space="preserve">  </w:t>
      </w:r>
    </w:p>
    <w:p w14:paraId="61AA8FB1" w14:textId="73073BD8" w:rsidR="009264BB" w:rsidRPr="009264BB" w:rsidRDefault="009264BB" w:rsidP="009264BB">
      <w:pPr>
        <w:pStyle w:val="NormalArial"/>
        <w:spacing w:before="120" w:after="120"/>
      </w:pPr>
      <w:r w:rsidRPr="009264BB">
        <w:t xml:space="preserve">TIEC further argues that ERCOT cannot regulate retail customers because ERCOT could exercise that authority in absurd and controversial ways, suggesting that ERCOT could interpret this authority to “tell homeowners what type of air conditioning units to buy or what the temperature settings must be in their homes.”  However, this argument is simply a straw man.  ERCOT has not proposed to regulate residential HVAC units, which do not present the same system stability concerns that LCLs do.  ERCOT acknowledges that any future Revision Request it may propose that would impact </w:t>
      </w:r>
      <w:r w:rsidRPr="009264BB">
        <w:lastRenderedPageBreak/>
        <w:t xml:space="preserve">individual </w:t>
      </w:r>
      <w:r w:rsidR="001C5EDE">
        <w:t>c</w:t>
      </w:r>
      <w:r w:rsidRPr="009264BB">
        <w:t xml:space="preserve">ustomers must have a legitimate legal and policy basis.  And in the event of such a proposal, </w:t>
      </w:r>
      <w:r w:rsidR="009F3995">
        <w:t>s</w:t>
      </w:r>
      <w:r w:rsidRPr="009264BB">
        <w:t>takeholders will have an opportunity to evaluate ERCOT’s asserted grounds as part of the prescribed Revision Request process.  But TIEC’s speculation about what ERCOT might propose in some future Revision Request provides no valid basis for opposing this NOGRR.</w:t>
      </w:r>
    </w:p>
    <w:p w14:paraId="675764D2" w14:textId="6688E2F6" w:rsidR="009264BB" w:rsidRPr="009264BB" w:rsidRDefault="009264BB" w:rsidP="009264BB">
      <w:pPr>
        <w:pStyle w:val="NormalArial"/>
        <w:spacing w:before="120" w:after="120"/>
      </w:pPr>
      <w:r w:rsidRPr="009264BB">
        <w:t xml:space="preserve">TIEC further asserts that ERCOT should not be permitted to regulate Large Loads because it lacks the technical expertise to understand them.  While ERCOT acknowledges that Large Load </w:t>
      </w:r>
      <w:r w:rsidR="001C5EDE">
        <w:t>c</w:t>
      </w:r>
      <w:r w:rsidRPr="009264BB">
        <w:t xml:space="preserve">ustomers will always have superior knowledge of their own facilities, this does not change the fact that the tripping of LCLs due to normal voltage and frequency excursions presents a significant risk to the reliability of the ERCOT System that must be mitigated.  Nevertheless, to ensure that the proposed requirements in this NOGRR avoid unnecessary interference with LCL operations, ERCOT has engaged in many public and private discussions with LCL developers, OEMs, and other stakeholders to gain a better understanding of the capabilities of individual customer facilities and to identify appropriate revisions to the proposed requirements.  ERCOT has also considered </w:t>
      </w:r>
      <w:r w:rsidR="009F3995" w:rsidRPr="009264BB">
        <w:t>all</w:t>
      </w:r>
      <w:r w:rsidRPr="009264BB">
        <w:t xml:space="preserve"> comments submitted on this NOGRR, many of which provided helpful </w:t>
      </w:r>
      <w:r w:rsidR="00D21E1F">
        <w:t>information about the technical characteristics of LCLs and suggested language revisions that would resolve those concerns</w:t>
      </w:r>
      <w:r w:rsidRPr="009264BB">
        <w:t xml:space="preserve">.  Based on this feedback, ERCOT has submitted several sets of </w:t>
      </w:r>
      <w:r w:rsidR="00DD0824">
        <w:t xml:space="preserve">additional </w:t>
      </w:r>
      <w:r w:rsidRPr="009264BB">
        <w:t xml:space="preserve">comments making incremental changes to the proposed requirements.  This ongoing dialogue has helped ensure that the final requirements ERCOT will submit for Board and PUC approval reflect an appropriate balance of commercial and reliability interests.  </w:t>
      </w:r>
    </w:p>
    <w:p w14:paraId="1EC3BF3B" w14:textId="4A24726C" w:rsidR="009264BB" w:rsidRPr="009264BB" w:rsidRDefault="009264BB" w:rsidP="009264BB">
      <w:pPr>
        <w:pStyle w:val="NormalArial"/>
        <w:spacing w:before="120" w:after="120"/>
      </w:pPr>
      <w:r w:rsidRPr="009264BB">
        <w:t xml:space="preserve">TIEC argues that the TDSPs, rather than ERCOT, should establish the requirements because the </w:t>
      </w:r>
      <w:r w:rsidR="00D21E1F">
        <w:t xml:space="preserve">TDSPs </w:t>
      </w:r>
      <w:r w:rsidRPr="009264BB">
        <w:t>have a relationship with the customer and an incentive to facilitate growth.  But this ignores that the ultimate risk this NOGRR seeks to address is that the tripping of LCLs due to voltage or frequency excursions could negatively impact system frequency, which is a system-wide phenomenon that falls under ERCOT’s purview as both the PUC-designated independent system operator and the NERC-registered Balancing Authority for the ERCOT Region.  TDSPs do not have that responsibility.  Moreover, converting the proposed requirements in NOGRR282 to “guidelines” while allowing TDSPs to establish binding requirements for each customer in their individual tariffs, as TIEC proposes, would leave the ERCOT System vulnerable to the risks of LCL tripping unless those requirements are coordinated and standardized across the ERCOT Region.  NOGRR282 would achieve those purposes.  ERCOT sees no legitimate reason to delegate the creation of ride-through standards to TDSPs.</w:t>
      </w:r>
    </w:p>
    <w:p w14:paraId="568C0656" w14:textId="16B9E09E" w:rsidR="009264BB" w:rsidRPr="009264BB" w:rsidRDefault="009264BB" w:rsidP="009264BB">
      <w:pPr>
        <w:pStyle w:val="NormalArial"/>
        <w:spacing w:before="120" w:after="120"/>
      </w:pPr>
      <w:r w:rsidRPr="009264BB">
        <w:t xml:space="preserve">TBC claims that compliance with NOGRR282 “would require redesign or replacement of existing infrastructure, not operational adjustment” and then asserts that “[a]gencies may not impose requirements that are impossible to satisfy or that effectively force market exit without clear legislative authorization.”  While TBC cites no legal authority for this proposition, ERCOT notes that this NOGRR proposes </w:t>
      </w:r>
      <w:r w:rsidR="004E06B2">
        <w:t xml:space="preserve">to fully </w:t>
      </w:r>
      <w:r w:rsidRPr="009264BB">
        <w:t>exempt all LCL facilities that</w:t>
      </w:r>
      <w:r w:rsidR="004E06B2">
        <w:t xml:space="preserve">, as of the date </w:t>
      </w:r>
      <w:r w:rsidR="004E06B2" w:rsidRPr="009264BB">
        <w:t>the NOGRR was proposed</w:t>
      </w:r>
      <w:r w:rsidR="004E06B2">
        <w:t>,</w:t>
      </w:r>
      <w:r w:rsidRPr="009264BB">
        <w:t xml:space="preserve"> </w:t>
      </w:r>
      <w:r w:rsidR="00835FF1">
        <w:t xml:space="preserve">were either </w:t>
      </w:r>
      <w:r w:rsidR="007E062C">
        <w:t xml:space="preserve">(1) </w:t>
      </w:r>
      <w:r w:rsidR="00835FF1">
        <w:t>already in operation or had receive</w:t>
      </w:r>
      <w:r w:rsidR="007E062C">
        <w:t>d</w:t>
      </w:r>
      <w:r w:rsidR="00835FF1">
        <w:t xml:space="preserve"> approval to energize</w:t>
      </w:r>
      <w:r w:rsidRPr="009264BB">
        <w:t xml:space="preserve"> or</w:t>
      </w:r>
      <w:r w:rsidR="00835FF1">
        <w:t xml:space="preserve"> </w:t>
      </w:r>
      <w:r w:rsidR="007E062C">
        <w:t xml:space="preserve">(2) </w:t>
      </w:r>
      <w:r w:rsidRPr="009264BB">
        <w:t xml:space="preserve">had </w:t>
      </w:r>
      <w:r w:rsidR="004E06B2">
        <w:t>completed studies</w:t>
      </w:r>
      <w:r w:rsidR="00835FF1">
        <w:t xml:space="preserve">, signed an interconnection agreement, and </w:t>
      </w:r>
      <w:r w:rsidR="004E06B2">
        <w:t xml:space="preserve">provided financial commitment and notice to proceed with construction of the </w:t>
      </w:r>
      <w:r w:rsidR="00835FF1">
        <w:t xml:space="preserve">required </w:t>
      </w:r>
      <w:r w:rsidR="004E06B2">
        <w:t>interconnection facilities</w:t>
      </w:r>
      <w:r w:rsidRPr="009264BB">
        <w:t xml:space="preserve">.  </w:t>
      </w:r>
      <w:r w:rsidR="00835FF1">
        <w:t xml:space="preserve">Any customer that </w:t>
      </w:r>
      <w:r w:rsidR="007E062C">
        <w:t>wa</w:t>
      </w:r>
      <w:r w:rsidR="00835FF1">
        <w:t xml:space="preserve">s in the </w:t>
      </w:r>
      <w:r w:rsidR="00835FF1">
        <w:lastRenderedPageBreak/>
        <w:t>late stages of development</w:t>
      </w:r>
      <w:r w:rsidR="007E062C">
        <w:t xml:space="preserve"> when this NOGRR was submitted</w:t>
      </w:r>
      <w:r w:rsidR="00835FF1">
        <w:t xml:space="preserve"> should reasonably </w:t>
      </w:r>
      <w:r w:rsidR="00B3765F">
        <w:t xml:space="preserve">be able to </w:t>
      </w:r>
      <w:r w:rsidR="00835FF1">
        <w:t xml:space="preserve">meet these conditions. </w:t>
      </w:r>
      <w:r w:rsidR="007E062C">
        <w:t xml:space="preserve"> </w:t>
      </w:r>
      <w:r w:rsidRPr="009264BB">
        <w:t>In any case</w:t>
      </w:r>
      <w:r w:rsidR="009F3995">
        <w:t>,</w:t>
      </w:r>
      <w:r w:rsidRPr="009264BB">
        <w:t xml:space="preserve"> TBC fails to explain why any commercial interest should take precedence over the substantial reliability risk posed by LCL ride-through vulnerabilities.  As a matter of legal interpretation, these private interests are secondary to the public interest.</w:t>
      </w:r>
      <w:r w:rsidRPr="009264BB">
        <w:rPr>
          <w:vertAlign w:val="superscript"/>
        </w:rPr>
        <w:footnoteReference w:id="30"/>
      </w:r>
      <w:r w:rsidRPr="009264BB">
        <w:t xml:space="preserve"> </w:t>
      </w:r>
    </w:p>
    <w:p w14:paraId="54DBEB28" w14:textId="77777777" w:rsidR="009264BB" w:rsidRPr="009264BB" w:rsidRDefault="009264BB" w:rsidP="009264BB">
      <w:pPr>
        <w:pStyle w:val="NormalArial"/>
        <w:numPr>
          <w:ilvl w:val="0"/>
          <w:numId w:val="13"/>
        </w:numPr>
        <w:spacing w:before="120" w:after="120"/>
        <w:rPr>
          <w:b/>
          <w:bCs/>
        </w:rPr>
      </w:pPr>
      <w:r w:rsidRPr="009264BB">
        <w:rPr>
          <w:b/>
          <w:bCs/>
        </w:rPr>
        <w:t>Retroactivity</w:t>
      </w:r>
    </w:p>
    <w:p w14:paraId="13D9362D" w14:textId="40CF1339" w:rsidR="009264BB" w:rsidRPr="009264BB" w:rsidRDefault="009264BB" w:rsidP="009264BB">
      <w:pPr>
        <w:pStyle w:val="NormalArial"/>
        <w:spacing w:before="120" w:after="120"/>
      </w:pPr>
      <w:r w:rsidRPr="009264BB">
        <w:t>Intersect, Vistra, and TBC each assert or imply that NOGRR282 would apply retroactively in violation of Texas law.  ERCOT disagrees.  “A retroactive law is one that extends to matters that occurred in the past.”</w:t>
      </w:r>
      <w:r w:rsidRPr="009264BB">
        <w:rPr>
          <w:vertAlign w:val="superscript"/>
        </w:rPr>
        <w:footnoteReference w:id="31"/>
      </w:r>
      <w:r w:rsidRPr="009264BB">
        <w:t xml:space="preserve">  NOGRR282 does not act retroactively.  As proposed, it will apply only once it becomes effective following PUC approval and will have no impact on the actions or inactions of any LCL that may have occurred before that effective date.  Stated concerns about retroactivity appear to arise only because, in the interest of protecting commercial expectations, ERCOT has proposed to grandfather certain LCLs from the coverage of the NOGRR rather than proposing to require all LCLs to comply with the requirements once the NOGRR is effective.  Intersect and Vistra both propose to address their concerns by delaying the primary grandfather date of November 14, 2025 to some later date.  But the appropriate grandfather date and grandfathering conditions are simply matters of prudent policy design and do not raise legal retroactivity considerations.  As ERCOT has already broadened the grandfathering provisions to accommodate projects that had reached </w:t>
      </w:r>
      <w:r w:rsidR="00B3765F">
        <w:t>certain</w:t>
      </w:r>
      <w:r w:rsidR="00B3765F" w:rsidRPr="009264BB">
        <w:t xml:space="preserve"> </w:t>
      </w:r>
      <w:r w:rsidRPr="009264BB">
        <w:t xml:space="preserve">development milestones by the November 14, 2025 date, ERCOT believes it has already achieved an appropriate balancing of these commercial interests with the </w:t>
      </w:r>
      <w:r w:rsidR="00B3765F">
        <w:t xml:space="preserve">critical </w:t>
      </w:r>
      <w:r w:rsidRPr="009264BB">
        <w:t>reliability interests the NOGRR seeks to address.</w:t>
      </w:r>
      <w:r w:rsidR="00CA1692">
        <w:t xml:space="preserve">  </w:t>
      </w:r>
      <w:r w:rsidR="00F74AF4">
        <w:t xml:space="preserve">Additionally, </w:t>
      </w:r>
      <w:r w:rsidR="00CA1692">
        <w:t>ERCOT</w:t>
      </w:r>
      <w:r w:rsidR="00F74AF4">
        <w:t xml:space="preserve">’s assessment based on its review of tracked Large Load projects is that moving the grandfather date from November 14, 2025 to mid-April 2026 would exempt </w:t>
      </w:r>
      <w:r w:rsidR="002331B8" w:rsidRPr="002331B8">
        <w:rPr>
          <w:i/>
          <w:iCs/>
        </w:rPr>
        <w:t>at least</w:t>
      </w:r>
      <w:r w:rsidR="002331B8">
        <w:t xml:space="preserve"> </w:t>
      </w:r>
      <w:r w:rsidR="00750C71">
        <w:t xml:space="preserve">an additional </w:t>
      </w:r>
      <w:r w:rsidR="00ED21A0">
        <w:t>10,000 MW</w:t>
      </w:r>
      <w:r w:rsidR="00750C71">
        <w:t xml:space="preserve"> </w:t>
      </w:r>
      <w:r w:rsidR="00F74AF4">
        <w:t>of LCL capacity from these requirements.</w:t>
      </w:r>
      <w:r w:rsidR="00750C71">
        <w:t xml:space="preserve">  This would greatly increase the existing reliability risk driving this NOGRR. </w:t>
      </w:r>
      <w:r w:rsidR="00F74AF4">
        <w:t xml:space="preserve">       </w:t>
      </w:r>
    </w:p>
    <w:p w14:paraId="0F000B42" w14:textId="5F1C16CA" w:rsidR="009264BB" w:rsidRPr="009264BB" w:rsidRDefault="009264BB" w:rsidP="009264BB">
      <w:pPr>
        <w:pStyle w:val="NormalArial"/>
        <w:spacing w:before="120" w:after="120"/>
      </w:pPr>
      <w:r w:rsidRPr="009264BB">
        <w:t xml:space="preserve">Even if NOGRR282 </w:t>
      </w:r>
      <w:r w:rsidRPr="00ED21A0">
        <w:rPr>
          <w:i/>
          <w:iCs/>
        </w:rPr>
        <w:t>were</w:t>
      </w:r>
      <w:r w:rsidRPr="009264BB">
        <w:t xml:space="preserve"> retroactive, the established test for </w:t>
      </w:r>
      <w:r w:rsidRPr="009264BB">
        <w:rPr>
          <w:i/>
          <w:iCs/>
        </w:rPr>
        <w:t>unlawful</w:t>
      </w:r>
      <w:r w:rsidRPr="009264BB">
        <w:t xml:space="preserve"> retroactivity of a statute under the Texas Constitution would not likely raise a concern for NOGRR282. That test requires a comparison of (i) the nature and strength of the public interest served by the statute; (ii) the nature of the prior right impaired by the statute; and (iii) the extent of the impairment.</w:t>
      </w:r>
      <w:r w:rsidRPr="009264BB">
        <w:rPr>
          <w:vertAlign w:val="superscript"/>
        </w:rPr>
        <w:footnoteReference w:id="32"/>
      </w:r>
      <w:r w:rsidRPr="009264BB">
        <w:t xml:space="preserve">  Given the significant risk to the reliability of the ERCOT System</w:t>
      </w:r>
      <w:r w:rsidR="002331B8">
        <w:t xml:space="preserve">—and the 27 million customers it </w:t>
      </w:r>
      <w:r w:rsidR="00ED21A0">
        <w:t>currently</w:t>
      </w:r>
      <w:r w:rsidR="002331B8">
        <w:t xml:space="preserve"> serves—</w:t>
      </w:r>
      <w:r w:rsidRPr="009264BB">
        <w:t xml:space="preserve">posed by the failure of LCLs to ride through voltage </w:t>
      </w:r>
      <w:r w:rsidR="00B3765F">
        <w:t xml:space="preserve">and frequency </w:t>
      </w:r>
      <w:r w:rsidRPr="009264BB">
        <w:t xml:space="preserve">excursions, the public has a very compelling interest in ensuring LCLs comply with the proposed requirements.  </w:t>
      </w:r>
      <w:r w:rsidR="00750C71">
        <w:t>Additionally,</w:t>
      </w:r>
      <w:r w:rsidR="00B3765F">
        <w:t xml:space="preserve"> </w:t>
      </w:r>
      <w:r w:rsidRPr="009264BB">
        <w:t xml:space="preserve">there is no “prior right” abrogated by the NOGRR because there could be no “reasonable, settled expectation” in the continuation of an absence of </w:t>
      </w:r>
      <w:r w:rsidR="00ED21A0">
        <w:t xml:space="preserve">regulations that </w:t>
      </w:r>
      <w:r w:rsidRPr="009264BB">
        <w:t>address a significant reliability risk</w:t>
      </w:r>
      <w:r w:rsidR="00B3765F">
        <w:t>.</w:t>
      </w:r>
      <w:r w:rsidRPr="009264BB">
        <w:rPr>
          <w:vertAlign w:val="superscript"/>
        </w:rPr>
        <w:footnoteReference w:id="33"/>
      </w:r>
      <w:r w:rsidRPr="009264BB">
        <w:t xml:space="preserve"> </w:t>
      </w:r>
      <w:r w:rsidR="00B3765F">
        <w:t xml:space="preserve">Even </w:t>
      </w:r>
      <w:r w:rsidRPr="009264BB">
        <w:t xml:space="preserve">assuming such a right did exist, that interest—which is </w:t>
      </w:r>
      <w:r w:rsidRPr="009264BB">
        <w:lastRenderedPageBreak/>
        <w:t xml:space="preserve">entirely commercial—would be significantly outweighed by the public interest in resolving the reliability issue.  </w:t>
      </w:r>
    </w:p>
    <w:p w14:paraId="6486AA03" w14:textId="59104FDD" w:rsidR="00933BF9" w:rsidRPr="00560BA7" w:rsidRDefault="00933BF9" w:rsidP="00933BF9">
      <w:pPr>
        <w:pStyle w:val="NormalArial"/>
        <w:spacing w:before="120" w:after="120"/>
      </w:pPr>
      <w:r>
        <w:t xml:space="preserve">For the reasons described </w:t>
      </w:r>
      <w:r w:rsidR="009264BB">
        <w:t xml:space="preserve">above, </w:t>
      </w:r>
      <w:r w:rsidR="00C3432B">
        <w:t xml:space="preserve">ERCOT concludes that </w:t>
      </w:r>
      <w:r w:rsidR="00CA1692">
        <w:t>NOGRR282 does not exceed ERCOT’s statutory authority and does not run afoul of any prohibition against retroactive laws.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2031FE87" w:rsidR="00152993" w:rsidRDefault="005F27B0" w:rsidP="00D936C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2FBE3B2D" w14:textId="539D6C47" w:rsidR="00152993" w:rsidRDefault="009264BB" w:rsidP="009264BB">
      <w:pPr>
        <w:pStyle w:val="NormalArial"/>
        <w:spacing w:before="120" w:after="120"/>
      </w:pPr>
      <w:r>
        <w:t>None</w:t>
      </w:r>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AE3C" w14:textId="77777777" w:rsidR="005011EA" w:rsidRDefault="005011EA">
      <w:r>
        <w:separator/>
      </w:r>
    </w:p>
  </w:endnote>
  <w:endnote w:type="continuationSeparator" w:id="0">
    <w:p w14:paraId="3E7D82B2" w14:textId="77777777" w:rsidR="005011EA" w:rsidRDefault="0050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70E5D3F1"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170B05">
      <w:rPr>
        <w:rFonts w:ascii="Arial" w:hAnsi="Arial"/>
        <w:noProof/>
        <w:sz w:val="18"/>
      </w:rPr>
      <w:t>282NOGRR-</w:t>
    </w:r>
    <w:r w:rsidR="005F7744">
      <w:rPr>
        <w:rFonts w:ascii="Arial" w:hAnsi="Arial"/>
        <w:noProof/>
        <w:sz w:val="18"/>
      </w:rPr>
      <w:t>27-</w:t>
    </w:r>
    <w:r w:rsidR="00170B05">
      <w:rPr>
        <w:rFonts w:ascii="Arial" w:hAnsi="Arial"/>
        <w:noProof/>
        <w:sz w:val="18"/>
      </w:rPr>
      <w:t>ERCOT Comments 0</w:t>
    </w:r>
    <w:r w:rsidR="007B5714">
      <w:rPr>
        <w:rFonts w:ascii="Arial" w:hAnsi="Arial"/>
        <w:noProof/>
        <w:sz w:val="18"/>
      </w:rPr>
      <w:t>424</w:t>
    </w:r>
    <w:r w:rsidR="00170B05">
      <w:rPr>
        <w:rFonts w:ascii="Arial" w:hAnsi="Arial"/>
        <w:noProof/>
        <w:sz w:val="18"/>
      </w:rPr>
      <w:t>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B011" w14:textId="77777777" w:rsidR="005011EA" w:rsidRDefault="005011EA">
      <w:r>
        <w:separator/>
      </w:r>
    </w:p>
  </w:footnote>
  <w:footnote w:type="continuationSeparator" w:id="0">
    <w:p w14:paraId="123B5333" w14:textId="77777777" w:rsidR="005011EA" w:rsidRDefault="005011EA">
      <w:r>
        <w:continuationSeparator/>
      </w:r>
    </w:p>
  </w:footnote>
  <w:footnote w:id="1">
    <w:p w14:paraId="60159E0D"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Public Utility Regulatory Act (PURA), Tex. Util. Code §§ 11.001-66.017. The PUC designated ERCOT as the independent organization responsible for performing the functions enumerated in Section 39.151 in 2001. </w:t>
      </w:r>
      <w:r w:rsidRPr="009264BB">
        <w:rPr>
          <w:rFonts w:ascii="Arial" w:hAnsi="Arial" w:cs="Arial"/>
          <w:i/>
          <w:iCs/>
        </w:rPr>
        <w:t xml:space="preserve">See </w:t>
      </w:r>
      <w:r w:rsidRPr="009264BB">
        <w:rPr>
          <w:rFonts w:ascii="Arial" w:hAnsi="Arial" w:cs="Arial"/>
        </w:rPr>
        <w:t xml:space="preserve">Application of the ERCOT ISO for Certification as an Independent Organization to Perform Transmission and Distribution Access, Reliability, Information Exchange, and Settlement Functions, </w:t>
      </w:r>
      <w:r w:rsidRPr="009264BB">
        <w:rPr>
          <w:rFonts w:ascii="Arial" w:hAnsi="Arial" w:cs="Arial"/>
          <w:i/>
          <w:iCs/>
        </w:rPr>
        <w:t>Final Order</w:t>
      </w:r>
      <w:r w:rsidRPr="009264BB">
        <w:rPr>
          <w:rFonts w:ascii="Arial" w:hAnsi="Arial" w:cs="Arial"/>
        </w:rPr>
        <w:t>, PUC Docket No. 22061 (Feb. 2, 2001).</w:t>
      </w:r>
    </w:p>
  </w:footnote>
  <w:footnote w:id="2">
    <w:p w14:paraId="385D3A81"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PURA § 39.151(a)(2). </w:t>
      </w:r>
    </w:p>
  </w:footnote>
  <w:footnote w:id="3">
    <w:p w14:paraId="6B9A4246" w14:textId="7B97687D"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16 Tex. Admin. Code § 25.361(b) (directing ERCOT to “perform the functions of an independent organization under [PURA] § 39.151” including to “ensure the reliability and adequacy of the regional electrical network”)</w:t>
      </w:r>
      <w:r w:rsidR="0053547B">
        <w:rPr>
          <w:rFonts w:ascii="Arial" w:hAnsi="Arial" w:cs="Arial"/>
        </w:rPr>
        <w:t xml:space="preserve">. </w:t>
      </w:r>
    </w:p>
  </w:footnote>
  <w:footnote w:id="4">
    <w:p w14:paraId="17ED6859"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 xml:space="preserve">NOGRR245; NPRR1234; PGRR115.  </w:t>
      </w:r>
    </w:p>
  </w:footnote>
  <w:footnote w:id="5">
    <w:p w14:paraId="09C8EDFC" w14:textId="2C5A5E06"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For example, see Market Notice </w:t>
      </w:r>
      <w:hyperlink r:id="rId1" w:history="1">
        <w:r w:rsidRPr="009264BB">
          <w:rPr>
            <w:rStyle w:val="Hyperlink"/>
            <w:rFonts w:ascii="Arial" w:hAnsi="Arial" w:cs="Arial"/>
          </w:rPr>
          <w:t>M-C093022-01</w:t>
        </w:r>
      </w:hyperlink>
      <w:r w:rsidRPr="009264BB">
        <w:rPr>
          <w:rFonts w:ascii="Arial" w:hAnsi="Arial" w:cs="Arial"/>
        </w:rPr>
        <w:t xml:space="preserve"> (</w:t>
      </w:r>
      <w:r w:rsidR="0053547B">
        <w:rPr>
          <w:rFonts w:ascii="Arial" w:hAnsi="Arial" w:cs="Arial"/>
        </w:rPr>
        <w:t>p</w:t>
      </w:r>
      <w:r w:rsidRPr="009264BB">
        <w:rPr>
          <w:rFonts w:ascii="Arial" w:hAnsi="Arial" w:cs="Arial"/>
        </w:rPr>
        <w:t xml:space="preserve">rohibiting Energy Storage Resources from providing Non-Spinning Reserve Service pending implementation of Nodal Protocol Revision Request 1096); Market Notice </w:t>
      </w:r>
      <w:hyperlink r:id="rId2" w:history="1">
        <w:r w:rsidRPr="009264BB">
          <w:rPr>
            <w:rStyle w:val="Hyperlink"/>
            <w:rFonts w:ascii="Arial" w:hAnsi="Arial" w:cs="Arial"/>
          </w:rPr>
          <w:t>M-A060525-01</w:t>
        </w:r>
      </w:hyperlink>
      <w:r w:rsidRPr="009264BB">
        <w:rPr>
          <w:rFonts w:ascii="Arial" w:hAnsi="Arial" w:cs="Arial"/>
        </w:rPr>
        <w:t xml:space="preserve"> (</w:t>
      </w:r>
      <w:r w:rsidR="0053547B">
        <w:rPr>
          <w:rFonts w:ascii="Arial" w:hAnsi="Arial" w:cs="Arial"/>
        </w:rPr>
        <w:t>a</w:t>
      </w:r>
      <w:r w:rsidRPr="009264BB">
        <w:rPr>
          <w:rFonts w:ascii="Arial" w:hAnsi="Arial" w:cs="Arial"/>
        </w:rPr>
        <w:t>nnouncing contract with a generation supplier to move 15 mobile generators to the San Antonio area to resolve a capacity deficiency that could result in cascading</w:t>
      </w:r>
      <w:r w:rsidR="0053547B">
        <w:rPr>
          <w:rFonts w:ascii="Arial" w:hAnsi="Arial" w:cs="Arial"/>
        </w:rPr>
        <w:t xml:space="preserve"> outages</w:t>
      </w:r>
      <w:r w:rsidRPr="009264BB">
        <w:rPr>
          <w:rFonts w:ascii="Arial" w:hAnsi="Arial" w:cs="Arial"/>
        </w:rPr>
        <w:t xml:space="preserve">); Market Notice </w:t>
      </w:r>
      <w:hyperlink r:id="rId3" w:history="1">
        <w:r w:rsidRPr="009264BB">
          <w:rPr>
            <w:rStyle w:val="Hyperlink"/>
            <w:rFonts w:ascii="Arial" w:hAnsi="Arial" w:cs="Arial"/>
          </w:rPr>
          <w:t>M-A092619-01</w:t>
        </w:r>
      </w:hyperlink>
      <w:r w:rsidRPr="009264BB">
        <w:rPr>
          <w:rFonts w:ascii="Arial" w:hAnsi="Arial" w:cs="Arial"/>
        </w:rPr>
        <w:t xml:space="preserve"> (</w:t>
      </w:r>
      <w:r w:rsidR="0053547B">
        <w:rPr>
          <w:rFonts w:ascii="Arial" w:hAnsi="Arial" w:cs="Arial"/>
        </w:rPr>
        <w:t>e</w:t>
      </w:r>
      <w:r w:rsidRPr="009264BB">
        <w:rPr>
          <w:rFonts w:ascii="Arial" w:hAnsi="Arial" w:cs="Arial"/>
        </w:rPr>
        <w:t>stablishing a moratorium on interconnections of distributed energy resources pending development of appropriate requirements).</w:t>
      </w:r>
    </w:p>
  </w:footnote>
  <w:footnote w:id="6">
    <w:p w14:paraId="7C5E933E"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Market Notice M-B062325-01, </w:t>
      </w:r>
      <w:hyperlink r:id="rId4" w:history="1">
        <w:r w:rsidRPr="009264BB">
          <w:rPr>
            <w:rStyle w:val="Hyperlink"/>
            <w:rFonts w:ascii="Arial" w:hAnsi="Arial" w:cs="Arial"/>
          </w:rPr>
          <w:t>https://www.ercot.com/services/comm/mkt_notices/M-B062325-01</w:t>
        </w:r>
      </w:hyperlink>
      <w:r w:rsidRPr="009264BB">
        <w:rPr>
          <w:rFonts w:ascii="Arial" w:hAnsi="Arial" w:cs="Arial"/>
        </w:rPr>
        <w:t xml:space="preserve">. </w:t>
      </w:r>
    </w:p>
  </w:footnote>
  <w:footnote w:id="7">
    <w:p w14:paraId="5343A24A"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Id.</w:t>
      </w:r>
      <w:r w:rsidRPr="009264BB">
        <w:rPr>
          <w:rFonts w:ascii="Arial" w:hAnsi="Arial" w:cs="Arial"/>
        </w:rPr>
        <w:t xml:space="preserve">; </w:t>
      </w:r>
      <w:r w:rsidRPr="009264BB">
        <w:rPr>
          <w:rFonts w:ascii="Arial" w:hAnsi="Arial" w:cs="Arial"/>
          <w:i/>
          <w:iCs/>
        </w:rPr>
        <w:t>see also</w:t>
      </w:r>
      <w:r w:rsidRPr="009264BB">
        <w:rPr>
          <w:rFonts w:ascii="Arial" w:hAnsi="Arial" w:cs="Arial"/>
        </w:rPr>
        <w:t xml:space="preserve"> </w:t>
      </w:r>
      <w:r w:rsidRPr="00E92C4D">
        <w:rPr>
          <w:rFonts w:ascii="Arial" w:hAnsi="Arial" w:cs="Arial"/>
          <w:i/>
          <w:iCs/>
        </w:rPr>
        <w:t>ERCOT LEL Ride Through Criteria</w:t>
      </w:r>
      <w:r w:rsidRPr="009264BB">
        <w:rPr>
          <w:rFonts w:ascii="Arial" w:hAnsi="Arial" w:cs="Arial"/>
        </w:rPr>
        <w:t xml:space="preserve"> (July 11, 2025), </w:t>
      </w:r>
      <w:hyperlink r:id="rId5" w:history="1">
        <w:r w:rsidRPr="009264BB">
          <w:rPr>
            <w:rStyle w:val="Hyperlink"/>
            <w:rFonts w:ascii="Arial" w:hAnsi="Arial" w:cs="Arial"/>
          </w:rPr>
          <w:t>https://www.ercot.com/files/docs/2025/07/11/ERCOT-LEL-Ride-Through-Criteria_LLWG-final.pptx</w:t>
        </w:r>
      </w:hyperlink>
      <w:r w:rsidRPr="009264BB">
        <w:rPr>
          <w:rFonts w:ascii="Arial" w:hAnsi="Arial" w:cs="Arial"/>
        </w:rPr>
        <w:t>.</w:t>
      </w:r>
    </w:p>
  </w:footnote>
  <w:footnote w:id="8">
    <w:p w14:paraId="64B5D8F5" w14:textId="0F9D9739"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Load Loss Threshold Analysis</w:t>
      </w:r>
      <w:r w:rsidRPr="009264BB">
        <w:rPr>
          <w:rFonts w:ascii="Arial" w:hAnsi="Arial" w:cs="Arial"/>
        </w:rPr>
        <w:t xml:space="preserve">, slide 5 (Dec. 11, 2025), </w:t>
      </w:r>
      <w:hyperlink r:id="rId6" w:history="1">
        <w:r w:rsidRPr="009264BB">
          <w:rPr>
            <w:rStyle w:val="Hyperlink"/>
            <w:rFonts w:ascii="Arial" w:hAnsi="Arial" w:cs="Arial"/>
          </w:rPr>
          <w:t>https://www.ercot.com/files/docs/2025/12/10/Status-Update_Evaluation-of-Voltage-Ride-Through-Requirement-Dec-11-LLWG.pdf</w:t>
        </w:r>
      </w:hyperlink>
      <w:r w:rsidRPr="009264BB">
        <w:rPr>
          <w:rFonts w:ascii="Arial" w:hAnsi="Arial" w:cs="Arial"/>
        </w:rPr>
        <w:t xml:space="preserve">. </w:t>
      </w:r>
    </w:p>
  </w:footnote>
  <w:footnote w:id="9">
    <w:p w14:paraId="2F51144F"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 xml:space="preserve">Interconnection and Grid Analysis Update to ERCOT Board of Directors, slide 9 (April 13, 2026),  </w:t>
      </w:r>
      <w:hyperlink r:id="rId7" w:history="1">
        <w:r w:rsidRPr="009264BB">
          <w:rPr>
            <w:rStyle w:val="Hyperlink"/>
            <w:rFonts w:ascii="Arial" w:hAnsi="Arial" w:cs="Arial"/>
          </w:rPr>
          <w:t>https://www.ercot.com/files/docs/2026/04/13/9-Interconnection-and-Grid-Analysis-Update.pdf</w:t>
        </w:r>
      </w:hyperlink>
      <w:r w:rsidRPr="009264BB">
        <w:rPr>
          <w:rFonts w:ascii="Arial" w:hAnsi="Arial" w:cs="Arial"/>
        </w:rPr>
        <w:t xml:space="preserve">. </w:t>
      </w:r>
    </w:p>
  </w:footnote>
  <w:footnote w:id="10">
    <w:p w14:paraId="5484E45A"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See</w:t>
      </w:r>
      <w:r w:rsidRPr="009264BB">
        <w:rPr>
          <w:rFonts w:ascii="Arial" w:hAnsi="Arial" w:cs="Arial"/>
        </w:rPr>
        <w:t xml:space="preserve"> </w:t>
      </w:r>
      <w:r w:rsidRPr="009264BB">
        <w:rPr>
          <w:rFonts w:ascii="Arial" w:hAnsi="Arial" w:cs="Arial"/>
          <w:i/>
          <w:iCs/>
        </w:rPr>
        <w:t>Status Updates: Effectiveness of Transmission Upgrades in terms of Loss of Load Reduction</w:t>
      </w:r>
      <w:r w:rsidRPr="009264BB">
        <w:rPr>
          <w:rFonts w:ascii="Arial" w:hAnsi="Arial" w:cs="Arial"/>
        </w:rPr>
        <w:t xml:space="preserve"> at 9 (Oct. 24, 2025), </w:t>
      </w:r>
      <w:hyperlink r:id="rId8" w:history="1">
        <w:r w:rsidRPr="009264BB">
          <w:rPr>
            <w:rStyle w:val="Hyperlink"/>
            <w:rFonts w:ascii="Arial" w:hAnsi="Arial" w:cs="Arial"/>
          </w:rPr>
          <w:t>https://www.ercot.com/files/docs/2025/10/21/Status-Update_Effectiveness-of-Transmission-Upgrades-Load-Loss-LLWG-2025-10-24.pdf</w:t>
        </w:r>
      </w:hyperlink>
      <w:r w:rsidRPr="009264BB">
        <w:rPr>
          <w:rFonts w:ascii="Arial" w:hAnsi="Arial" w:cs="Arial"/>
        </w:rPr>
        <w:t>.</w:t>
      </w:r>
      <w:r w:rsidRPr="009264BB">
        <w:rPr>
          <w:rFonts w:ascii="Arial" w:hAnsi="Arial" w:cs="Arial"/>
          <w:i/>
          <w:iCs/>
        </w:rPr>
        <w:t xml:space="preserve"> </w:t>
      </w:r>
    </w:p>
  </w:footnote>
  <w:footnote w:id="11">
    <w:p w14:paraId="09393FBE"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NERC, </w:t>
      </w:r>
      <w:r w:rsidRPr="009264BB">
        <w:rPr>
          <w:rFonts w:ascii="Arial" w:hAnsi="Arial" w:cs="Arial"/>
          <w:i/>
          <w:iCs/>
        </w:rPr>
        <w:t>Level 2 Alert – Industry Recommendation, Large Load Interconnection, Study, Commissioning and Operation</w:t>
      </w:r>
      <w:r w:rsidRPr="009264BB">
        <w:rPr>
          <w:rFonts w:ascii="Arial" w:hAnsi="Arial" w:cs="Arial"/>
        </w:rPr>
        <w:t xml:space="preserve"> at 1 (Sep. 9, 2025), </w:t>
      </w:r>
      <w:hyperlink r:id="rId9" w:history="1">
        <w:r w:rsidRPr="009264BB">
          <w:rPr>
            <w:rStyle w:val="Hyperlink"/>
            <w:rFonts w:ascii="Arial" w:hAnsi="Arial" w:cs="Arial"/>
          </w:rPr>
          <w:t>https://www.nerc.com/globalassets/programs/bpsa/alerts/2025/nerc-alert-level-2--large-loads.pdf</w:t>
        </w:r>
      </w:hyperlink>
      <w:r w:rsidRPr="009264BB">
        <w:rPr>
          <w:rFonts w:ascii="Arial" w:hAnsi="Arial" w:cs="Arial"/>
        </w:rPr>
        <w:t xml:space="preserve">. </w:t>
      </w:r>
    </w:p>
  </w:footnote>
  <w:footnote w:id="12">
    <w:p w14:paraId="744F16D7"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Id.</w:t>
      </w:r>
      <w:r w:rsidRPr="009264BB">
        <w:rPr>
          <w:rFonts w:ascii="Arial" w:hAnsi="Arial" w:cs="Arial"/>
        </w:rPr>
        <w:t xml:space="preserve"> at 1.</w:t>
      </w:r>
    </w:p>
  </w:footnote>
  <w:footnote w:id="13">
    <w:p w14:paraId="192C2680"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 xml:space="preserve">NERC LLWG, </w:t>
      </w:r>
      <w:r w:rsidRPr="009264BB">
        <w:rPr>
          <w:rFonts w:ascii="Arial" w:hAnsi="Arial" w:cs="Arial"/>
          <w:i/>
          <w:iCs/>
        </w:rPr>
        <w:t>Assessment of Gaps in Existing Practices, Requirements, and Reliability Standards for Emerging Loads</w:t>
      </w:r>
      <w:r w:rsidRPr="009264BB">
        <w:rPr>
          <w:rFonts w:ascii="Arial" w:hAnsi="Arial" w:cs="Arial"/>
        </w:rPr>
        <w:t xml:space="preserve"> (March 2026), </w:t>
      </w:r>
      <w:hyperlink r:id="rId10" w:history="1">
        <w:r w:rsidRPr="009264BB">
          <w:rPr>
            <w:rStyle w:val="Hyperlink"/>
            <w:rFonts w:ascii="Arial" w:hAnsi="Arial" w:cs="Arial"/>
          </w:rPr>
          <w:t>https://www.nerc.com/globalassets/initiatives/large-loads-action-plan/llap-quarterly-update-q1-2026.pdf</w:t>
        </w:r>
      </w:hyperlink>
      <w:r w:rsidRPr="009264BB">
        <w:rPr>
          <w:rFonts w:ascii="Arial" w:hAnsi="Arial" w:cs="Arial"/>
        </w:rPr>
        <w:t xml:space="preserve">. </w:t>
      </w:r>
    </w:p>
  </w:footnote>
  <w:footnote w:id="14">
    <w:p w14:paraId="4DCDC1A9" w14:textId="7D389046"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 xml:space="preserve">NERC Standard Authorization Request, </w:t>
      </w:r>
      <w:r w:rsidR="00680D1B">
        <w:rPr>
          <w:rFonts w:ascii="Arial" w:hAnsi="Arial" w:cs="Arial"/>
        </w:rPr>
        <w:t>Project 2026-02 (</w:t>
      </w:r>
      <w:r w:rsidR="00003532">
        <w:rPr>
          <w:rFonts w:ascii="Arial" w:hAnsi="Arial" w:cs="Arial"/>
        </w:rPr>
        <w:t>Accepted Mar</w:t>
      </w:r>
      <w:r w:rsidR="00680D1B">
        <w:rPr>
          <w:rFonts w:ascii="Arial" w:hAnsi="Arial" w:cs="Arial"/>
        </w:rPr>
        <w:t xml:space="preserve">. </w:t>
      </w:r>
      <w:r w:rsidR="00003532">
        <w:rPr>
          <w:rFonts w:ascii="Arial" w:hAnsi="Arial" w:cs="Arial"/>
        </w:rPr>
        <w:t>18</w:t>
      </w:r>
      <w:r w:rsidR="00680D1B">
        <w:rPr>
          <w:rFonts w:ascii="Arial" w:hAnsi="Arial" w:cs="Arial"/>
        </w:rPr>
        <w:t>, 2026) (</w:t>
      </w:r>
      <w:hyperlink r:id="rId11" w:history="1">
        <w:r w:rsidR="00680D1B" w:rsidRPr="00680D1B">
          <w:rPr>
            <w:rStyle w:val="Hyperlink"/>
            <w:rFonts w:ascii="Arial" w:hAnsi="Arial" w:cs="Arial"/>
          </w:rPr>
          <w:t>https://www.nerc.com/globalassets/standards/projects/2026-02/sar-comment-period/2026-02-computational-load-alignment-phase-1-sar_sc-approved.pdf</w:t>
        </w:r>
      </w:hyperlink>
      <w:r w:rsidRPr="009264BB">
        <w:rPr>
          <w:rFonts w:ascii="Arial" w:hAnsi="Arial" w:cs="Arial"/>
        </w:rPr>
        <w:t xml:space="preserve">. </w:t>
      </w:r>
    </w:p>
  </w:footnote>
  <w:footnote w:id="15">
    <w:p w14:paraId="698B3CF8"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ERCOT Operating Guide §§ 2.6.2, 2.6.2.1, 2.6.2.1.1, 2.6.2.2, 2.9.1, 2.9.1.1, 2.9.1.2, 2.9.2.</w:t>
      </w:r>
    </w:p>
  </w:footnote>
  <w:footnote w:id="16">
    <w:p w14:paraId="1DAEE85D"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ERCOT Protocols § 6.5.9.4.2; Nodal Operating Guide § 4.5.3.3.</w:t>
      </w:r>
    </w:p>
  </w:footnote>
  <w:footnote w:id="17">
    <w:p w14:paraId="5A14EB56"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 xml:space="preserve">ERCOT Protocols §§ 3.15, 6.5.7.7.  </w:t>
      </w:r>
    </w:p>
  </w:footnote>
  <w:footnote w:id="18">
    <w:p w14:paraId="6F951AE1"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 xml:space="preserve">ERCOT Protocols § 8.5.1.1; ERCOT Operating Guide §§ 2.2.7, 2.2.8. </w:t>
      </w:r>
    </w:p>
  </w:footnote>
  <w:footnote w:id="19">
    <w:p w14:paraId="4635255F"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ERCOT Operating Guide § 2.6.1.</w:t>
      </w:r>
    </w:p>
  </w:footnote>
  <w:footnote w:id="20">
    <w:p w14:paraId="6E96EC81" w14:textId="21D5E00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M</w:t>
      </w:r>
      <w:r w:rsidRPr="00203B51">
        <w:rPr>
          <w:rFonts w:ascii="Arial" w:hAnsi="Arial" w:cs="Arial"/>
          <w:i/>
          <w:iCs/>
        </w:rPr>
        <w:t>id-Century Ins. Co. of Tex. v. Kidd</w:t>
      </w:r>
      <w:r w:rsidRPr="00203B51">
        <w:rPr>
          <w:rFonts w:ascii="Arial" w:hAnsi="Arial" w:cs="Arial"/>
        </w:rPr>
        <w:t>, 997 S.W.2d 265, 274 (Tex. 1999)</w:t>
      </w:r>
      <w:r w:rsidRPr="009264BB">
        <w:rPr>
          <w:rFonts w:ascii="Arial" w:hAnsi="Arial" w:cs="Arial"/>
        </w:rPr>
        <w:t>.</w:t>
      </w:r>
    </w:p>
  </w:footnote>
  <w:footnote w:id="21">
    <w:p w14:paraId="2EFC0CDF"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See Monsanto Co. v. Cornerstones Mun. Util. Dist.</w:t>
      </w:r>
      <w:r w:rsidRPr="009264BB">
        <w:rPr>
          <w:rFonts w:ascii="Arial" w:hAnsi="Arial" w:cs="Arial"/>
        </w:rPr>
        <w:t>, 865 S.W.2d 937, 940 (Tex. 1993) (Inference that exceeds plain language of statute is “forbidden” when “the legislative intent may be determined from a reasonable interpretation of the statute as written.”).</w:t>
      </w:r>
    </w:p>
  </w:footnote>
  <w:footnote w:id="22">
    <w:p w14:paraId="1686922B"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Tex. Gov’t Code § 311.021(3), (5). </w:t>
      </w:r>
    </w:p>
  </w:footnote>
  <w:footnote w:id="23">
    <w:p w14:paraId="43A23637"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e.g., </w:t>
      </w:r>
      <w:r w:rsidRPr="009264BB">
        <w:rPr>
          <w:rFonts w:ascii="Arial" w:hAnsi="Arial" w:cs="Arial"/>
        </w:rPr>
        <w:t>ERCOT Protocols §§ 6.5.5.2 (telemetry); 6.5.7.9 (compliance with Dispatch Instructions); 16.2.1(10) (WAN capability and Hotline access).</w:t>
      </w:r>
    </w:p>
  </w:footnote>
  <w:footnote w:id="24">
    <w:p w14:paraId="4106B778"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16 Tex. Admin. Code § 25.109(a)(2).</w:t>
      </w:r>
    </w:p>
  </w:footnote>
  <w:footnote w:id="25">
    <w:p w14:paraId="39B9481E"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ERCOT Planning Guide §§ 9.2.2(3), 9.2.3(2), 9.5.1(1)(a)(i), 9.5.1(1)(a)(ii)(A), 9.5.1(1)(a)(ii)(B), 9.5.1(1)(a)(iii), 9.5.1(1)(a)(iv), 9.6(2)(c).</w:t>
      </w:r>
    </w:p>
  </w:footnote>
  <w:footnote w:id="26">
    <w:p w14:paraId="1410725B"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9264BB">
        <w:rPr>
          <w:rFonts w:ascii="Arial" w:hAnsi="Arial" w:cs="Arial"/>
        </w:rPr>
        <w:t>ERCOT Protocols § 6.5.9.4.1(2)(d)</w:t>
      </w:r>
    </w:p>
  </w:footnote>
  <w:footnote w:id="27">
    <w:p w14:paraId="55FFBD29"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Spradlin v. Jim Walter Homes, Inc.</w:t>
      </w:r>
      <w:r w:rsidRPr="009264BB">
        <w:rPr>
          <w:rFonts w:ascii="Arial" w:hAnsi="Arial" w:cs="Arial"/>
        </w:rPr>
        <w:t>, 34 S.W.3d 578, 580 (Tex. 2000) (“We avoid constructions that would render any constitutional provision meaningless or nugatory.”).</w:t>
      </w:r>
    </w:p>
  </w:footnote>
  <w:footnote w:id="28">
    <w:p w14:paraId="4F08BF43"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Tex. S.B. 1929, 88th Leg., Reg. Sess. (2023).</w:t>
      </w:r>
    </w:p>
  </w:footnote>
  <w:footnote w:id="29">
    <w:p w14:paraId="1D9E405D" w14:textId="77777777" w:rsidR="009264BB" w:rsidRPr="009264BB" w:rsidRDefault="009264BB" w:rsidP="009264BB">
      <w:pPr>
        <w:pStyle w:val="FootnoteText"/>
        <w:rPr>
          <w:rFonts w:ascii="Arial" w:hAnsi="Arial" w:cs="Arial"/>
          <w:i/>
          <w:iCs/>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 xml:space="preserve">See </w:t>
      </w:r>
      <w:r w:rsidRPr="005134F9">
        <w:rPr>
          <w:rFonts w:ascii="Arial" w:hAnsi="Arial" w:cs="Arial"/>
          <w:i/>
          <w:iCs/>
        </w:rPr>
        <w:t>Entergy Gulf States, Inc. v. Summers</w:t>
      </w:r>
      <w:r w:rsidRPr="005134F9">
        <w:rPr>
          <w:rFonts w:ascii="Arial" w:hAnsi="Arial" w:cs="Arial"/>
        </w:rPr>
        <w:t>, 282 S.W.3d 433, 443 (Tex. 2009)</w:t>
      </w:r>
      <w:r w:rsidRPr="009264BB">
        <w:rPr>
          <w:rFonts w:ascii="Arial" w:hAnsi="Arial" w:cs="Arial"/>
        </w:rPr>
        <w:t xml:space="preserve"> (“[W]e attach no controlling significance to the Legislature's failure to enact legislation. . . . for the simple reason that it is always perilous to derive the meaning of an adopted provision from another provision deleted in the drafting process.”) (citations omitted).  </w:t>
      </w:r>
      <w:r w:rsidRPr="009264BB">
        <w:rPr>
          <w:rFonts w:ascii="Arial" w:hAnsi="Arial" w:cs="Arial"/>
          <w:i/>
          <w:iCs/>
        </w:rPr>
        <w:br/>
      </w:r>
    </w:p>
    <w:p w14:paraId="5B17ED26" w14:textId="77777777" w:rsidR="009264BB" w:rsidRPr="009264BB" w:rsidRDefault="009264BB" w:rsidP="009264BB">
      <w:pPr>
        <w:pStyle w:val="FootnoteText"/>
        <w:rPr>
          <w:rFonts w:ascii="Arial" w:hAnsi="Arial" w:cs="Arial"/>
          <w:i/>
          <w:iCs/>
        </w:rPr>
      </w:pPr>
    </w:p>
  </w:footnote>
  <w:footnote w:id="30">
    <w:p w14:paraId="3FF1C1F1"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Tex. Gov’t Code § 311.021(5).</w:t>
      </w:r>
    </w:p>
  </w:footnote>
  <w:footnote w:id="31">
    <w:p w14:paraId="38AA0D0C"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Tenet Hospitals Ltd. v. Rivera</w:t>
      </w:r>
      <w:r w:rsidRPr="009264BB">
        <w:rPr>
          <w:rFonts w:ascii="Arial" w:hAnsi="Arial" w:cs="Arial"/>
        </w:rPr>
        <w:t>, 445 S.W.3d 698, 707 (Tex. 2014).</w:t>
      </w:r>
    </w:p>
  </w:footnote>
  <w:footnote w:id="32">
    <w:p w14:paraId="6EC35EAC" w14:textId="77777777" w:rsidR="009264BB" w:rsidRPr="009264BB" w:rsidRDefault="009264BB" w:rsidP="009264BB">
      <w:pPr>
        <w:pStyle w:val="FootnoteText"/>
        <w:rPr>
          <w:rFonts w:ascii="Arial" w:hAnsi="Arial" w:cs="Arial"/>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Hogan v. S. Methodist Univ.</w:t>
      </w:r>
      <w:r w:rsidRPr="009264BB">
        <w:rPr>
          <w:rFonts w:ascii="Arial" w:hAnsi="Arial" w:cs="Arial"/>
        </w:rPr>
        <w:t xml:space="preserve">, 688 S.W.3d 852, 859-860 (Tex. 2024); </w:t>
      </w:r>
      <w:r w:rsidRPr="009264BB">
        <w:rPr>
          <w:rFonts w:ascii="Arial" w:hAnsi="Arial" w:cs="Arial"/>
          <w:i/>
          <w:iCs/>
        </w:rPr>
        <w:t>Robinson v. Crown Cork &amp; Seal Co.</w:t>
      </w:r>
      <w:r w:rsidRPr="009264BB">
        <w:rPr>
          <w:rFonts w:ascii="Arial" w:hAnsi="Arial" w:cs="Arial"/>
        </w:rPr>
        <w:t>, 335 S.W.3d 126, 145 (Tex. 2010).</w:t>
      </w:r>
    </w:p>
  </w:footnote>
  <w:footnote w:id="33">
    <w:p w14:paraId="5813DA1A" w14:textId="27C5F460" w:rsidR="009264BB" w:rsidRPr="009264BB" w:rsidRDefault="009264BB" w:rsidP="009264BB">
      <w:pPr>
        <w:pStyle w:val="FootnoteText"/>
        <w:rPr>
          <w:rFonts w:ascii="Arial" w:hAnsi="Arial" w:cs="Arial"/>
          <w:i/>
          <w:iCs/>
        </w:rPr>
      </w:pPr>
      <w:r w:rsidRPr="009264BB">
        <w:rPr>
          <w:rStyle w:val="FootnoteReference"/>
          <w:rFonts w:ascii="Arial" w:hAnsi="Arial" w:cs="Arial"/>
        </w:rPr>
        <w:footnoteRef/>
      </w:r>
      <w:r w:rsidRPr="009264BB">
        <w:rPr>
          <w:rFonts w:ascii="Arial" w:hAnsi="Arial" w:cs="Arial"/>
        </w:rPr>
        <w:t xml:space="preserve"> </w:t>
      </w:r>
      <w:r w:rsidRPr="009264BB">
        <w:rPr>
          <w:rFonts w:ascii="Arial" w:hAnsi="Arial" w:cs="Arial"/>
          <w:i/>
          <w:iCs/>
        </w:rPr>
        <w:t>See</w:t>
      </w:r>
      <w:r w:rsidR="00B3765F">
        <w:rPr>
          <w:rFonts w:ascii="Arial" w:hAnsi="Arial" w:cs="Arial"/>
          <w:i/>
          <w:iCs/>
        </w:rPr>
        <w:t>, e.g.,</w:t>
      </w:r>
      <w:r w:rsidRPr="009264BB">
        <w:rPr>
          <w:rFonts w:ascii="Arial" w:hAnsi="Arial" w:cs="Arial"/>
          <w:i/>
          <w:iCs/>
        </w:rPr>
        <w:t xml:space="preserve"> Hogan</w:t>
      </w:r>
      <w:r w:rsidRPr="009264BB">
        <w:rPr>
          <w:rFonts w:ascii="Arial" w:hAnsi="Arial" w:cs="Arial"/>
        </w:rPr>
        <w:t>, 688 S.W.3d at 860.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BD1"/>
    <w:multiLevelType w:val="hybridMultilevel"/>
    <w:tmpl w:val="CBA8826E"/>
    <w:lvl w:ilvl="0" w:tplc="8668EB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F1444"/>
    <w:multiLevelType w:val="hybridMultilevel"/>
    <w:tmpl w:val="7C821E8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CF7624"/>
    <w:multiLevelType w:val="hybridMultilevel"/>
    <w:tmpl w:val="3B185948"/>
    <w:lvl w:ilvl="0" w:tplc="63FAD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DC5422"/>
    <w:multiLevelType w:val="hybridMultilevel"/>
    <w:tmpl w:val="7C821E82"/>
    <w:lvl w:ilvl="0" w:tplc="D77C3C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991A2D"/>
    <w:multiLevelType w:val="hybridMultilevel"/>
    <w:tmpl w:val="BB9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5"/>
  </w:num>
  <w:num w:numId="3" w16cid:durableId="1433935337">
    <w:abstractNumId w:val="12"/>
  </w:num>
  <w:num w:numId="4" w16cid:durableId="565186876">
    <w:abstractNumId w:val="16"/>
  </w:num>
  <w:num w:numId="5" w16cid:durableId="1573808912">
    <w:abstractNumId w:val="13"/>
  </w:num>
  <w:num w:numId="6" w16cid:durableId="707461393">
    <w:abstractNumId w:val="7"/>
  </w:num>
  <w:num w:numId="7" w16cid:durableId="1337882893">
    <w:abstractNumId w:val="9"/>
  </w:num>
  <w:num w:numId="8" w16cid:durableId="246156608">
    <w:abstractNumId w:val="8"/>
  </w:num>
  <w:num w:numId="9" w16cid:durableId="1076169578">
    <w:abstractNumId w:val="1"/>
  </w:num>
  <w:num w:numId="10" w16cid:durableId="142744790">
    <w:abstractNumId w:val="11"/>
  </w:num>
  <w:num w:numId="11" w16cid:durableId="326638566">
    <w:abstractNumId w:val="2"/>
  </w:num>
  <w:num w:numId="12" w16cid:durableId="2058161903">
    <w:abstractNumId w:val="4"/>
  </w:num>
  <w:num w:numId="13" w16cid:durableId="905838740">
    <w:abstractNumId w:val="10"/>
  </w:num>
  <w:num w:numId="14" w16cid:durableId="62918509">
    <w:abstractNumId w:val="14"/>
  </w:num>
  <w:num w:numId="15" w16cid:durableId="229704241">
    <w:abstractNumId w:val="6"/>
  </w:num>
  <w:num w:numId="16" w16cid:durableId="1903129405">
    <w:abstractNumId w:val="3"/>
  </w:num>
  <w:num w:numId="17" w16cid:durableId="720978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32"/>
    <w:rsid w:val="000035CE"/>
    <w:rsid w:val="00010669"/>
    <w:rsid w:val="00012122"/>
    <w:rsid w:val="000125BC"/>
    <w:rsid w:val="0001621A"/>
    <w:rsid w:val="00021AD1"/>
    <w:rsid w:val="0002318B"/>
    <w:rsid w:val="00024865"/>
    <w:rsid w:val="0003100F"/>
    <w:rsid w:val="00031B8D"/>
    <w:rsid w:val="0003227F"/>
    <w:rsid w:val="00034CF4"/>
    <w:rsid w:val="00034D15"/>
    <w:rsid w:val="00035447"/>
    <w:rsid w:val="00037668"/>
    <w:rsid w:val="00041145"/>
    <w:rsid w:val="000436C5"/>
    <w:rsid w:val="00045879"/>
    <w:rsid w:val="00051136"/>
    <w:rsid w:val="0005539C"/>
    <w:rsid w:val="00061A53"/>
    <w:rsid w:val="00061C3C"/>
    <w:rsid w:val="00062BAE"/>
    <w:rsid w:val="00064C6D"/>
    <w:rsid w:val="000675D6"/>
    <w:rsid w:val="000752E5"/>
    <w:rsid w:val="00075A94"/>
    <w:rsid w:val="00076F9D"/>
    <w:rsid w:val="0007775A"/>
    <w:rsid w:val="00083E78"/>
    <w:rsid w:val="000871C6"/>
    <w:rsid w:val="00091ED5"/>
    <w:rsid w:val="00094727"/>
    <w:rsid w:val="00094B57"/>
    <w:rsid w:val="0009584B"/>
    <w:rsid w:val="000A28D5"/>
    <w:rsid w:val="000A2F31"/>
    <w:rsid w:val="000A73F4"/>
    <w:rsid w:val="000A75BA"/>
    <w:rsid w:val="000B078B"/>
    <w:rsid w:val="000B1C7B"/>
    <w:rsid w:val="000B4EAC"/>
    <w:rsid w:val="000D6BAE"/>
    <w:rsid w:val="000E77D1"/>
    <w:rsid w:val="000F07A2"/>
    <w:rsid w:val="000F38FA"/>
    <w:rsid w:val="000F3CDF"/>
    <w:rsid w:val="000F528C"/>
    <w:rsid w:val="000F5E7C"/>
    <w:rsid w:val="00100892"/>
    <w:rsid w:val="00105BC1"/>
    <w:rsid w:val="00110823"/>
    <w:rsid w:val="00110AAC"/>
    <w:rsid w:val="00113E3B"/>
    <w:rsid w:val="001146F4"/>
    <w:rsid w:val="001157B1"/>
    <w:rsid w:val="00121E0B"/>
    <w:rsid w:val="00122E6E"/>
    <w:rsid w:val="00122FB0"/>
    <w:rsid w:val="00124AD6"/>
    <w:rsid w:val="001258AC"/>
    <w:rsid w:val="0013048B"/>
    <w:rsid w:val="00132855"/>
    <w:rsid w:val="00134827"/>
    <w:rsid w:val="00135135"/>
    <w:rsid w:val="00136A7E"/>
    <w:rsid w:val="0013782E"/>
    <w:rsid w:val="001438D4"/>
    <w:rsid w:val="00146AE7"/>
    <w:rsid w:val="001515E7"/>
    <w:rsid w:val="00151BF3"/>
    <w:rsid w:val="001527A8"/>
    <w:rsid w:val="00152993"/>
    <w:rsid w:val="00152D09"/>
    <w:rsid w:val="0015391A"/>
    <w:rsid w:val="00154C81"/>
    <w:rsid w:val="00155191"/>
    <w:rsid w:val="0015563A"/>
    <w:rsid w:val="00155B51"/>
    <w:rsid w:val="00160C94"/>
    <w:rsid w:val="0016168E"/>
    <w:rsid w:val="00164C04"/>
    <w:rsid w:val="00165B43"/>
    <w:rsid w:val="00166AB7"/>
    <w:rsid w:val="0016749D"/>
    <w:rsid w:val="0016780B"/>
    <w:rsid w:val="00170297"/>
    <w:rsid w:val="00170B05"/>
    <w:rsid w:val="00180756"/>
    <w:rsid w:val="00181404"/>
    <w:rsid w:val="00183025"/>
    <w:rsid w:val="001879C9"/>
    <w:rsid w:val="001904AA"/>
    <w:rsid w:val="001923F1"/>
    <w:rsid w:val="001A227D"/>
    <w:rsid w:val="001A4E89"/>
    <w:rsid w:val="001A52F5"/>
    <w:rsid w:val="001A5D9C"/>
    <w:rsid w:val="001B3C56"/>
    <w:rsid w:val="001B499F"/>
    <w:rsid w:val="001C2C72"/>
    <w:rsid w:val="001C4265"/>
    <w:rsid w:val="001C48E0"/>
    <w:rsid w:val="001C5EDE"/>
    <w:rsid w:val="001C749C"/>
    <w:rsid w:val="001D0797"/>
    <w:rsid w:val="001D1FCB"/>
    <w:rsid w:val="001D2AF1"/>
    <w:rsid w:val="001D4D0B"/>
    <w:rsid w:val="001E2032"/>
    <w:rsid w:val="001E3222"/>
    <w:rsid w:val="001E3C11"/>
    <w:rsid w:val="001E5484"/>
    <w:rsid w:val="001F28A0"/>
    <w:rsid w:val="001F4979"/>
    <w:rsid w:val="001F6700"/>
    <w:rsid w:val="001F6ABC"/>
    <w:rsid w:val="001F7C55"/>
    <w:rsid w:val="001F7E0C"/>
    <w:rsid w:val="002048A9"/>
    <w:rsid w:val="00206FAA"/>
    <w:rsid w:val="002122F7"/>
    <w:rsid w:val="002141B4"/>
    <w:rsid w:val="002225DF"/>
    <w:rsid w:val="00225739"/>
    <w:rsid w:val="00226039"/>
    <w:rsid w:val="002279DD"/>
    <w:rsid w:val="00231862"/>
    <w:rsid w:val="002331B8"/>
    <w:rsid w:val="00235E34"/>
    <w:rsid w:val="00237156"/>
    <w:rsid w:val="00237F13"/>
    <w:rsid w:val="00241AAE"/>
    <w:rsid w:val="00247D4E"/>
    <w:rsid w:val="00252382"/>
    <w:rsid w:val="00252436"/>
    <w:rsid w:val="00252CEC"/>
    <w:rsid w:val="00253AB6"/>
    <w:rsid w:val="00254175"/>
    <w:rsid w:val="00255713"/>
    <w:rsid w:val="002622BD"/>
    <w:rsid w:val="00262779"/>
    <w:rsid w:val="002644F0"/>
    <w:rsid w:val="002653C3"/>
    <w:rsid w:val="00265FD0"/>
    <w:rsid w:val="00265FD1"/>
    <w:rsid w:val="00266360"/>
    <w:rsid w:val="00270308"/>
    <w:rsid w:val="0027046E"/>
    <w:rsid w:val="002708D0"/>
    <w:rsid w:val="00271056"/>
    <w:rsid w:val="002718F9"/>
    <w:rsid w:val="00272BC7"/>
    <w:rsid w:val="002771E6"/>
    <w:rsid w:val="00277278"/>
    <w:rsid w:val="002808FC"/>
    <w:rsid w:val="00281A0A"/>
    <w:rsid w:val="00284194"/>
    <w:rsid w:val="00285C51"/>
    <w:rsid w:val="00286C3B"/>
    <w:rsid w:val="0028720A"/>
    <w:rsid w:val="0029384A"/>
    <w:rsid w:val="002A03EF"/>
    <w:rsid w:val="002A19BE"/>
    <w:rsid w:val="002A5350"/>
    <w:rsid w:val="002A60E5"/>
    <w:rsid w:val="002C1C68"/>
    <w:rsid w:val="002C28A4"/>
    <w:rsid w:val="002C3C48"/>
    <w:rsid w:val="002C4635"/>
    <w:rsid w:val="002C55A8"/>
    <w:rsid w:val="002C5CFB"/>
    <w:rsid w:val="002C68C1"/>
    <w:rsid w:val="002D4702"/>
    <w:rsid w:val="002D6C26"/>
    <w:rsid w:val="002E5D84"/>
    <w:rsid w:val="002F236C"/>
    <w:rsid w:val="002F3E7B"/>
    <w:rsid w:val="002F4482"/>
    <w:rsid w:val="002F492A"/>
    <w:rsid w:val="002F6DCD"/>
    <w:rsid w:val="002F6EF7"/>
    <w:rsid w:val="003010C0"/>
    <w:rsid w:val="003014A6"/>
    <w:rsid w:val="00301980"/>
    <w:rsid w:val="00303B88"/>
    <w:rsid w:val="0030434B"/>
    <w:rsid w:val="00304E1D"/>
    <w:rsid w:val="00305F83"/>
    <w:rsid w:val="00310798"/>
    <w:rsid w:val="003112D0"/>
    <w:rsid w:val="00312FDC"/>
    <w:rsid w:val="00315B40"/>
    <w:rsid w:val="00317A9E"/>
    <w:rsid w:val="00320F47"/>
    <w:rsid w:val="00321BC6"/>
    <w:rsid w:val="00324120"/>
    <w:rsid w:val="0032668E"/>
    <w:rsid w:val="00327AF1"/>
    <w:rsid w:val="003308E1"/>
    <w:rsid w:val="003322FD"/>
    <w:rsid w:val="00332A97"/>
    <w:rsid w:val="00332D4B"/>
    <w:rsid w:val="003343EA"/>
    <w:rsid w:val="00336280"/>
    <w:rsid w:val="00340943"/>
    <w:rsid w:val="00342CAE"/>
    <w:rsid w:val="00342D13"/>
    <w:rsid w:val="00343666"/>
    <w:rsid w:val="003449B4"/>
    <w:rsid w:val="003459B2"/>
    <w:rsid w:val="00347A27"/>
    <w:rsid w:val="0035065E"/>
    <w:rsid w:val="00350C00"/>
    <w:rsid w:val="00351388"/>
    <w:rsid w:val="00354DE2"/>
    <w:rsid w:val="0036296E"/>
    <w:rsid w:val="00363AB6"/>
    <w:rsid w:val="00366113"/>
    <w:rsid w:val="00366D77"/>
    <w:rsid w:val="00366FE4"/>
    <w:rsid w:val="00367B86"/>
    <w:rsid w:val="00370699"/>
    <w:rsid w:val="00371879"/>
    <w:rsid w:val="00372173"/>
    <w:rsid w:val="00372B69"/>
    <w:rsid w:val="00375250"/>
    <w:rsid w:val="00376EB9"/>
    <w:rsid w:val="0038446E"/>
    <w:rsid w:val="00384E17"/>
    <w:rsid w:val="00386DF0"/>
    <w:rsid w:val="00391E96"/>
    <w:rsid w:val="0039351D"/>
    <w:rsid w:val="00394097"/>
    <w:rsid w:val="0039429F"/>
    <w:rsid w:val="00397490"/>
    <w:rsid w:val="003A3104"/>
    <w:rsid w:val="003A708F"/>
    <w:rsid w:val="003B0E71"/>
    <w:rsid w:val="003B2F9E"/>
    <w:rsid w:val="003B576D"/>
    <w:rsid w:val="003B6C22"/>
    <w:rsid w:val="003C018A"/>
    <w:rsid w:val="003C270C"/>
    <w:rsid w:val="003C405A"/>
    <w:rsid w:val="003D0994"/>
    <w:rsid w:val="003D2D5B"/>
    <w:rsid w:val="003D4E10"/>
    <w:rsid w:val="003D5578"/>
    <w:rsid w:val="003D59AC"/>
    <w:rsid w:val="003E042F"/>
    <w:rsid w:val="003E5C4F"/>
    <w:rsid w:val="003E5FA9"/>
    <w:rsid w:val="003E6FEA"/>
    <w:rsid w:val="003E77D6"/>
    <w:rsid w:val="003E7D74"/>
    <w:rsid w:val="003F33ED"/>
    <w:rsid w:val="003F4D1C"/>
    <w:rsid w:val="003F7C3B"/>
    <w:rsid w:val="00401B31"/>
    <w:rsid w:val="00402FA3"/>
    <w:rsid w:val="00403E89"/>
    <w:rsid w:val="00403FE3"/>
    <w:rsid w:val="00411936"/>
    <w:rsid w:val="00411A5A"/>
    <w:rsid w:val="00413A4F"/>
    <w:rsid w:val="004154DE"/>
    <w:rsid w:val="00417C21"/>
    <w:rsid w:val="00420789"/>
    <w:rsid w:val="00420800"/>
    <w:rsid w:val="00423824"/>
    <w:rsid w:val="00425D3D"/>
    <w:rsid w:val="00426174"/>
    <w:rsid w:val="00430405"/>
    <w:rsid w:val="0043567D"/>
    <w:rsid w:val="0043699E"/>
    <w:rsid w:val="0044161D"/>
    <w:rsid w:val="00450826"/>
    <w:rsid w:val="00452205"/>
    <w:rsid w:val="0045483C"/>
    <w:rsid w:val="00456453"/>
    <w:rsid w:val="0046162F"/>
    <w:rsid w:val="00463A93"/>
    <w:rsid w:val="00464D37"/>
    <w:rsid w:val="004659FE"/>
    <w:rsid w:val="00472C74"/>
    <w:rsid w:val="004734E6"/>
    <w:rsid w:val="0048180F"/>
    <w:rsid w:val="00481D69"/>
    <w:rsid w:val="00487A53"/>
    <w:rsid w:val="00490F55"/>
    <w:rsid w:val="0049169A"/>
    <w:rsid w:val="00491A9E"/>
    <w:rsid w:val="004962E3"/>
    <w:rsid w:val="004A342E"/>
    <w:rsid w:val="004A3750"/>
    <w:rsid w:val="004A5243"/>
    <w:rsid w:val="004A610D"/>
    <w:rsid w:val="004B6A75"/>
    <w:rsid w:val="004B7B90"/>
    <w:rsid w:val="004C07D1"/>
    <w:rsid w:val="004C4109"/>
    <w:rsid w:val="004C5DA4"/>
    <w:rsid w:val="004D04F4"/>
    <w:rsid w:val="004D1AFA"/>
    <w:rsid w:val="004D37D7"/>
    <w:rsid w:val="004D7695"/>
    <w:rsid w:val="004D7FB5"/>
    <w:rsid w:val="004E06B2"/>
    <w:rsid w:val="004E1E95"/>
    <w:rsid w:val="004E2C19"/>
    <w:rsid w:val="004E3A5D"/>
    <w:rsid w:val="004E7E4C"/>
    <w:rsid w:val="005011EA"/>
    <w:rsid w:val="005015C7"/>
    <w:rsid w:val="00507C3F"/>
    <w:rsid w:val="00522C07"/>
    <w:rsid w:val="00530448"/>
    <w:rsid w:val="005307AF"/>
    <w:rsid w:val="0053428C"/>
    <w:rsid w:val="0053541D"/>
    <w:rsid w:val="0053547B"/>
    <w:rsid w:val="00535B1F"/>
    <w:rsid w:val="0054018D"/>
    <w:rsid w:val="00541769"/>
    <w:rsid w:val="00542350"/>
    <w:rsid w:val="0055032D"/>
    <w:rsid w:val="00553971"/>
    <w:rsid w:val="00553D08"/>
    <w:rsid w:val="00560BA7"/>
    <w:rsid w:val="00562220"/>
    <w:rsid w:val="005668A6"/>
    <w:rsid w:val="00567EC7"/>
    <w:rsid w:val="0057464D"/>
    <w:rsid w:val="0057468B"/>
    <w:rsid w:val="00576F34"/>
    <w:rsid w:val="00580500"/>
    <w:rsid w:val="00583AE5"/>
    <w:rsid w:val="00592417"/>
    <w:rsid w:val="00592E1C"/>
    <w:rsid w:val="005955CE"/>
    <w:rsid w:val="005A09B0"/>
    <w:rsid w:val="005A719E"/>
    <w:rsid w:val="005B0A49"/>
    <w:rsid w:val="005B3956"/>
    <w:rsid w:val="005B3A3F"/>
    <w:rsid w:val="005B47BF"/>
    <w:rsid w:val="005B63BC"/>
    <w:rsid w:val="005B7C4A"/>
    <w:rsid w:val="005C2D82"/>
    <w:rsid w:val="005C2EDD"/>
    <w:rsid w:val="005C49C5"/>
    <w:rsid w:val="005C4FB3"/>
    <w:rsid w:val="005C5E9C"/>
    <w:rsid w:val="005C697B"/>
    <w:rsid w:val="005D284C"/>
    <w:rsid w:val="005D4627"/>
    <w:rsid w:val="005D4A74"/>
    <w:rsid w:val="005D773C"/>
    <w:rsid w:val="005E06A8"/>
    <w:rsid w:val="005F27B0"/>
    <w:rsid w:val="005F3D43"/>
    <w:rsid w:val="005F4728"/>
    <w:rsid w:val="005F74B9"/>
    <w:rsid w:val="005F7744"/>
    <w:rsid w:val="006021A0"/>
    <w:rsid w:val="00606001"/>
    <w:rsid w:val="00612460"/>
    <w:rsid w:val="0061271E"/>
    <w:rsid w:val="0061750E"/>
    <w:rsid w:val="00623AD1"/>
    <w:rsid w:val="006272FD"/>
    <w:rsid w:val="00633E23"/>
    <w:rsid w:val="006343D8"/>
    <w:rsid w:val="0063574E"/>
    <w:rsid w:val="00635E06"/>
    <w:rsid w:val="00636EAF"/>
    <w:rsid w:val="00637F68"/>
    <w:rsid w:val="0064452B"/>
    <w:rsid w:val="006469E6"/>
    <w:rsid w:val="00651549"/>
    <w:rsid w:val="00653DD6"/>
    <w:rsid w:val="00656618"/>
    <w:rsid w:val="006575BF"/>
    <w:rsid w:val="00657949"/>
    <w:rsid w:val="00663716"/>
    <w:rsid w:val="0066751B"/>
    <w:rsid w:val="006714CF"/>
    <w:rsid w:val="00673B94"/>
    <w:rsid w:val="0067477F"/>
    <w:rsid w:val="00674B3A"/>
    <w:rsid w:val="00675EF4"/>
    <w:rsid w:val="00676891"/>
    <w:rsid w:val="00676F51"/>
    <w:rsid w:val="00680AC6"/>
    <w:rsid w:val="00680D1B"/>
    <w:rsid w:val="006810B2"/>
    <w:rsid w:val="006835D8"/>
    <w:rsid w:val="00685E0D"/>
    <w:rsid w:val="00687DC4"/>
    <w:rsid w:val="006911FC"/>
    <w:rsid w:val="00691323"/>
    <w:rsid w:val="0069193F"/>
    <w:rsid w:val="00697062"/>
    <w:rsid w:val="006A162E"/>
    <w:rsid w:val="006A5996"/>
    <w:rsid w:val="006A59EF"/>
    <w:rsid w:val="006A63FB"/>
    <w:rsid w:val="006B60AD"/>
    <w:rsid w:val="006C0142"/>
    <w:rsid w:val="006C0F02"/>
    <w:rsid w:val="006C316E"/>
    <w:rsid w:val="006C4ABD"/>
    <w:rsid w:val="006C6AA0"/>
    <w:rsid w:val="006D0F7C"/>
    <w:rsid w:val="006D43A8"/>
    <w:rsid w:val="006D5B1B"/>
    <w:rsid w:val="006E0FB3"/>
    <w:rsid w:val="006E1B76"/>
    <w:rsid w:val="006F05EE"/>
    <w:rsid w:val="006F0EA4"/>
    <w:rsid w:val="00702A6A"/>
    <w:rsid w:val="00702DD9"/>
    <w:rsid w:val="00703344"/>
    <w:rsid w:val="00704132"/>
    <w:rsid w:val="007071E9"/>
    <w:rsid w:val="00724D19"/>
    <w:rsid w:val="00725240"/>
    <w:rsid w:val="007269C4"/>
    <w:rsid w:val="00726AFA"/>
    <w:rsid w:val="00726C9E"/>
    <w:rsid w:val="007274F2"/>
    <w:rsid w:val="0073123D"/>
    <w:rsid w:val="007320B7"/>
    <w:rsid w:val="00734EAF"/>
    <w:rsid w:val="00736DB0"/>
    <w:rsid w:val="007404EC"/>
    <w:rsid w:val="007409E9"/>
    <w:rsid w:val="0074209E"/>
    <w:rsid w:val="00745EBF"/>
    <w:rsid w:val="00750C71"/>
    <w:rsid w:val="00751B3E"/>
    <w:rsid w:val="00752FD0"/>
    <w:rsid w:val="00760064"/>
    <w:rsid w:val="007647A8"/>
    <w:rsid w:val="00766D6D"/>
    <w:rsid w:val="007754D0"/>
    <w:rsid w:val="0078672C"/>
    <w:rsid w:val="00794477"/>
    <w:rsid w:val="0079633F"/>
    <w:rsid w:val="0079712F"/>
    <w:rsid w:val="007A08E2"/>
    <w:rsid w:val="007A2B17"/>
    <w:rsid w:val="007A4474"/>
    <w:rsid w:val="007A5388"/>
    <w:rsid w:val="007A6FC2"/>
    <w:rsid w:val="007A78EC"/>
    <w:rsid w:val="007B045B"/>
    <w:rsid w:val="007B22F7"/>
    <w:rsid w:val="007B564B"/>
    <w:rsid w:val="007B5714"/>
    <w:rsid w:val="007B6E6B"/>
    <w:rsid w:val="007B7956"/>
    <w:rsid w:val="007C0C68"/>
    <w:rsid w:val="007C1758"/>
    <w:rsid w:val="007C7C9D"/>
    <w:rsid w:val="007D23E4"/>
    <w:rsid w:val="007D622D"/>
    <w:rsid w:val="007E062C"/>
    <w:rsid w:val="007E0652"/>
    <w:rsid w:val="007F1F07"/>
    <w:rsid w:val="007F2CA8"/>
    <w:rsid w:val="007F4D61"/>
    <w:rsid w:val="007F7161"/>
    <w:rsid w:val="0080425D"/>
    <w:rsid w:val="008060CA"/>
    <w:rsid w:val="00815650"/>
    <w:rsid w:val="00822E89"/>
    <w:rsid w:val="00823534"/>
    <w:rsid w:val="0082735A"/>
    <w:rsid w:val="008357E2"/>
    <w:rsid w:val="00835FF1"/>
    <w:rsid w:val="0084038B"/>
    <w:rsid w:val="00847170"/>
    <w:rsid w:val="008546F6"/>
    <w:rsid w:val="00854AF6"/>
    <w:rsid w:val="00855022"/>
    <w:rsid w:val="0085559E"/>
    <w:rsid w:val="00855E38"/>
    <w:rsid w:val="00860166"/>
    <w:rsid w:val="008641B3"/>
    <w:rsid w:val="00867503"/>
    <w:rsid w:val="00872233"/>
    <w:rsid w:val="008728A2"/>
    <w:rsid w:val="00881763"/>
    <w:rsid w:val="00886D47"/>
    <w:rsid w:val="0089272D"/>
    <w:rsid w:val="00894191"/>
    <w:rsid w:val="008949AD"/>
    <w:rsid w:val="00896B1B"/>
    <w:rsid w:val="008A233D"/>
    <w:rsid w:val="008A4E3E"/>
    <w:rsid w:val="008B449B"/>
    <w:rsid w:val="008B4738"/>
    <w:rsid w:val="008B68AA"/>
    <w:rsid w:val="008D1321"/>
    <w:rsid w:val="008D3EB5"/>
    <w:rsid w:val="008D4464"/>
    <w:rsid w:val="008D577A"/>
    <w:rsid w:val="008E26AF"/>
    <w:rsid w:val="008E559E"/>
    <w:rsid w:val="008F503E"/>
    <w:rsid w:val="008F54D6"/>
    <w:rsid w:val="0090150A"/>
    <w:rsid w:val="00902E20"/>
    <w:rsid w:val="009065CD"/>
    <w:rsid w:val="009109A8"/>
    <w:rsid w:val="00911589"/>
    <w:rsid w:val="00913AE7"/>
    <w:rsid w:val="009141FE"/>
    <w:rsid w:val="00916080"/>
    <w:rsid w:val="00917738"/>
    <w:rsid w:val="00921A68"/>
    <w:rsid w:val="00925A65"/>
    <w:rsid w:val="009264BB"/>
    <w:rsid w:val="009272CA"/>
    <w:rsid w:val="00927E9B"/>
    <w:rsid w:val="00931CC3"/>
    <w:rsid w:val="00933938"/>
    <w:rsid w:val="00933BF9"/>
    <w:rsid w:val="00934682"/>
    <w:rsid w:val="00943877"/>
    <w:rsid w:val="0095318B"/>
    <w:rsid w:val="00953C81"/>
    <w:rsid w:val="0095598F"/>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034A"/>
    <w:rsid w:val="009A1479"/>
    <w:rsid w:val="009A3C5C"/>
    <w:rsid w:val="009A5690"/>
    <w:rsid w:val="009A572E"/>
    <w:rsid w:val="009A5C52"/>
    <w:rsid w:val="009A5EDE"/>
    <w:rsid w:val="009B5861"/>
    <w:rsid w:val="009B6396"/>
    <w:rsid w:val="009B759E"/>
    <w:rsid w:val="009C1F0B"/>
    <w:rsid w:val="009C2943"/>
    <w:rsid w:val="009C594E"/>
    <w:rsid w:val="009C5D63"/>
    <w:rsid w:val="009D2166"/>
    <w:rsid w:val="009D2205"/>
    <w:rsid w:val="009D26F5"/>
    <w:rsid w:val="009D4111"/>
    <w:rsid w:val="009D6B1E"/>
    <w:rsid w:val="009D76BA"/>
    <w:rsid w:val="009E0036"/>
    <w:rsid w:val="009E20B7"/>
    <w:rsid w:val="009E28F4"/>
    <w:rsid w:val="009E6029"/>
    <w:rsid w:val="009F32A0"/>
    <w:rsid w:val="009F37CD"/>
    <w:rsid w:val="009F3995"/>
    <w:rsid w:val="009F6B6C"/>
    <w:rsid w:val="00A015C4"/>
    <w:rsid w:val="00A02783"/>
    <w:rsid w:val="00A067B2"/>
    <w:rsid w:val="00A15069"/>
    <w:rsid w:val="00A15172"/>
    <w:rsid w:val="00A21755"/>
    <w:rsid w:val="00A25813"/>
    <w:rsid w:val="00A258A6"/>
    <w:rsid w:val="00A30E51"/>
    <w:rsid w:val="00A30FA4"/>
    <w:rsid w:val="00A332C8"/>
    <w:rsid w:val="00A34F5E"/>
    <w:rsid w:val="00A35A45"/>
    <w:rsid w:val="00A36028"/>
    <w:rsid w:val="00A3653E"/>
    <w:rsid w:val="00A37374"/>
    <w:rsid w:val="00A408ED"/>
    <w:rsid w:val="00A42D6E"/>
    <w:rsid w:val="00A44C1F"/>
    <w:rsid w:val="00A45348"/>
    <w:rsid w:val="00A46E24"/>
    <w:rsid w:val="00A477D3"/>
    <w:rsid w:val="00A534B8"/>
    <w:rsid w:val="00A61B82"/>
    <w:rsid w:val="00A6248B"/>
    <w:rsid w:val="00A74F10"/>
    <w:rsid w:val="00A804F6"/>
    <w:rsid w:val="00A814B2"/>
    <w:rsid w:val="00A83897"/>
    <w:rsid w:val="00A90B30"/>
    <w:rsid w:val="00A96077"/>
    <w:rsid w:val="00A965DD"/>
    <w:rsid w:val="00A96D52"/>
    <w:rsid w:val="00AA59FF"/>
    <w:rsid w:val="00AB1728"/>
    <w:rsid w:val="00AC1CA7"/>
    <w:rsid w:val="00AC31FB"/>
    <w:rsid w:val="00AC445F"/>
    <w:rsid w:val="00AC53B9"/>
    <w:rsid w:val="00AC59CF"/>
    <w:rsid w:val="00AC7A7B"/>
    <w:rsid w:val="00AC7CE4"/>
    <w:rsid w:val="00AD01AD"/>
    <w:rsid w:val="00AD0AB4"/>
    <w:rsid w:val="00AD28B0"/>
    <w:rsid w:val="00AD4033"/>
    <w:rsid w:val="00AE102C"/>
    <w:rsid w:val="00AE1C34"/>
    <w:rsid w:val="00AE5ED3"/>
    <w:rsid w:val="00AE6DA2"/>
    <w:rsid w:val="00AF00F1"/>
    <w:rsid w:val="00AF09DF"/>
    <w:rsid w:val="00AF5206"/>
    <w:rsid w:val="00AF78D5"/>
    <w:rsid w:val="00B02286"/>
    <w:rsid w:val="00B02C03"/>
    <w:rsid w:val="00B02CE7"/>
    <w:rsid w:val="00B064C3"/>
    <w:rsid w:val="00B07A9B"/>
    <w:rsid w:val="00B14469"/>
    <w:rsid w:val="00B153CA"/>
    <w:rsid w:val="00B16431"/>
    <w:rsid w:val="00B17A80"/>
    <w:rsid w:val="00B21B79"/>
    <w:rsid w:val="00B23221"/>
    <w:rsid w:val="00B25A76"/>
    <w:rsid w:val="00B26647"/>
    <w:rsid w:val="00B33FA9"/>
    <w:rsid w:val="00B3765F"/>
    <w:rsid w:val="00B4193D"/>
    <w:rsid w:val="00B42FCF"/>
    <w:rsid w:val="00B440BA"/>
    <w:rsid w:val="00B449E6"/>
    <w:rsid w:val="00B46F69"/>
    <w:rsid w:val="00B62703"/>
    <w:rsid w:val="00B62A4C"/>
    <w:rsid w:val="00B633AF"/>
    <w:rsid w:val="00B64CA9"/>
    <w:rsid w:val="00B702CA"/>
    <w:rsid w:val="00B7124E"/>
    <w:rsid w:val="00B72E69"/>
    <w:rsid w:val="00B7733C"/>
    <w:rsid w:val="00B802E1"/>
    <w:rsid w:val="00B81CCB"/>
    <w:rsid w:val="00B940E0"/>
    <w:rsid w:val="00B959F0"/>
    <w:rsid w:val="00B976E9"/>
    <w:rsid w:val="00BA51A8"/>
    <w:rsid w:val="00BB2205"/>
    <w:rsid w:val="00BC0877"/>
    <w:rsid w:val="00BC37AB"/>
    <w:rsid w:val="00BC78DD"/>
    <w:rsid w:val="00BD0EF2"/>
    <w:rsid w:val="00BD1515"/>
    <w:rsid w:val="00BD49E2"/>
    <w:rsid w:val="00BD529C"/>
    <w:rsid w:val="00BE04A3"/>
    <w:rsid w:val="00BE0B7A"/>
    <w:rsid w:val="00BE63C6"/>
    <w:rsid w:val="00BE6E64"/>
    <w:rsid w:val="00BF466E"/>
    <w:rsid w:val="00BF4FD6"/>
    <w:rsid w:val="00BF5E63"/>
    <w:rsid w:val="00C02CB6"/>
    <w:rsid w:val="00C0598D"/>
    <w:rsid w:val="00C06A18"/>
    <w:rsid w:val="00C0745D"/>
    <w:rsid w:val="00C11956"/>
    <w:rsid w:val="00C15825"/>
    <w:rsid w:val="00C158EE"/>
    <w:rsid w:val="00C17AB3"/>
    <w:rsid w:val="00C26341"/>
    <w:rsid w:val="00C269CE"/>
    <w:rsid w:val="00C314C6"/>
    <w:rsid w:val="00C32EE2"/>
    <w:rsid w:val="00C3432B"/>
    <w:rsid w:val="00C34634"/>
    <w:rsid w:val="00C43C65"/>
    <w:rsid w:val="00C46360"/>
    <w:rsid w:val="00C507C4"/>
    <w:rsid w:val="00C53804"/>
    <w:rsid w:val="00C551F4"/>
    <w:rsid w:val="00C567D4"/>
    <w:rsid w:val="00C602E5"/>
    <w:rsid w:val="00C6197E"/>
    <w:rsid w:val="00C61F51"/>
    <w:rsid w:val="00C62297"/>
    <w:rsid w:val="00C63C17"/>
    <w:rsid w:val="00C70EC3"/>
    <w:rsid w:val="00C71C8A"/>
    <w:rsid w:val="00C748FD"/>
    <w:rsid w:val="00C74B8D"/>
    <w:rsid w:val="00C82F75"/>
    <w:rsid w:val="00C83FF4"/>
    <w:rsid w:val="00C84CDF"/>
    <w:rsid w:val="00C853CC"/>
    <w:rsid w:val="00C856FC"/>
    <w:rsid w:val="00C869D7"/>
    <w:rsid w:val="00C87CD6"/>
    <w:rsid w:val="00C9018E"/>
    <w:rsid w:val="00C91A9F"/>
    <w:rsid w:val="00C91B37"/>
    <w:rsid w:val="00CA1692"/>
    <w:rsid w:val="00CA397C"/>
    <w:rsid w:val="00CA40C0"/>
    <w:rsid w:val="00CA536C"/>
    <w:rsid w:val="00CC4619"/>
    <w:rsid w:val="00CC4673"/>
    <w:rsid w:val="00CC5ED1"/>
    <w:rsid w:val="00CC7862"/>
    <w:rsid w:val="00CD37D3"/>
    <w:rsid w:val="00CD3981"/>
    <w:rsid w:val="00CE2C93"/>
    <w:rsid w:val="00CE38FF"/>
    <w:rsid w:val="00CE40EE"/>
    <w:rsid w:val="00CE5968"/>
    <w:rsid w:val="00CF0568"/>
    <w:rsid w:val="00CF7301"/>
    <w:rsid w:val="00D01797"/>
    <w:rsid w:val="00D044E6"/>
    <w:rsid w:val="00D061F7"/>
    <w:rsid w:val="00D065DF"/>
    <w:rsid w:val="00D15085"/>
    <w:rsid w:val="00D155EB"/>
    <w:rsid w:val="00D16267"/>
    <w:rsid w:val="00D16CC6"/>
    <w:rsid w:val="00D205FE"/>
    <w:rsid w:val="00D2066D"/>
    <w:rsid w:val="00D21416"/>
    <w:rsid w:val="00D21E1F"/>
    <w:rsid w:val="00D228DB"/>
    <w:rsid w:val="00D24DCF"/>
    <w:rsid w:val="00D26AF0"/>
    <w:rsid w:val="00D4046E"/>
    <w:rsid w:val="00D42C2F"/>
    <w:rsid w:val="00D42F2A"/>
    <w:rsid w:val="00D43FB0"/>
    <w:rsid w:val="00D45AA1"/>
    <w:rsid w:val="00D46EB7"/>
    <w:rsid w:val="00D46F93"/>
    <w:rsid w:val="00D51D73"/>
    <w:rsid w:val="00D53825"/>
    <w:rsid w:val="00D548FC"/>
    <w:rsid w:val="00D6025E"/>
    <w:rsid w:val="00D653C3"/>
    <w:rsid w:val="00D7254B"/>
    <w:rsid w:val="00D72A9C"/>
    <w:rsid w:val="00D81948"/>
    <w:rsid w:val="00D8215C"/>
    <w:rsid w:val="00D825C5"/>
    <w:rsid w:val="00D833D2"/>
    <w:rsid w:val="00D842CF"/>
    <w:rsid w:val="00D90575"/>
    <w:rsid w:val="00D936CC"/>
    <w:rsid w:val="00D95EE6"/>
    <w:rsid w:val="00DA0326"/>
    <w:rsid w:val="00DA2CBE"/>
    <w:rsid w:val="00DA4C1A"/>
    <w:rsid w:val="00DB1624"/>
    <w:rsid w:val="00DB3E32"/>
    <w:rsid w:val="00DB4151"/>
    <w:rsid w:val="00DB4C6D"/>
    <w:rsid w:val="00DB72D9"/>
    <w:rsid w:val="00DC015F"/>
    <w:rsid w:val="00DC1607"/>
    <w:rsid w:val="00DC3277"/>
    <w:rsid w:val="00DC4F7B"/>
    <w:rsid w:val="00DC6FBB"/>
    <w:rsid w:val="00DD0824"/>
    <w:rsid w:val="00DD181F"/>
    <w:rsid w:val="00DD4305"/>
    <w:rsid w:val="00DD4739"/>
    <w:rsid w:val="00DE1328"/>
    <w:rsid w:val="00DE1975"/>
    <w:rsid w:val="00DE2D1F"/>
    <w:rsid w:val="00DE3D72"/>
    <w:rsid w:val="00DE3E1F"/>
    <w:rsid w:val="00DE5F33"/>
    <w:rsid w:val="00DF1B9B"/>
    <w:rsid w:val="00DF330B"/>
    <w:rsid w:val="00DF7CE4"/>
    <w:rsid w:val="00E02ACC"/>
    <w:rsid w:val="00E0469F"/>
    <w:rsid w:val="00E0676D"/>
    <w:rsid w:val="00E07B54"/>
    <w:rsid w:val="00E10914"/>
    <w:rsid w:val="00E11F78"/>
    <w:rsid w:val="00E12B0C"/>
    <w:rsid w:val="00E14695"/>
    <w:rsid w:val="00E15DD0"/>
    <w:rsid w:val="00E16775"/>
    <w:rsid w:val="00E206B5"/>
    <w:rsid w:val="00E251E2"/>
    <w:rsid w:val="00E27814"/>
    <w:rsid w:val="00E310D1"/>
    <w:rsid w:val="00E31DC8"/>
    <w:rsid w:val="00E322AE"/>
    <w:rsid w:val="00E33C52"/>
    <w:rsid w:val="00E3669F"/>
    <w:rsid w:val="00E4039D"/>
    <w:rsid w:val="00E43463"/>
    <w:rsid w:val="00E45E04"/>
    <w:rsid w:val="00E46938"/>
    <w:rsid w:val="00E475B8"/>
    <w:rsid w:val="00E5102D"/>
    <w:rsid w:val="00E518BA"/>
    <w:rsid w:val="00E53B3C"/>
    <w:rsid w:val="00E54AA4"/>
    <w:rsid w:val="00E56C25"/>
    <w:rsid w:val="00E61090"/>
    <w:rsid w:val="00E621E1"/>
    <w:rsid w:val="00E63F7B"/>
    <w:rsid w:val="00E65D3E"/>
    <w:rsid w:val="00E72E35"/>
    <w:rsid w:val="00E75B57"/>
    <w:rsid w:val="00E75E9F"/>
    <w:rsid w:val="00E76962"/>
    <w:rsid w:val="00E80523"/>
    <w:rsid w:val="00E831D9"/>
    <w:rsid w:val="00E84955"/>
    <w:rsid w:val="00E92C4D"/>
    <w:rsid w:val="00E97DAF"/>
    <w:rsid w:val="00EA09B7"/>
    <w:rsid w:val="00EA32EE"/>
    <w:rsid w:val="00EA5120"/>
    <w:rsid w:val="00EA6BA1"/>
    <w:rsid w:val="00EB09A4"/>
    <w:rsid w:val="00EC1971"/>
    <w:rsid w:val="00EC55B3"/>
    <w:rsid w:val="00ED0FD0"/>
    <w:rsid w:val="00ED21A0"/>
    <w:rsid w:val="00ED520D"/>
    <w:rsid w:val="00EE2B35"/>
    <w:rsid w:val="00EE47A2"/>
    <w:rsid w:val="00EE5A0D"/>
    <w:rsid w:val="00EE5A14"/>
    <w:rsid w:val="00EF35DA"/>
    <w:rsid w:val="00EF390B"/>
    <w:rsid w:val="00EF4503"/>
    <w:rsid w:val="00EF5087"/>
    <w:rsid w:val="00EF5A9B"/>
    <w:rsid w:val="00EF658B"/>
    <w:rsid w:val="00EF795D"/>
    <w:rsid w:val="00EF7C23"/>
    <w:rsid w:val="00F03A62"/>
    <w:rsid w:val="00F0492E"/>
    <w:rsid w:val="00F05633"/>
    <w:rsid w:val="00F118DA"/>
    <w:rsid w:val="00F11D9F"/>
    <w:rsid w:val="00F126E5"/>
    <w:rsid w:val="00F163CC"/>
    <w:rsid w:val="00F16E78"/>
    <w:rsid w:val="00F234AC"/>
    <w:rsid w:val="00F27E0D"/>
    <w:rsid w:val="00F31FE0"/>
    <w:rsid w:val="00F32120"/>
    <w:rsid w:val="00F32E29"/>
    <w:rsid w:val="00F411CE"/>
    <w:rsid w:val="00F4242D"/>
    <w:rsid w:val="00F43482"/>
    <w:rsid w:val="00F51BBA"/>
    <w:rsid w:val="00F53A3B"/>
    <w:rsid w:val="00F61D8C"/>
    <w:rsid w:val="00F652DC"/>
    <w:rsid w:val="00F70FF2"/>
    <w:rsid w:val="00F7285A"/>
    <w:rsid w:val="00F7411B"/>
    <w:rsid w:val="00F74AF4"/>
    <w:rsid w:val="00F76BD9"/>
    <w:rsid w:val="00F76EA4"/>
    <w:rsid w:val="00F83568"/>
    <w:rsid w:val="00F83A8D"/>
    <w:rsid w:val="00F8519A"/>
    <w:rsid w:val="00F8594C"/>
    <w:rsid w:val="00F862F4"/>
    <w:rsid w:val="00F91C0F"/>
    <w:rsid w:val="00F92F2B"/>
    <w:rsid w:val="00F930C5"/>
    <w:rsid w:val="00F96FB2"/>
    <w:rsid w:val="00FA09B6"/>
    <w:rsid w:val="00FA4614"/>
    <w:rsid w:val="00FA6C5A"/>
    <w:rsid w:val="00FB51D8"/>
    <w:rsid w:val="00FB6225"/>
    <w:rsid w:val="00FB6AEA"/>
    <w:rsid w:val="00FC008F"/>
    <w:rsid w:val="00FC3E34"/>
    <w:rsid w:val="00FC63B0"/>
    <w:rsid w:val="00FC65D0"/>
    <w:rsid w:val="00FD08E8"/>
    <w:rsid w:val="00FD3BB7"/>
    <w:rsid w:val="00FD60CA"/>
    <w:rsid w:val="00FD7862"/>
    <w:rsid w:val="00FE025A"/>
    <w:rsid w:val="00FE4551"/>
    <w:rsid w:val="00FE595E"/>
    <w:rsid w:val="00FE5B3D"/>
    <w:rsid w:val="00FE5EBE"/>
    <w:rsid w:val="00FE6603"/>
    <w:rsid w:val="00FE6E23"/>
    <w:rsid w:val="00FE71E5"/>
    <w:rsid w:val="00FF1B0D"/>
    <w:rsid w:val="00FF2327"/>
    <w:rsid w:val="00FF5441"/>
    <w:rsid w:val="067CD3D5"/>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3D856D2E"/>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6323C0"/>
    <w:rsid w:val="6BDB6665"/>
    <w:rsid w:val="6E18A037"/>
    <w:rsid w:val="72E30A77"/>
    <w:rsid w:val="7335C5CC"/>
    <w:rsid w:val="74109C7E"/>
    <w:rsid w:val="7444DEBE"/>
    <w:rsid w:val="7EB9F411"/>
    <w:rsid w:val="7F887AE0"/>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1452AA80-5663-4D52-A788-951402C9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uiPriority w:val="99"/>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uiPriority w:val="99"/>
    <w:rsid w:val="00657949"/>
    <w:rPr>
      <w:sz w:val="20"/>
      <w:szCs w:val="20"/>
    </w:rPr>
  </w:style>
  <w:style w:type="character" w:customStyle="1" w:styleId="FootnoteTextChar">
    <w:name w:val="Footnote Text Char"/>
    <w:basedOn w:val="DefaultParagraphFont"/>
    <w:link w:val="FootnoteText"/>
    <w:uiPriority w:val="99"/>
    <w:rsid w:val="00657949"/>
  </w:style>
  <w:style w:type="character" w:styleId="FootnoteReference">
    <w:name w:val="footnote reference"/>
    <w:basedOn w:val="DefaultParagraphFont"/>
    <w:uiPriority w:val="99"/>
    <w:rsid w:val="00657949"/>
    <w:rPr>
      <w:vertAlign w:val="superscript"/>
    </w:rPr>
  </w:style>
  <w:style w:type="character" w:customStyle="1" w:styleId="Heading1Char">
    <w:name w:val="Heading 1 Char"/>
    <w:aliases w:val="h1 Char"/>
    <w:basedOn w:val="DefaultParagraphFont"/>
    <w:link w:val="Heading1"/>
    <w:uiPriority w:val="9"/>
    <w:rsid w:val="009264BB"/>
    <w:rPr>
      <w:b/>
      <w:caps/>
      <w:sz w:val="24"/>
    </w:rPr>
  </w:style>
  <w:style w:type="character" w:customStyle="1" w:styleId="Heading2Char">
    <w:name w:val="Heading 2 Char"/>
    <w:aliases w:val="h2 Char"/>
    <w:basedOn w:val="DefaultParagraphFont"/>
    <w:link w:val="Heading2"/>
    <w:uiPriority w:val="9"/>
    <w:rsid w:val="009264BB"/>
    <w:rPr>
      <w:b/>
      <w:sz w:val="24"/>
    </w:rPr>
  </w:style>
  <w:style w:type="character" w:customStyle="1" w:styleId="Heading3Char">
    <w:name w:val="Heading 3 Char"/>
    <w:aliases w:val="h3 Char"/>
    <w:basedOn w:val="DefaultParagraphFont"/>
    <w:link w:val="Heading3"/>
    <w:uiPriority w:val="9"/>
    <w:rsid w:val="009264BB"/>
    <w:rPr>
      <w:b/>
      <w:bCs/>
      <w:i/>
      <w:iCs/>
      <w:sz w:val="24"/>
    </w:rPr>
  </w:style>
  <w:style w:type="character" w:customStyle="1" w:styleId="Heading4Char">
    <w:name w:val="Heading 4 Char"/>
    <w:aliases w:val="h4 Char"/>
    <w:basedOn w:val="DefaultParagraphFont"/>
    <w:link w:val="Heading4"/>
    <w:uiPriority w:val="9"/>
    <w:rsid w:val="009264BB"/>
    <w:rPr>
      <w:b/>
      <w:bCs/>
      <w:snapToGrid w:val="0"/>
      <w:sz w:val="24"/>
    </w:rPr>
  </w:style>
  <w:style w:type="character" w:customStyle="1" w:styleId="Heading5Char">
    <w:name w:val="Heading 5 Char"/>
    <w:aliases w:val="h5 Char"/>
    <w:basedOn w:val="DefaultParagraphFont"/>
    <w:link w:val="Heading5"/>
    <w:uiPriority w:val="9"/>
    <w:rsid w:val="009264BB"/>
    <w:rPr>
      <w:b/>
      <w:i/>
      <w:sz w:val="26"/>
    </w:rPr>
  </w:style>
  <w:style w:type="character" w:customStyle="1" w:styleId="Heading6Char">
    <w:name w:val="Heading 6 Char"/>
    <w:aliases w:val="h6 Char"/>
    <w:basedOn w:val="DefaultParagraphFont"/>
    <w:link w:val="Heading6"/>
    <w:uiPriority w:val="9"/>
    <w:rsid w:val="009264BB"/>
    <w:rPr>
      <w:b/>
      <w:sz w:val="22"/>
    </w:rPr>
  </w:style>
  <w:style w:type="character" w:customStyle="1" w:styleId="Heading7Char">
    <w:name w:val="Heading 7 Char"/>
    <w:basedOn w:val="DefaultParagraphFont"/>
    <w:link w:val="Heading7"/>
    <w:uiPriority w:val="9"/>
    <w:rsid w:val="009264BB"/>
    <w:rPr>
      <w:sz w:val="24"/>
    </w:rPr>
  </w:style>
  <w:style w:type="character" w:customStyle="1" w:styleId="Heading8Char">
    <w:name w:val="Heading 8 Char"/>
    <w:basedOn w:val="DefaultParagraphFont"/>
    <w:link w:val="Heading8"/>
    <w:uiPriority w:val="9"/>
    <w:rsid w:val="009264BB"/>
    <w:rPr>
      <w:i/>
      <w:sz w:val="24"/>
    </w:rPr>
  </w:style>
  <w:style w:type="character" w:customStyle="1" w:styleId="Heading9Char">
    <w:name w:val="Heading 9 Char"/>
    <w:basedOn w:val="DefaultParagraphFont"/>
    <w:link w:val="Heading9"/>
    <w:uiPriority w:val="9"/>
    <w:rsid w:val="009264BB"/>
    <w:rPr>
      <w:rFonts w:ascii="Arial" w:hAnsi="Arial"/>
      <w:sz w:val="22"/>
    </w:rPr>
  </w:style>
  <w:style w:type="paragraph" w:styleId="Title">
    <w:name w:val="Title"/>
    <w:basedOn w:val="Normal"/>
    <w:next w:val="Normal"/>
    <w:link w:val="TitleChar"/>
    <w:uiPriority w:val="10"/>
    <w:qFormat/>
    <w:rsid w:val="009264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64B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264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64B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264B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264BB"/>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264BB"/>
    <w:rPr>
      <w:i/>
      <w:iCs/>
      <w:color w:val="0F4761" w:themeColor="accent1" w:themeShade="BF"/>
    </w:rPr>
  </w:style>
  <w:style w:type="paragraph" w:styleId="IntenseQuote">
    <w:name w:val="Intense Quote"/>
    <w:basedOn w:val="Normal"/>
    <w:next w:val="Normal"/>
    <w:link w:val="IntenseQuoteChar"/>
    <w:uiPriority w:val="30"/>
    <w:qFormat/>
    <w:rsid w:val="009264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64BB"/>
    <w:rPr>
      <w:rFonts w:asciiTheme="minorHAnsi" w:eastAsiaTheme="minorHAnsi" w:hAnsi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926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han.bigbee@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rcot.com/files/docs/2025/10/21/Status-Update_Effectiveness-of-Transmission-Upgrades-Load-Loss-LLWG-2025-10-24.pdf" TargetMode="External"/><Relationship Id="rId3" Type="http://schemas.openxmlformats.org/officeDocument/2006/relationships/hyperlink" Target="https://www.ercot.com/services/comm/mkt_notices/detail?id=2f4c118a-cda3-3668-8119-80a1d094dbfd" TargetMode="External"/><Relationship Id="rId7" Type="http://schemas.openxmlformats.org/officeDocument/2006/relationships/hyperlink" Target="https://www.ercot.com/files/docs/2026/04/13/9-Interconnection-and-Grid-Analysis-Update.pdf" TargetMode="External"/><Relationship Id="rId2" Type="http://schemas.openxmlformats.org/officeDocument/2006/relationships/hyperlink" Target="https://www.ercot.com/services/comm/mkt_notices/M-A060525-01" TargetMode="External"/><Relationship Id="rId1" Type="http://schemas.openxmlformats.org/officeDocument/2006/relationships/hyperlink" Target="https://www.ercot.com/services/comm/mkt_notices/detail?id=c29a08e6-1763-47bb-952f-cb1d9e4c4cb3" TargetMode="External"/><Relationship Id="rId6" Type="http://schemas.openxmlformats.org/officeDocument/2006/relationships/hyperlink" Target="https://www.ercot.com/files/docs/2025/12/10/Status-Update_Evaluation-of-Voltage-Ride-Through-Requirement-Dec-11-LLWG.pdf" TargetMode="External"/><Relationship Id="rId11" Type="http://schemas.openxmlformats.org/officeDocument/2006/relationships/hyperlink" Target="https://www.nerc.com/globalassets/standards/projects/2026-02/sar-comment-period/2026-02-computational-load-alignment-phase-1-sar_sc-approved.pdf" TargetMode="External"/><Relationship Id="rId5" Type="http://schemas.openxmlformats.org/officeDocument/2006/relationships/hyperlink" Target="https://www.ercot.com/files/docs/2025/07/11/ERCOT-LEL-Ride-Through-Criteria_LLWG-final.pptx" TargetMode="External"/><Relationship Id="rId10" Type="http://schemas.openxmlformats.org/officeDocument/2006/relationships/hyperlink" Target="https://www.nerc.com/globalassets/initiatives/large-loads-action-plan/llap-quarterly-update-q1-2026.pdf" TargetMode="External"/><Relationship Id="rId4" Type="http://schemas.openxmlformats.org/officeDocument/2006/relationships/hyperlink" Target="https://www.ercot.com/services/comm/mkt_notices/M-B062325-01" TargetMode="External"/><Relationship Id="rId9" Type="http://schemas.openxmlformats.org/officeDocument/2006/relationships/hyperlink" Target="https://www.nerc.com/globalassets/programs/bpsa/alerts/2025/nerc-alert-level-2--large-loa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Props1.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2.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3.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3093</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21219</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TIEC 042426</cp:lastModifiedBy>
  <cp:revision>4</cp:revision>
  <cp:lastPrinted>2001-06-21T12:28:00Z</cp:lastPrinted>
  <dcterms:created xsi:type="dcterms:W3CDTF">2026-04-24T21:08:00Z</dcterms:created>
  <dcterms:modified xsi:type="dcterms:W3CDTF">2026-04-24T21:11:00Z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