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EE28E1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7389FFF4" w:rsidR="00EE28E1" w:rsidRDefault="00EE28E1" w:rsidP="00EE28E1">
            <w:pPr>
              <w:pStyle w:val="Header"/>
            </w:pPr>
            <w:r>
              <w:t>NOGRR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397C450D" w:rsidR="00EE28E1" w:rsidRPr="00595DDC" w:rsidRDefault="00EE28E1" w:rsidP="00EE28E1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607273">
                <w:rPr>
                  <w:rStyle w:val="Hyperlink"/>
                </w:rPr>
                <w:t>282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7D22BC6E" w:rsidR="00EE28E1" w:rsidRDefault="00EE28E1" w:rsidP="00EE28E1">
            <w:pPr>
              <w:pStyle w:val="Header"/>
            </w:pPr>
            <w:r>
              <w:t>NOGRR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2B180635" w:rsidR="00EE28E1" w:rsidRPr="009F3D0E" w:rsidRDefault="0030293C" w:rsidP="00EE28E1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Board Priority - Large Electronic Load Ride-Through Requirements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39343828" w:rsidR="00FC0BDC" w:rsidRPr="009F3D0E" w:rsidRDefault="00960BD1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April 14, 2026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C367A01" w14:textId="77777777" w:rsidR="00124420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  <w:p w14:paraId="175F59FE" w14:textId="7CC09AFE" w:rsidR="005C0FA7" w:rsidRPr="002A6974" w:rsidRDefault="005C0FA7" w:rsidP="005C0F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A6974">
              <w:rPr>
                <w:rFonts w:ascii="Arial" w:hAnsi="Arial" w:cs="Arial"/>
              </w:rPr>
              <w:t>Annual Recurring Operations and Maintenance (O&amp;M) Staffing Cost:  $</w:t>
            </w:r>
            <w:r w:rsidR="0020313D" w:rsidRPr="002A6974">
              <w:rPr>
                <w:rFonts w:ascii="Arial" w:hAnsi="Arial" w:cs="Arial"/>
              </w:rPr>
              <w:t>600</w:t>
            </w:r>
            <w:r w:rsidR="00960BD1">
              <w:rPr>
                <w:rFonts w:ascii="Arial" w:hAnsi="Arial" w:cs="Arial"/>
              </w:rPr>
              <w:t>K</w:t>
            </w:r>
            <w:r w:rsidRPr="002A6974">
              <w:rPr>
                <w:rFonts w:ascii="Arial" w:hAnsi="Arial" w:cs="Arial"/>
              </w:rPr>
              <w:t xml:space="preserve"> – $</w:t>
            </w:r>
            <w:r w:rsidR="0020313D" w:rsidRPr="002A6974">
              <w:rPr>
                <w:rFonts w:ascii="Arial" w:hAnsi="Arial" w:cs="Arial"/>
              </w:rPr>
              <w:t>750</w:t>
            </w:r>
            <w:r w:rsidR="00960BD1">
              <w:rPr>
                <w:rFonts w:ascii="Arial" w:hAnsi="Arial" w:cs="Arial"/>
              </w:rPr>
              <w:t>K</w:t>
            </w:r>
          </w:p>
          <w:p w14:paraId="24EC7B8C" w14:textId="313DC87A" w:rsidR="005C0FA7" w:rsidRPr="002D68CF" w:rsidRDefault="005C0FA7" w:rsidP="005C0FA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2A6974">
              <w:rPr>
                <w:rFonts w:ascii="Arial" w:hAnsi="Arial" w:cs="Arial"/>
              </w:rPr>
              <w:t>See ERCOT Staffing Impacts</w:t>
            </w:r>
            <w:r w:rsidR="009A7AC5">
              <w:rPr>
                <w:rFonts w:ascii="Arial" w:hAnsi="Arial" w:cs="Arial"/>
              </w:rPr>
              <w:t>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3867EEBE" w:rsidR="00B17049" w:rsidRPr="00511748" w:rsidRDefault="00741D65" w:rsidP="00EE28E1">
            <w:pPr>
              <w:pStyle w:val="NormalArial"/>
              <w:spacing w:before="120" w:after="120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0E7447" w:rsidRPr="000E7447">
              <w:rPr>
                <w:rFonts w:cs="Arial"/>
              </w:rPr>
              <w:t>Nodal Operating Guide Revision Request (NOGRR)</w:t>
            </w:r>
            <w:r w:rsidR="000E7447" w:rsidRPr="000E7447">
              <w:rPr>
                <w:rFonts w:cs="Arial"/>
                <w:iCs/>
              </w:rPr>
              <w:t xml:space="preserve"> </w:t>
            </w:r>
            <w:r>
              <w:rPr>
                <w:rFonts w:cs="Arial"/>
              </w:rPr>
              <w:t>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5FB9823" w14:textId="13168A63" w:rsidR="005C0FA7" w:rsidRDefault="005C0FA7" w:rsidP="00EE28E1">
            <w:pPr>
              <w:pStyle w:val="NormalArial"/>
              <w:spacing w:before="120"/>
            </w:pPr>
            <w:r>
              <w:t xml:space="preserve">There will be ongoing operational impacts to the following ERCOT departments totaling </w:t>
            </w:r>
            <w:r w:rsidR="009C3A72">
              <w:t>3.2</w:t>
            </w:r>
            <w:r>
              <w:t xml:space="preserve"> Full-Time Employees (FTEs) to support this NOGRR:</w:t>
            </w:r>
          </w:p>
          <w:p w14:paraId="50086AC7" w14:textId="77777777" w:rsidR="005C0FA7" w:rsidRDefault="005C0FA7" w:rsidP="005C0FA7">
            <w:pPr>
              <w:pStyle w:val="NormalArial"/>
            </w:pPr>
          </w:p>
          <w:p w14:paraId="6DF53C11" w14:textId="1590ADA8" w:rsidR="005C0FA7" w:rsidRDefault="005C0FA7" w:rsidP="005C0FA7">
            <w:pPr>
              <w:pStyle w:val="NormalArial"/>
            </w:pPr>
            <w:r>
              <w:t xml:space="preserve">•  </w:t>
            </w:r>
            <w:r w:rsidRPr="005C0FA7">
              <w:t xml:space="preserve">Event Analysis </w:t>
            </w:r>
            <w:r>
              <w:t>(2.0 FTE</w:t>
            </w:r>
            <w:r w:rsidR="0020313D">
              <w:t>s</w:t>
            </w:r>
            <w:r>
              <w:t xml:space="preserve"> Effort)</w:t>
            </w:r>
          </w:p>
          <w:p w14:paraId="740E47F7" w14:textId="45A8DA57" w:rsidR="005C0FA7" w:rsidRDefault="005C0FA7" w:rsidP="005C0FA7">
            <w:pPr>
              <w:pStyle w:val="NormalArial"/>
            </w:pPr>
            <w:r>
              <w:t>•  Dynamic Studies (0.9 FTE Effort)</w:t>
            </w:r>
          </w:p>
          <w:p w14:paraId="59943349" w14:textId="3D63A028" w:rsidR="009C3A72" w:rsidRDefault="009C3A72" w:rsidP="005C0FA7">
            <w:pPr>
              <w:pStyle w:val="NormalArial"/>
            </w:pPr>
            <w:r>
              <w:t xml:space="preserve">•  </w:t>
            </w:r>
            <w:r w:rsidRPr="009C3A72">
              <w:t xml:space="preserve">Operations Stability Analysis </w:t>
            </w:r>
            <w:r>
              <w:t>(0.2 FTE Effort)</w:t>
            </w:r>
          </w:p>
          <w:p w14:paraId="3CE7A8F8" w14:textId="77777777" w:rsidR="005C0FA7" w:rsidRDefault="005C0FA7" w:rsidP="005C0FA7">
            <w:pPr>
              <w:pStyle w:val="NormalArial"/>
            </w:pPr>
          </w:p>
          <w:p w14:paraId="4BAE4FDE" w14:textId="31AFA4AE" w:rsidR="00B721C8" w:rsidRDefault="005C0FA7" w:rsidP="005C0FA7">
            <w:pPr>
              <w:pStyle w:val="NormalArial"/>
            </w:pPr>
            <w:r>
              <w:t>ERCOT has assessed its ability to absorb the ongoing efforts of this NOGRR with current staff and concluded the need for FTEs in the following departments:</w:t>
            </w:r>
          </w:p>
          <w:p w14:paraId="1B4DEF44" w14:textId="77777777" w:rsidR="005C0FA7" w:rsidRDefault="005C0FA7" w:rsidP="005C0FA7">
            <w:pPr>
              <w:pStyle w:val="NormalArial"/>
            </w:pPr>
          </w:p>
          <w:p w14:paraId="03C45421" w14:textId="2BCD1344" w:rsidR="005C0FA7" w:rsidRDefault="005C0FA7" w:rsidP="005C0FA7">
            <w:pPr>
              <w:pStyle w:val="NormalArial"/>
            </w:pPr>
            <w:r>
              <w:t xml:space="preserve">•  </w:t>
            </w:r>
            <w:r w:rsidRPr="005C0FA7">
              <w:t xml:space="preserve">Event Analysis </w:t>
            </w:r>
            <w:r>
              <w:t>(2.0 FTEs)</w:t>
            </w:r>
          </w:p>
          <w:p w14:paraId="00E34C43" w14:textId="77777777" w:rsidR="00D53917" w:rsidRDefault="005C0FA7" w:rsidP="005C0FA7">
            <w:pPr>
              <w:pStyle w:val="NormalArial"/>
            </w:pPr>
            <w:r>
              <w:t>•  Dynamic Studies (1.0 FTE)</w:t>
            </w:r>
          </w:p>
          <w:p w14:paraId="095449FD" w14:textId="77777777" w:rsidR="005C0FA7" w:rsidRDefault="005C0FA7" w:rsidP="005C0FA7">
            <w:pPr>
              <w:pStyle w:val="NormalArial"/>
            </w:pPr>
          </w:p>
          <w:p w14:paraId="7B46A068" w14:textId="251F5E19" w:rsidR="005C0FA7" w:rsidRDefault="005C0FA7" w:rsidP="005C0FA7">
            <w:pPr>
              <w:pStyle w:val="NormalArial"/>
            </w:pPr>
            <w:r>
              <w:t xml:space="preserve">• </w:t>
            </w:r>
            <w:r w:rsidRPr="005C0FA7">
              <w:t xml:space="preserve">Event Analysis </w:t>
            </w:r>
            <w:r>
              <w:t>- department requires two additional FTEs to support the following work:</w:t>
            </w:r>
          </w:p>
          <w:p w14:paraId="5F84C292" w14:textId="77777777" w:rsidR="005C0FA7" w:rsidRDefault="005C0FA7" w:rsidP="005C0FA7">
            <w:pPr>
              <w:pStyle w:val="NormalArial"/>
            </w:pPr>
          </w:p>
          <w:p w14:paraId="4900B57B" w14:textId="36B1D811" w:rsidR="005C0FA7" w:rsidRDefault="005C0FA7" w:rsidP="005C0FA7">
            <w:pPr>
              <w:pStyle w:val="NormalArial"/>
            </w:pPr>
            <w:r>
              <w:t xml:space="preserve">   *3,720 hrs. t</w:t>
            </w:r>
            <w:r w:rsidRPr="005C0FA7">
              <w:t xml:space="preserve">o support </w:t>
            </w:r>
            <w:r w:rsidR="000E0DE4">
              <w:t>L</w:t>
            </w:r>
            <w:r w:rsidRPr="005C0FA7">
              <w:t xml:space="preserve">arge </w:t>
            </w:r>
            <w:r w:rsidR="000E0DE4">
              <w:t>L</w:t>
            </w:r>
            <w:r w:rsidRPr="005C0FA7">
              <w:t>oad events, this involves the detection and analysis of such events. This includes both internal and external communications to collect data and information regarding these events.</w:t>
            </w:r>
          </w:p>
          <w:p w14:paraId="7B54B73F" w14:textId="77777777" w:rsidR="005C0FA7" w:rsidRDefault="005C0FA7" w:rsidP="005C0FA7">
            <w:pPr>
              <w:pStyle w:val="NormalArial"/>
            </w:pPr>
          </w:p>
          <w:p w14:paraId="7357520B" w14:textId="77777777" w:rsidR="005C0FA7" w:rsidRPr="005C0FA7" w:rsidRDefault="005C0FA7" w:rsidP="005C0FA7">
            <w:pPr>
              <w:pStyle w:val="NormalArial"/>
            </w:pPr>
            <w:r w:rsidRPr="005C0FA7">
              <w:t>• Dynamic Studies - department requires one additional FTE to support the following work:</w:t>
            </w:r>
          </w:p>
          <w:p w14:paraId="77F35692" w14:textId="77777777" w:rsidR="005C0FA7" w:rsidRPr="005C0FA7" w:rsidRDefault="005C0FA7" w:rsidP="005C0FA7">
            <w:pPr>
              <w:pStyle w:val="NormalArial"/>
            </w:pPr>
          </w:p>
          <w:p w14:paraId="25935526" w14:textId="05D69EA4" w:rsidR="005C0FA7" w:rsidRDefault="005C0FA7" w:rsidP="0020313D">
            <w:pPr>
              <w:rPr>
                <w:rFonts w:ascii="Arial" w:hAnsi="Arial" w:cs="Arial"/>
                <w:color w:val="000000"/>
              </w:rPr>
            </w:pPr>
            <w:r w:rsidRPr="0020313D">
              <w:rPr>
                <w:rFonts w:ascii="Arial" w:hAnsi="Arial" w:cs="Arial"/>
              </w:rPr>
              <w:t xml:space="preserve">   *1,700 hrs. </w:t>
            </w:r>
            <w:r w:rsidR="0020313D" w:rsidRPr="0020313D">
              <w:rPr>
                <w:rFonts w:ascii="Arial" w:hAnsi="Arial" w:cs="Arial"/>
                <w:color w:val="000000"/>
              </w:rPr>
              <w:t>to support the review and testing of ride-through and survey updates, along with providing any necessary technical assistance. This includes handling internal and external communications and maintaining the database for DWG cases.</w:t>
            </w:r>
          </w:p>
          <w:p w14:paraId="50796FDD" w14:textId="77777777" w:rsidR="00552AEE" w:rsidRDefault="00552AEE" w:rsidP="0020313D">
            <w:pPr>
              <w:rPr>
                <w:rFonts w:ascii="Arial" w:hAnsi="Arial" w:cs="Arial"/>
                <w:color w:val="000000"/>
              </w:rPr>
            </w:pPr>
          </w:p>
          <w:p w14:paraId="42DFCB2D" w14:textId="6BDF1D87" w:rsidR="005C0FA7" w:rsidRPr="005C0FA7" w:rsidRDefault="00FA3291" w:rsidP="005C0FA7">
            <w:pPr>
              <w:pStyle w:val="NormalArial"/>
              <w:rPr>
                <w:b/>
                <w:bCs/>
              </w:rPr>
            </w:pPr>
            <w:r w:rsidRPr="00616785">
              <w:rPr>
                <w:rFonts w:cs="Arial"/>
              </w:rPr>
              <w:lastRenderedPageBreak/>
              <w:t>The 2026-2027 ERCOT budget does not account for the FTEs needed to support this NOGRR.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lastRenderedPageBreak/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proofErr w:type="gramStart"/>
            <w:r w:rsidR="002D6CAB">
              <w:rPr>
                <w:rFonts w:cs="Arial"/>
              </w:rPr>
              <w:t>impacts</w:t>
            </w:r>
            <w:proofErr w:type="gramEnd"/>
            <w:r w:rsidR="002D6CAB">
              <w:rPr>
                <w:rFonts w:cs="Arial"/>
              </w:rPr>
              <w:t xml:space="preserve">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55DCEF46" w:rsidR="004D252E" w:rsidRPr="009266AD" w:rsidRDefault="006A60F0" w:rsidP="00D54DC7">
            <w:pPr>
              <w:pStyle w:val="NormalArial"/>
              <w:rPr>
                <w:sz w:val="22"/>
                <w:szCs w:val="22"/>
              </w:rPr>
            </w:pPr>
            <w:r w:rsidRPr="006A60F0">
              <w:rPr>
                <w:rFonts w:cs="Arial"/>
              </w:rPr>
              <w:t>ERCOT will update its business processes to implement this</w:t>
            </w:r>
            <w:r>
              <w:rPr>
                <w:rFonts w:cs="Arial"/>
              </w:rPr>
              <w:t xml:space="preserve"> </w:t>
            </w:r>
            <w:r w:rsidRPr="006A60F0">
              <w:rPr>
                <w:rFonts w:cs="Arial"/>
              </w:rPr>
              <w:t>NOGRR.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4856FAB8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986A0C">
      <w:rPr>
        <w:rFonts w:ascii="Arial" w:hAnsi="Arial"/>
        <w:noProof/>
        <w:sz w:val="18"/>
      </w:rPr>
      <w:t>282NOGRR-25 Revised Impact Analysis 041426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2C47D7BB" w:rsidR="006B0C5E" w:rsidRDefault="009C3A72">
    <w:pPr>
      <w:pStyle w:val="Header"/>
      <w:jc w:val="center"/>
      <w:rPr>
        <w:sz w:val="30"/>
      </w:rPr>
    </w:pPr>
    <w:r>
      <w:rPr>
        <w:sz w:val="30"/>
      </w:rPr>
      <w:t xml:space="preserve">Revised </w:t>
    </w:r>
    <w:r w:rsidR="006B0C5E"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0DE4"/>
    <w:rsid w:val="000E735D"/>
    <w:rsid w:val="000E7447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05F4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313D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96666"/>
    <w:rsid w:val="002A697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293C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469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A5D0A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0703"/>
    <w:rsid w:val="005522EB"/>
    <w:rsid w:val="00552AEE"/>
    <w:rsid w:val="0055501D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0FA7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16785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A60F0"/>
    <w:rsid w:val="006B0C5E"/>
    <w:rsid w:val="006C3039"/>
    <w:rsid w:val="006E14C8"/>
    <w:rsid w:val="006E4E93"/>
    <w:rsid w:val="006E67E1"/>
    <w:rsid w:val="006F0D6E"/>
    <w:rsid w:val="007002AE"/>
    <w:rsid w:val="00712E26"/>
    <w:rsid w:val="007233B6"/>
    <w:rsid w:val="00731D92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69E0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0BD1"/>
    <w:rsid w:val="00964736"/>
    <w:rsid w:val="00971284"/>
    <w:rsid w:val="00971506"/>
    <w:rsid w:val="009719E3"/>
    <w:rsid w:val="00985523"/>
    <w:rsid w:val="00986A0C"/>
    <w:rsid w:val="0099341A"/>
    <w:rsid w:val="009A3203"/>
    <w:rsid w:val="009A7AC5"/>
    <w:rsid w:val="009B0326"/>
    <w:rsid w:val="009B2CF9"/>
    <w:rsid w:val="009C3A72"/>
    <w:rsid w:val="009D0F80"/>
    <w:rsid w:val="009D39FB"/>
    <w:rsid w:val="009D4F91"/>
    <w:rsid w:val="009E0E28"/>
    <w:rsid w:val="009F0974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3EF6"/>
    <w:rsid w:val="00AD6AFA"/>
    <w:rsid w:val="00AD7280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721C8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023C3"/>
    <w:rsid w:val="00C11A57"/>
    <w:rsid w:val="00C2321E"/>
    <w:rsid w:val="00C261D9"/>
    <w:rsid w:val="00C26EFC"/>
    <w:rsid w:val="00C362B5"/>
    <w:rsid w:val="00C426F9"/>
    <w:rsid w:val="00C452DC"/>
    <w:rsid w:val="00C56D5E"/>
    <w:rsid w:val="00C63B97"/>
    <w:rsid w:val="00C768E2"/>
    <w:rsid w:val="00C808AF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3DD8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11C2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8E1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87414"/>
    <w:rsid w:val="00F92B33"/>
    <w:rsid w:val="00FA3291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1858</Characters>
  <Application>Microsoft Office Word</Application>
  <DocSecurity>0</DocSecurity>
  <Lines>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 041426</cp:lastModifiedBy>
  <cp:revision>3</cp:revision>
  <cp:lastPrinted>2007-01-12T13:31:00Z</cp:lastPrinted>
  <dcterms:created xsi:type="dcterms:W3CDTF">2026-04-14T22:46:00Z</dcterms:created>
  <dcterms:modified xsi:type="dcterms:W3CDTF">2026-04-14T22:47:00Z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