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5BE43B6B" w:rsidR="00152993" w:rsidRDefault="00F56919" w:rsidP="00F56919">
            <w:pPr>
              <w:pStyle w:val="Header"/>
              <w:jc w:val="center"/>
            </w:pPr>
            <w:hyperlink r:id="rId8" w:anchor="summary" w:history="1">
              <w:r w:rsidRPr="00FA629D">
                <w:rPr>
                  <w:rStyle w:val="Hyperlink"/>
                </w:rPr>
                <w:t>12</w:t>
              </w:r>
              <w:r w:rsidR="00FA629D" w:rsidRPr="00FA629D">
                <w:rPr>
                  <w:rStyle w:val="Hyperlink"/>
                </w:rPr>
                <w:t>86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6A1676C7" w:rsidR="00152993" w:rsidRDefault="00FA629D" w:rsidP="00F56919">
            <w:pPr>
              <w:pStyle w:val="Header"/>
              <w:spacing w:before="120" w:after="120"/>
            </w:pPr>
            <w:r>
              <w:t>Establish Multi-Value Criteria for Resiliency-Related Transmission Project Evaluation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40B80326" w:rsidR="00152993" w:rsidRDefault="0065113A">
            <w:pPr>
              <w:pStyle w:val="NormalArial"/>
            </w:pPr>
            <w:r>
              <w:t>April</w:t>
            </w:r>
            <w:r w:rsidR="00F56919">
              <w:t xml:space="preserve"> </w:t>
            </w:r>
            <w:r w:rsidR="004619A1">
              <w:t>8</w:t>
            </w:r>
            <w:r w:rsidR="00F56919">
              <w:t xml:space="preserve">, </w:t>
            </w:r>
            <w:r w:rsidR="004E65BA">
              <w:t>202</w:t>
            </w:r>
            <w:r>
              <w:t>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1AC4ADF8" w:rsidR="00152993" w:rsidRDefault="00837083">
            <w:pPr>
              <w:pStyle w:val="NormalArial"/>
            </w:pPr>
            <w:r>
              <w:t>Ping Yan</w:t>
            </w:r>
            <w:r w:rsidR="003B6B46">
              <w:t>; Matt</w:t>
            </w:r>
            <w:r w:rsidR="00FB08FB">
              <w:t>hew</w:t>
            </w:r>
            <w:r w:rsidR="003B6B46">
              <w:t xml:space="preserve"> Arth</w:t>
            </w:r>
          </w:p>
        </w:tc>
      </w:tr>
      <w:tr w:rsidR="00152993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635D8F1C" w:rsidR="003B6B46" w:rsidRDefault="005114C1">
            <w:pPr>
              <w:pStyle w:val="NormalArial"/>
            </w:pPr>
            <w:hyperlink r:id="rId9" w:history="1">
              <w:r w:rsidRPr="00A65D98">
                <w:rPr>
                  <w:rStyle w:val="Hyperlink"/>
                </w:rPr>
                <w:t>Ping.Yan@ercot.com</w:t>
              </w:r>
            </w:hyperlink>
            <w:r w:rsidR="003B6B46">
              <w:t xml:space="preserve">; </w:t>
            </w:r>
            <w:hyperlink r:id="rId10" w:history="1">
              <w:r w:rsidR="00FB08FB" w:rsidRPr="00FB08FB">
                <w:rPr>
                  <w:rStyle w:val="Hyperlink"/>
                </w:rPr>
                <w:t>Matthew.Arth@ercot.com</w:t>
              </w:r>
            </w:hyperlink>
          </w:p>
        </w:tc>
      </w:tr>
      <w:tr w:rsidR="00152993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55C2AF93" w:rsidR="00152993" w:rsidRDefault="00837083">
            <w:pPr>
              <w:pStyle w:val="NormalArial"/>
            </w:pPr>
            <w:r>
              <w:t>Electric Reliability Council of Texas, Inc. (ERCOT)</w:t>
            </w:r>
          </w:p>
        </w:tc>
      </w:tr>
      <w:tr w:rsidR="00152993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3CE0622C" w:rsidR="00152993" w:rsidRDefault="004E65BA">
            <w:pPr>
              <w:pStyle w:val="NormalArial"/>
            </w:pPr>
            <w:r>
              <w:t>512-</w:t>
            </w:r>
            <w:r w:rsidR="00837083">
              <w:t>248-4153</w:t>
            </w:r>
            <w:r w:rsidR="0065113A">
              <w:t>; 512-275-7435</w:t>
            </w:r>
          </w:p>
        </w:tc>
      </w:tr>
      <w:tr w:rsidR="00152993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191CC9AA" w:rsidR="00152993" w:rsidRDefault="00152993">
            <w:pPr>
              <w:pStyle w:val="NormalArial"/>
            </w:pPr>
          </w:p>
        </w:tc>
      </w:tr>
      <w:tr w:rsidR="00075A94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30A30454" w:rsidR="00075A94" w:rsidRDefault="00837083">
            <w:pPr>
              <w:pStyle w:val="NormalArial"/>
            </w:pPr>
            <w:r>
              <w:t>N</w:t>
            </w:r>
            <w:r w:rsidR="007629D1">
              <w:t>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17120E5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07CBDB" w14:textId="77777777" w:rsidR="00152993" w:rsidRDefault="00152993">
      <w:pPr>
        <w:pStyle w:val="NormalArial"/>
      </w:pPr>
    </w:p>
    <w:p w14:paraId="39120A50" w14:textId="7BF529C2" w:rsidR="00FA629D" w:rsidRDefault="00FA629D" w:rsidP="00C6121C">
      <w:pPr>
        <w:pStyle w:val="NormalArial"/>
        <w:rPr>
          <w:rFonts w:cs="Arial"/>
          <w:color w:val="242424"/>
          <w:shd w:val="clear" w:color="auto" w:fill="FFFFFF"/>
        </w:rPr>
      </w:pPr>
      <w:r>
        <w:rPr>
          <w:rFonts w:cs="Arial"/>
          <w:color w:val="242424"/>
          <w:shd w:val="clear" w:color="auto" w:fill="FFFFFF"/>
        </w:rPr>
        <w:t>ERCOT</w:t>
      </w:r>
      <w:r w:rsidRPr="00F0095A">
        <w:rPr>
          <w:rFonts w:cs="Arial"/>
          <w:color w:val="242424"/>
          <w:shd w:val="clear" w:color="auto" w:fill="FFFFFF"/>
        </w:rPr>
        <w:t xml:space="preserve"> provide</w:t>
      </w:r>
      <w:r>
        <w:rPr>
          <w:rFonts w:cs="Arial"/>
          <w:color w:val="242424"/>
          <w:shd w:val="clear" w:color="auto" w:fill="FFFFFF"/>
        </w:rPr>
        <w:t>s these</w:t>
      </w:r>
      <w:r w:rsidRPr="00F0095A">
        <w:rPr>
          <w:rFonts w:cs="Arial"/>
          <w:color w:val="242424"/>
          <w:shd w:val="clear" w:color="auto" w:fill="FFFFFF"/>
        </w:rPr>
        <w:t xml:space="preserve"> comments </w:t>
      </w:r>
      <w:r>
        <w:rPr>
          <w:rFonts w:cs="Arial"/>
          <w:color w:val="242424"/>
          <w:shd w:val="clear" w:color="auto" w:fill="FFFFFF"/>
        </w:rPr>
        <w:t>to</w:t>
      </w:r>
      <w:r w:rsidRPr="00F0095A">
        <w:rPr>
          <w:rFonts w:cs="Arial"/>
          <w:color w:val="242424"/>
          <w:shd w:val="clear" w:color="auto" w:fill="FFFFFF"/>
        </w:rPr>
        <w:t xml:space="preserve"> </w:t>
      </w:r>
      <w:r>
        <w:rPr>
          <w:rFonts w:cs="Arial"/>
          <w:color w:val="242424"/>
          <w:shd w:val="clear" w:color="auto" w:fill="FFFFFF"/>
        </w:rPr>
        <w:t>Nodal Protocol Revision Request (</w:t>
      </w:r>
      <w:r w:rsidRPr="00F0095A">
        <w:rPr>
          <w:rFonts w:cs="Arial"/>
          <w:color w:val="242424"/>
          <w:shd w:val="clear" w:color="auto" w:fill="FFFFFF"/>
        </w:rPr>
        <w:t>NPRR</w:t>
      </w:r>
      <w:r>
        <w:rPr>
          <w:rFonts w:cs="Arial"/>
          <w:color w:val="242424"/>
          <w:shd w:val="clear" w:color="auto" w:fill="FFFFFF"/>
        </w:rPr>
        <w:t xml:space="preserve">) </w:t>
      </w:r>
      <w:r w:rsidRPr="00F0095A">
        <w:rPr>
          <w:rFonts w:cs="Arial"/>
          <w:color w:val="242424"/>
          <w:shd w:val="clear" w:color="auto" w:fill="FFFFFF"/>
        </w:rPr>
        <w:t>12</w:t>
      </w:r>
      <w:r>
        <w:rPr>
          <w:rFonts w:cs="Arial"/>
          <w:color w:val="242424"/>
          <w:shd w:val="clear" w:color="auto" w:fill="FFFFFF"/>
        </w:rPr>
        <w:t xml:space="preserve">86 in response to the </w:t>
      </w:r>
      <w:r w:rsidR="00E4407B">
        <w:rPr>
          <w:rFonts w:cs="Arial"/>
          <w:color w:val="242424"/>
          <w:shd w:val="clear" w:color="auto" w:fill="FFFFFF"/>
        </w:rPr>
        <w:t>3</w:t>
      </w:r>
      <w:r w:rsidR="00D761AC">
        <w:rPr>
          <w:rFonts w:cs="Arial"/>
          <w:color w:val="242424"/>
          <w:shd w:val="clear" w:color="auto" w:fill="FFFFFF"/>
        </w:rPr>
        <w:t>/1</w:t>
      </w:r>
      <w:r w:rsidR="00E4407B">
        <w:rPr>
          <w:rFonts w:cs="Arial"/>
          <w:color w:val="242424"/>
          <w:shd w:val="clear" w:color="auto" w:fill="FFFFFF"/>
        </w:rPr>
        <w:t>0</w:t>
      </w:r>
      <w:r w:rsidR="00D761AC">
        <w:rPr>
          <w:rFonts w:cs="Arial"/>
          <w:color w:val="242424"/>
          <w:shd w:val="clear" w:color="auto" w:fill="FFFFFF"/>
        </w:rPr>
        <w:t>/2</w:t>
      </w:r>
      <w:r w:rsidR="00E4407B">
        <w:rPr>
          <w:rFonts w:cs="Arial"/>
          <w:color w:val="242424"/>
          <w:shd w:val="clear" w:color="auto" w:fill="FFFFFF"/>
        </w:rPr>
        <w:t>6</w:t>
      </w:r>
      <w:r w:rsidR="00D761AC">
        <w:rPr>
          <w:rFonts w:cs="Arial"/>
          <w:color w:val="242424"/>
          <w:shd w:val="clear" w:color="auto" w:fill="FFFFFF"/>
        </w:rPr>
        <w:t xml:space="preserve"> </w:t>
      </w:r>
      <w:r w:rsidR="00393B1C">
        <w:t>Texas Industrial Energy Consumers (</w:t>
      </w:r>
      <w:r w:rsidR="005D4A0B">
        <w:rPr>
          <w:rFonts w:cs="Arial"/>
          <w:color w:val="242424"/>
          <w:shd w:val="clear" w:color="auto" w:fill="FFFFFF"/>
        </w:rPr>
        <w:t>TIEC</w:t>
      </w:r>
      <w:r w:rsidR="00393B1C">
        <w:rPr>
          <w:rFonts w:cs="Arial"/>
          <w:color w:val="242424"/>
          <w:shd w:val="clear" w:color="auto" w:fill="FFFFFF"/>
        </w:rPr>
        <w:t>)</w:t>
      </w:r>
      <w:r w:rsidR="00D761AC">
        <w:rPr>
          <w:rFonts w:cs="Arial"/>
          <w:color w:val="242424"/>
          <w:shd w:val="clear" w:color="auto" w:fill="FFFFFF"/>
        </w:rPr>
        <w:t xml:space="preserve"> </w:t>
      </w:r>
      <w:r>
        <w:rPr>
          <w:rFonts w:cs="Arial"/>
          <w:color w:val="242424"/>
          <w:shd w:val="clear" w:color="auto" w:fill="FFFFFF"/>
        </w:rPr>
        <w:t xml:space="preserve">comments. </w:t>
      </w:r>
    </w:p>
    <w:p w14:paraId="586D56C0" w14:textId="77777777" w:rsidR="00393B1C" w:rsidRDefault="00393B1C" w:rsidP="00580C6B">
      <w:pPr>
        <w:pStyle w:val="NormalArial"/>
      </w:pPr>
    </w:p>
    <w:p w14:paraId="3786EA68" w14:textId="50771296" w:rsidR="00861E48" w:rsidRDefault="00393B1C" w:rsidP="00580C6B">
      <w:pPr>
        <w:pStyle w:val="NormalArial"/>
      </w:pPr>
      <w:r>
        <w:t xml:space="preserve">ERCOT </w:t>
      </w:r>
      <w:r w:rsidR="00E4407B">
        <w:t>appreciates the opportunity to review the alternative approaches proposed by TIEC</w:t>
      </w:r>
      <w:r w:rsidR="00861E48">
        <w:t xml:space="preserve"> and to have detailed discussions with TIEC </w:t>
      </w:r>
      <w:r w:rsidR="009D5352">
        <w:t>during the development of each</w:t>
      </w:r>
      <w:r w:rsidR="00E4407B">
        <w:t xml:space="preserve"> proposal</w:t>
      </w:r>
      <w:r w:rsidR="00861E48">
        <w:t xml:space="preserve">. </w:t>
      </w:r>
      <w:r w:rsidR="00956AC5">
        <w:t xml:space="preserve"> </w:t>
      </w:r>
      <w:r w:rsidR="00AE0B97">
        <w:t xml:space="preserve">Although </w:t>
      </w:r>
      <w:r w:rsidR="009D5352">
        <w:t>ERCOT understands that each of the</w:t>
      </w:r>
      <w:r w:rsidR="00AE0B97">
        <w:t xml:space="preserve"> three proposals </w:t>
      </w:r>
      <w:r w:rsidR="009D5352">
        <w:t>was</w:t>
      </w:r>
      <w:r w:rsidR="00AE0B97">
        <w:t xml:space="preserve"> intended to </w:t>
      </w:r>
      <w:r w:rsidR="003B6B46">
        <w:t>improve</w:t>
      </w:r>
      <w:r w:rsidR="00AE0B97">
        <w:t xml:space="preserve"> the resiliency benefits determination, </w:t>
      </w:r>
      <w:r w:rsidR="00FB08FB">
        <w:t>each</w:t>
      </w:r>
      <w:r w:rsidR="002C5D43">
        <w:t xml:space="preserve"> </w:t>
      </w:r>
      <w:r w:rsidR="00934F1A">
        <w:t>introduced</w:t>
      </w:r>
      <w:r w:rsidR="002C5D43">
        <w:t xml:space="preserve"> </w:t>
      </w:r>
      <w:r w:rsidR="00FB08FB">
        <w:t>different</w:t>
      </w:r>
      <w:r w:rsidR="002C5D43">
        <w:t xml:space="preserve"> challenges, </w:t>
      </w:r>
      <w:r w:rsidR="00FB08FB">
        <w:t>as</w:t>
      </w:r>
      <w:r w:rsidR="002C5D43">
        <w:t xml:space="preserve"> </w:t>
      </w:r>
      <w:r w:rsidR="00861E48">
        <w:t xml:space="preserve">TIEC </w:t>
      </w:r>
      <w:r w:rsidR="009D5352">
        <w:t xml:space="preserve">acknowledged in their </w:t>
      </w:r>
      <w:r w:rsidR="00861E48">
        <w:t>comments</w:t>
      </w:r>
      <w:r w:rsidR="002C5D43">
        <w:t xml:space="preserve"> that</w:t>
      </w:r>
      <w:r w:rsidR="00861E48">
        <w:t xml:space="preserve"> “</w:t>
      </w:r>
      <w:r w:rsidR="00861E48" w:rsidRPr="000E29A4">
        <w:t xml:space="preserve">each of </w:t>
      </w:r>
      <w:r w:rsidR="00861E48">
        <w:t>its</w:t>
      </w:r>
      <w:r w:rsidR="00861E48" w:rsidRPr="000E29A4">
        <w:t xml:space="preserve"> </w:t>
      </w:r>
      <w:r w:rsidR="00861E48">
        <w:t>ideas</w:t>
      </w:r>
      <w:r w:rsidR="00861E48" w:rsidRPr="000E29A4">
        <w:t xml:space="preserve"> raised legitimate questions and practical challenges</w:t>
      </w:r>
      <w:r w:rsidR="00861E48">
        <w:t xml:space="preserve">.” </w:t>
      </w:r>
    </w:p>
    <w:p w14:paraId="783AE011" w14:textId="77777777" w:rsidR="00861E48" w:rsidRDefault="00861E48" w:rsidP="00580C6B">
      <w:pPr>
        <w:pStyle w:val="NormalArial"/>
      </w:pPr>
    </w:p>
    <w:p w14:paraId="3773DAB9" w14:textId="5C9FA3A6" w:rsidR="00AE0B97" w:rsidRDefault="00E4407B" w:rsidP="00580C6B">
      <w:pPr>
        <w:pStyle w:val="NormalArial"/>
      </w:pPr>
      <w:r>
        <w:t xml:space="preserve">ERCOT outlined </w:t>
      </w:r>
      <w:r w:rsidR="00956AC5">
        <w:t xml:space="preserve">in their 10/20/25 comments </w:t>
      </w:r>
      <w:r>
        <w:t xml:space="preserve">the concerns </w:t>
      </w:r>
      <w:r w:rsidR="0021337A">
        <w:t>with</w:t>
      </w:r>
      <w:r>
        <w:t xml:space="preserve"> the first approach proposed in the </w:t>
      </w:r>
      <w:r w:rsidR="00956AC5">
        <w:t xml:space="preserve">9/19/25 </w:t>
      </w:r>
      <w:r>
        <w:t xml:space="preserve">TIEC </w:t>
      </w:r>
      <w:r w:rsidR="00956AC5">
        <w:t>comments</w:t>
      </w:r>
      <w:r>
        <w:t xml:space="preserve">. </w:t>
      </w:r>
      <w:r w:rsidR="00393B1C">
        <w:t xml:space="preserve"> </w:t>
      </w:r>
      <w:r w:rsidR="009D5352">
        <w:t xml:space="preserve">For additional transparency, ERCOT here </w:t>
      </w:r>
      <w:r w:rsidR="00467A53">
        <w:t>describes the concerns with each of the subsequent two proposals</w:t>
      </w:r>
      <w:r w:rsidR="00951B62">
        <w:t>, each of which TIEC discussed with ERCOT but were not previously submitted as comments</w:t>
      </w:r>
      <w:r w:rsidR="00467A53">
        <w:t>.</w:t>
      </w:r>
    </w:p>
    <w:p w14:paraId="34E561C9" w14:textId="77777777" w:rsidR="00AE0B97" w:rsidRDefault="00AE0B97" w:rsidP="00580C6B">
      <w:pPr>
        <w:pStyle w:val="NormalArial"/>
      </w:pPr>
    </w:p>
    <w:p w14:paraId="64D9CB4C" w14:textId="45933017" w:rsidR="002C5D43" w:rsidRDefault="00AE0B97" w:rsidP="00580C6B">
      <w:pPr>
        <w:pStyle w:val="NormalArial"/>
      </w:pPr>
      <w:r>
        <w:t xml:space="preserve">In the second TIEC proposal, </w:t>
      </w:r>
      <w:r w:rsidRPr="00AE0B97">
        <w:t xml:space="preserve">new </w:t>
      </w:r>
      <w:r w:rsidR="002C5D43">
        <w:t>d</w:t>
      </w:r>
      <w:r w:rsidRPr="00AE0B97">
        <w:t>efinitions for “Severe Customer Impact Risks” and “Significant Customer Impact Risks”</w:t>
      </w:r>
      <w:r>
        <w:t xml:space="preserve"> were </w:t>
      </w:r>
      <w:r w:rsidR="001515E7">
        <w:t>introduced</w:t>
      </w:r>
      <w:r>
        <w:t xml:space="preserve"> to </w:t>
      </w:r>
      <w:r w:rsidR="009F2080">
        <w:t xml:space="preserve">attempt to </w:t>
      </w:r>
      <w:r>
        <w:t>categor</w:t>
      </w:r>
      <w:r w:rsidR="002C5D43">
        <w:t>ize</w:t>
      </w:r>
      <w:r>
        <w:t xml:space="preserve"> the extreme events studied in the Grid Reliability and Resiliency Assessment (GRRA) </w:t>
      </w:r>
      <w:r w:rsidR="002C5D43">
        <w:t>in</w:t>
      </w:r>
      <w:r>
        <w:t xml:space="preserve">to one of </w:t>
      </w:r>
      <w:r w:rsidR="009F2080">
        <w:t>those</w:t>
      </w:r>
      <w:r>
        <w:t xml:space="preserve"> two categories. </w:t>
      </w:r>
      <w:r w:rsidR="00956AC5">
        <w:t xml:space="preserve"> </w:t>
      </w:r>
      <w:r w:rsidR="009F2080">
        <w:t xml:space="preserve">Each of those categories would be </w:t>
      </w:r>
      <w:r>
        <w:t xml:space="preserve">assigned a fixed </w:t>
      </w:r>
      <w:r w:rsidR="009F2080">
        <w:t xml:space="preserve">assumed </w:t>
      </w:r>
      <w:r>
        <w:t xml:space="preserve">benefit </w:t>
      </w:r>
      <w:r w:rsidR="009F2080">
        <w:t xml:space="preserve">in dollars (the initial proposal was </w:t>
      </w:r>
      <w:r>
        <w:t>$7 million</w:t>
      </w:r>
      <w:r w:rsidR="009F2080">
        <w:t xml:space="preserve"> for Severe Customer Impact Risk events</w:t>
      </w:r>
      <w:r>
        <w:t xml:space="preserve"> and $2 million</w:t>
      </w:r>
      <w:r w:rsidR="009F2080">
        <w:t xml:space="preserve"> for Significant Customer Impact Risk events)</w:t>
      </w:r>
      <w:r>
        <w:t xml:space="preserve">. </w:t>
      </w:r>
      <w:r w:rsidR="00956AC5">
        <w:t xml:space="preserve"> </w:t>
      </w:r>
      <w:r w:rsidR="00837E89">
        <w:t xml:space="preserve">ERCOT expressed concern that </w:t>
      </w:r>
      <w:r>
        <w:t>assign</w:t>
      </w:r>
      <w:r w:rsidR="00837E89">
        <w:t xml:space="preserve">ing </w:t>
      </w:r>
      <w:r>
        <w:t>the</w:t>
      </w:r>
      <w:r w:rsidR="00837E89">
        <w:t>se</w:t>
      </w:r>
      <w:r>
        <w:t xml:space="preserve"> risk level</w:t>
      </w:r>
      <w:r w:rsidR="00837E89">
        <w:t>s to a project</w:t>
      </w:r>
      <w:r>
        <w:t xml:space="preserve"> and the </w:t>
      </w:r>
      <w:r w:rsidR="00837E89">
        <w:t xml:space="preserve">value of the </w:t>
      </w:r>
      <w:r>
        <w:t>associated resiliency benefit</w:t>
      </w:r>
      <w:r w:rsidR="00837E89">
        <w:t xml:space="preserve"> would be too inherently arbitrary</w:t>
      </w:r>
      <w:r>
        <w:t xml:space="preserve">. </w:t>
      </w:r>
      <w:r w:rsidR="00E26CA9">
        <w:t xml:space="preserve"> </w:t>
      </w:r>
      <w:r w:rsidR="002C5D43">
        <w:t xml:space="preserve">In addition, projects addressing resiliency issues in the same extreme event </w:t>
      </w:r>
      <w:r w:rsidR="001515E7">
        <w:t>may</w:t>
      </w:r>
      <w:r w:rsidR="002C5D43">
        <w:t xml:space="preserve"> have different levels of benefits. </w:t>
      </w:r>
      <w:r w:rsidR="00E26CA9">
        <w:t xml:space="preserve"> </w:t>
      </w:r>
      <w:r w:rsidR="002C5D43">
        <w:t xml:space="preserve">For example, </w:t>
      </w:r>
      <w:r w:rsidR="00837E89">
        <w:t xml:space="preserve">in the same extreme event </w:t>
      </w:r>
      <w:r w:rsidR="002C5D43">
        <w:t xml:space="preserve">one project </w:t>
      </w:r>
      <w:r w:rsidR="00837E89">
        <w:t xml:space="preserve">may </w:t>
      </w:r>
      <w:r w:rsidR="002C5D43">
        <w:t xml:space="preserve">address a loss of load of 100 MW and another project </w:t>
      </w:r>
      <w:r w:rsidR="00837E89">
        <w:t xml:space="preserve">may </w:t>
      </w:r>
      <w:r w:rsidR="002C5D43">
        <w:t xml:space="preserve">address a loss of load of 1000 MW, </w:t>
      </w:r>
      <w:r w:rsidR="001515E7">
        <w:t xml:space="preserve">but </w:t>
      </w:r>
      <w:r w:rsidR="002C5D43">
        <w:t xml:space="preserve">this </w:t>
      </w:r>
      <w:r w:rsidR="002C5D43">
        <w:lastRenderedPageBreak/>
        <w:t xml:space="preserve">proposal </w:t>
      </w:r>
      <w:r w:rsidR="00837E89">
        <w:t>would</w:t>
      </w:r>
      <w:r w:rsidR="002C5D43">
        <w:t xml:space="preserve"> assume </w:t>
      </w:r>
      <w:r w:rsidR="001515E7">
        <w:t>the same</w:t>
      </w:r>
      <w:r w:rsidR="002C5D43">
        <w:t xml:space="preserve"> </w:t>
      </w:r>
      <w:r w:rsidR="00837E89">
        <w:t xml:space="preserve">monetary </w:t>
      </w:r>
      <w:r w:rsidR="002C5D43">
        <w:t xml:space="preserve">resiliency benefits </w:t>
      </w:r>
      <w:r w:rsidR="001515E7">
        <w:t>for both projects</w:t>
      </w:r>
      <w:r w:rsidR="00837E89">
        <w:t xml:space="preserve"> if included in the same category</w:t>
      </w:r>
      <w:r w:rsidR="002C5D43">
        <w:t>.</w:t>
      </w:r>
    </w:p>
    <w:p w14:paraId="7D2F7E8C" w14:textId="77777777" w:rsidR="002C5D43" w:rsidRDefault="002C5D43" w:rsidP="00580C6B">
      <w:pPr>
        <w:pStyle w:val="NormalArial"/>
      </w:pPr>
    </w:p>
    <w:p w14:paraId="5E2D765D" w14:textId="3F4FDFC7" w:rsidR="003B6B46" w:rsidRPr="003B6B46" w:rsidRDefault="002C5D43" w:rsidP="003B6B46">
      <w:pPr>
        <w:pStyle w:val="NormalArial"/>
      </w:pPr>
      <w:r>
        <w:t xml:space="preserve">In the third TIEC proposal, a scalable formula was developed to address ERCOT’s </w:t>
      </w:r>
      <w:r w:rsidR="00E662DE">
        <w:t xml:space="preserve">latter </w:t>
      </w:r>
      <w:r>
        <w:t xml:space="preserve">concern </w:t>
      </w:r>
      <w:r w:rsidR="00E662DE">
        <w:t>with</w:t>
      </w:r>
      <w:r>
        <w:t xml:space="preserve"> the second proposal. </w:t>
      </w:r>
      <w:r w:rsidR="00E26CA9">
        <w:t xml:space="preserve"> </w:t>
      </w:r>
      <w:r>
        <w:t xml:space="preserve">However, the calculated resiliency benefit </w:t>
      </w:r>
      <w:r w:rsidR="00E662DE">
        <w:t xml:space="preserve">was </w:t>
      </w:r>
      <w:r w:rsidR="003B6B46">
        <w:t>proportional to</w:t>
      </w:r>
      <w:r>
        <w:t xml:space="preserve"> the percentage of the capital cost </w:t>
      </w:r>
      <w:r w:rsidR="00E662DE">
        <w:t>of</w:t>
      </w:r>
      <w:r>
        <w:t xml:space="preserve"> the project that </w:t>
      </w:r>
      <w:r w:rsidR="00951B62">
        <w:t>would</w:t>
      </w:r>
      <w:r w:rsidR="003B6B46">
        <w:t xml:space="preserve"> </w:t>
      </w:r>
      <w:r>
        <w:t>address the resiliency issue.</w:t>
      </w:r>
      <w:r w:rsidR="003B6B46" w:rsidRPr="003B6B46">
        <w:rPr>
          <w:rFonts w:ascii="Aptos" w:hAnsi="Aptos"/>
        </w:rPr>
        <w:t xml:space="preserve"> </w:t>
      </w:r>
      <w:r w:rsidR="00E26CA9">
        <w:rPr>
          <w:rFonts w:ascii="Aptos" w:hAnsi="Aptos"/>
        </w:rPr>
        <w:t xml:space="preserve"> </w:t>
      </w:r>
      <w:r w:rsidR="003B6B46">
        <w:rPr>
          <w:rFonts w:ascii="Aptos" w:hAnsi="Aptos"/>
        </w:rPr>
        <w:t>U</w:t>
      </w:r>
      <w:r w:rsidR="003B6B46" w:rsidRPr="003B6B46">
        <w:t>nder this proposal a transmission project would be more likely to meet the test the more that the costs are related to resiliency and if the project only had a minimal resiliency aspect it would not pass the threshold</w:t>
      </w:r>
      <w:r w:rsidR="003B6B46">
        <w:t xml:space="preserve">. </w:t>
      </w:r>
      <w:r w:rsidR="00E26CA9">
        <w:t xml:space="preserve"> </w:t>
      </w:r>
      <w:r w:rsidR="006813F7">
        <w:t>ERCOT is concerned that</w:t>
      </w:r>
      <w:r w:rsidR="003B6B46">
        <w:t xml:space="preserve"> </w:t>
      </w:r>
      <w:r w:rsidR="003B6B46" w:rsidRPr="003B6B46">
        <w:t>in practice it will likely not be possible in many, if not most, instances to cleanly separate which parts of a transmission project are solely there to address a resiliency issue</w:t>
      </w:r>
      <w:r w:rsidR="006813F7">
        <w:t>.</w:t>
      </w:r>
      <w:r w:rsidR="003B6B46">
        <w:t xml:space="preserve"> </w:t>
      </w:r>
      <w:r w:rsidR="00E26CA9">
        <w:t xml:space="preserve"> </w:t>
      </w:r>
      <w:r w:rsidR="006813F7">
        <w:t xml:space="preserve">Moreover though, </w:t>
      </w:r>
      <w:r w:rsidR="003B6B46">
        <w:t>ERCOT</w:t>
      </w:r>
      <w:r w:rsidR="003B6B46" w:rsidRPr="003B6B46">
        <w:t xml:space="preserve"> do</w:t>
      </w:r>
      <w:r w:rsidR="003B6B46">
        <w:t>es</w:t>
      </w:r>
      <w:r w:rsidR="003B6B46" w:rsidRPr="003B6B46">
        <w:t xml:space="preserve"> not believe that </w:t>
      </w:r>
      <w:r w:rsidR="00E662DE">
        <w:t xml:space="preserve">tying the likelihood of approving the project to the </w:t>
      </w:r>
      <w:r w:rsidR="006813F7">
        <w:t>extent that it qualifies as</w:t>
      </w:r>
      <w:r w:rsidR="00E662DE">
        <w:t xml:space="preserve"> a resiliency project </w:t>
      </w:r>
      <w:r w:rsidR="003B6B46" w:rsidRPr="003B6B46">
        <w:t xml:space="preserve">comports with how the resiliency </w:t>
      </w:r>
      <w:r w:rsidR="00E662DE">
        <w:t>“</w:t>
      </w:r>
      <w:r w:rsidR="003B6B46" w:rsidRPr="003B6B46">
        <w:t>plus factor</w:t>
      </w:r>
      <w:r w:rsidR="00E662DE">
        <w:t>”</w:t>
      </w:r>
      <w:r w:rsidR="003B6B46" w:rsidRPr="003B6B46">
        <w:t xml:space="preserve"> is designed in 16 </w:t>
      </w:r>
      <w:r w:rsidR="003B6B46">
        <w:rPr>
          <w:iCs/>
          <w:kern w:val="24"/>
        </w:rPr>
        <w:t>Texas Administrative Code (</w:t>
      </w:r>
      <w:r w:rsidR="003B6B46" w:rsidRPr="003B6B46">
        <w:t>TAC</w:t>
      </w:r>
      <w:r w:rsidR="003B6B46">
        <w:t>)</w:t>
      </w:r>
      <w:r w:rsidR="003B6B46" w:rsidRPr="003B6B46">
        <w:t xml:space="preserve"> § 25.101(b)(3)(A)(iii).</w:t>
      </w:r>
    </w:p>
    <w:p w14:paraId="1122A54E" w14:textId="7FDDCFBB" w:rsidR="003B6B46" w:rsidRPr="003B6B46" w:rsidRDefault="003B6B46" w:rsidP="00E26CA9">
      <w:pPr>
        <w:pStyle w:val="NormalArial"/>
        <w:numPr>
          <w:ilvl w:val="0"/>
          <w:numId w:val="21"/>
        </w:numPr>
      </w:pPr>
      <w:r w:rsidRPr="003B6B46">
        <w:t xml:space="preserve">Assuming that portions of a project could be clearly identified as solely for resiliency, having a project pass of which 90% of the cost is for resiliency and 10% is for reliability or </w:t>
      </w:r>
      <w:proofErr w:type="gramStart"/>
      <w:r w:rsidRPr="003B6B46">
        <w:t>economic</w:t>
      </w:r>
      <w:proofErr w:type="gramEnd"/>
      <w:r w:rsidRPr="003B6B46">
        <w:t xml:space="preserve"> would </w:t>
      </w:r>
      <w:r w:rsidR="00E662DE">
        <w:t>essentially</w:t>
      </w:r>
      <w:r w:rsidRPr="003B6B46">
        <w:t xml:space="preserve"> make that a resiliency project.  The </w:t>
      </w:r>
      <w:r w:rsidR="00E26CA9">
        <w:t>Public Utility Commission of Texas (</w:t>
      </w:r>
      <w:r w:rsidRPr="003B6B46">
        <w:t>PUC</w:t>
      </w:r>
      <w:r w:rsidR="00476AFA">
        <w:t>T</w:t>
      </w:r>
      <w:r w:rsidR="00E26CA9">
        <w:t>)</w:t>
      </w:r>
      <w:r w:rsidRPr="003B6B46">
        <w:t xml:space="preserve"> was clear in their Order in Project 53403</w:t>
      </w:r>
      <w:r w:rsidR="00E26CA9">
        <w:t>, Review Of Chapter §25.101 Certification Criteria,</w:t>
      </w:r>
      <w:r w:rsidRPr="003B6B46">
        <w:t xml:space="preserve"> that resiliency should not be a separate type of transmission project, </w:t>
      </w:r>
      <w:r w:rsidR="006813F7">
        <w:t>but rather</w:t>
      </w:r>
      <w:r w:rsidR="00E662DE">
        <w:t xml:space="preserve"> </w:t>
      </w:r>
      <w:r w:rsidRPr="003B6B46">
        <w:t>just a plus factor.</w:t>
      </w:r>
      <w:r w:rsidR="006813F7">
        <w:rPr>
          <w:rStyle w:val="FootnoteReference"/>
        </w:rPr>
        <w:footnoteReference w:id="1"/>
      </w:r>
      <w:r w:rsidRPr="003B6B46">
        <w:t>  “Plus” seems to imply that it is not the primary aspect of a project and may even be a relatively minimal aspect of the project.</w:t>
      </w:r>
    </w:p>
    <w:p w14:paraId="32B0A621" w14:textId="3D827DAA" w:rsidR="003E6F63" w:rsidRDefault="003B6B46" w:rsidP="003B6B46">
      <w:pPr>
        <w:pStyle w:val="NormalArial"/>
        <w:numPr>
          <w:ilvl w:val="0"/>
          <w:numId w:val="21"/>
        </w:numPr>
      </w:pPr>
      <w:r w:rsidRPr="003B6B46">
        <w:t>Under § 25.101(b)(3)(A)(iii), it is appropriate</w:t>
      </w:r>
      <w:r w:rsidR="006813F7">
        <w:t xml:space="preserve"> and necessary</w:t>
      </w:r>
      <w:r w:rsidRPr="003B6B46">
        <w:t xml:space="preserve"> to consider the cost effectiveness of the project’s ability to address the resiliency issue and the potential of the project to decrease customer outages, but the “margin” being </w:t>
      </w:r>
      <w:r w:rsidR="006813F7">
        <w:t>considered</w:t>
      </w:r>
      <w:r w:rsidRPr="003B6B46">
        <w:t xml:space="preserve"> is of the degree to which the economic and reliability tests were not met, not the percentage of the project dedicated to addressing the resiliency issue.</w:t>
      </w:r>
    </w:p>
    <w:p w14:paraId="29CE1A81" w14:textId="77777777" w:rsidR="003B6B46" w:rsidRDefault="003B6B46" w:rsidP="00580C6B">
      <w:pPr>
        <w:pStyle w:val="NormalArial"/>
      </w:pPr>
    </w:p>
    <w:p w14:paraId="5EC6FE94" w14:textId="31FF7619" w:rsidR="00861E48" w:rsidRDefault="00861E48" w:rsidP="00861E48">
      <w:pPr>
        <w:pStyle w:val="NormalArial"/>
      </w:pPr>
      <w:r>
        <w:t xml:space="preserve">How to best quantify the resiliency benefits is an outstanding question the entire industry is </w:t>
      </w:r>
      <w:r w:rsidR="005114C1">
        <w:t>trying to answer</w:t>
      </w:r>
      <w:r w:rsidR="00E662DE">
        <w:t xml:space="preserve">. </w:t>
      </w:r>
      <w:r w:rsidR="005114C1">
        <w:t xml:space="preserve"> ERCOT believes that the ERCOT proposal meets the requirements from </w:t>
      </w:r>
      <w:r w:rsidR="00FB08FB">
        <w:t xml:space="preserve">16 </w:t>
      </w:r>
      <w:r w:rsidR="005114C1">
        <w:t xml:space="preserve">TAC </w:t>
      </w:r>
      <w:r w:rsidR="005114C1" w:rsidRPr="003B6B46">
        <w:t>§ 25.101(b)(3)(A)(iii)</w:t>
      </w:r>
      <w:r w:rsidR="005114C1">
        <w:t xml:space="preserve"> to use resiliency as a plus factor when evaluating reliability or economic projects. </w:t>
      </w:r>
      <w:r w:rsidR="00476AFA">
        <w:t xml:space="preserve"> </w:t>
      </w:r>
      <w:r w:rsidR="005114C1">
        <w:t xml:space="preserve">Once the best practices are established in the industry, ERCOT is open to </w:t>
      </w:r>
      <w:proofErr w:type="gramStart"/>
      <w:r w:rsidR="00E662DE">
        <w:t>revisit</w:t>
      </w:r>
      <w:proofErr w:type="gramEnd"/>
      <w:r w:rsidR="00E662DE">
        <w:t xml:space="preserve"> this</w:t>
      </w:r>
      <w:r w:rsidR="005114C1">
        <w:t xml:space="preserve"> and </w:t>
      </w:r>
      <w:proofErr w:type="gramStart"/>
      <w:r w:rsidR="005114C1">
        <w:t>make</w:t>
      </w:r>
      <w:proofErr w:type="gramEnd"/>
      <w:r w:rsidR="005114C1">
        <w:t xml:space="preserve"> </w:t>
      </w:r>
      <w:r w:rsidR="00E662DE">
        <w:t>any improvements</w:t>
      </w:r>
      <w:r w:rsidR="005114C1">
        <w:t xml:space="preserve"> </w:t>
      </w:r>
      <w:r w:rsidR="00013776">
        <w:t xml:space="preserve">as </w:t>
      </w:r>
      <w:r w:rsidR="005114C1">
        <w:t xml:space="preserve">needed. </w:t>
      </w:r>
      <w:r w:rsidR="00476AFA">
        <w:t xml:space="preserve"> </w:t>
      </w:r>
      <w:r w:rsidR="005114C1">
        <w:t xml:space="preserve">With the increased need to plan for a reliable and resilient transmission grid, ERCOT urges stakeholders to move this NPRR forward </w:t>
      </w:r>
      <w:r w:rsidR="00476AFA">
        <w:t xml:space="preserve">by recommending approval of NPRR1286 as amended by the 8/22/25 ERCOT comments </w:t>
      </w:r>
      <w:r w:rsidR="005114C1">
        <w:t xml:space="preserve">to continue the improvement of the resiliency of the ERCOT System.  </w:t>
      </w:r>
    </w:p>
    <w:p w14:paraId="373A9DDD" w14:textId="77777777" w:rsidR="00861E48" w:rsidRDefault="00861E48" w:rsidP="00F047CA">
      <w:pPr>
        <w:pStyle w:val="NormalArial"/>
      </w:pPr>
    </w:p>
    <w:p w14:paraId="4C342312" w14:textId="5CF96170" w:rsidR="009F5A2D" w:rsidRDefault="00C533DF" w:rsidP="00C533DF">
      <w:pPr>
        <w:pStyle w:val="NormalArial"/>
        <w:tabs>
          <w:tab w:val="left" w:pos="6810"/>
        </w:tabs>
      </w:pPr>
      <w:r>
        <w:tab/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lastRenderedPageBreak/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2762E77F" w:rsidR="00256245" w:rsidRPr="002E6A90" w:rsidRDefault="002C1E62" w:rsidP="002C1E62">
      <w:pPr>
        <w:pStyle w:val="NormalArial"/>
        <w:spacing w:before="120" w:after="120"/>
      </w:pPr>
      <w:r>
        <w:t>None</w:t>
      </w:r>
    </w:p>
    <w:sectPr w:rsidR="00256245" w:rsidRPr="002E6A90" w:rsidSect="0074209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BEE3" w14:textId="77777777" w:rsidR="00E0239C" w:rsidRDefault="00E0239C">
      <w:r>
        <w:separator/>
      </w:r>
    </w:p>
  </w:endnote>
  <w:endnote w:type="continuationSeparator" w:id="0">
    <w:p w14:paraId="531E8F36" w14:textId="77777777" w:rsidR="00E0239C" w:rsidRDefault="00E0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72EB139E" w:rsidR="00EE6681" w:rsidRDefault="0048425F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9E4073">
      <w:rPr>
        <w:rFonts w:ascii="Arial" w:hAnsi="Arial"/>
        <w:sz w:val="18"/>
      </w:rPr>
      <w:t>86</w:t>
    </w:r>
    <w:r>
      <w:rPr>
        <w:rFonts w:ascii="Arial" w:hAnsi="Arial"/>
        <w:sz w:val="18"/>
      </w:rPr>
      <w:t>NPRR-</w:t>
    </w:r>
    <w:r w:rsidR="00BE305F">
      <w:rPr>
        <w:rFonts w:ascii="Arial" w:hAnsi="Arial"/>
        <w:sz w:val="18"/>
      </w:rPr>
      <w:t>12</w:t>
    </w:r>
    <w:r w:rsidR="00A361D2">
      <w:rPr>
        <w:rFonts w:ascii="Arial" w:hAnsi="Arial"/>
        <w:sz w:val="18"/>
      </w:rPr>
      <w:t xml:space="preserve"> </w:t>
    </w:r>
    <w:r w:rsidR="004E24F9">
      <w:rPr>
        <w:rFonts w:ascii="Arial" w:hAnsi="Arial"/>
        <w:sz w:val="18"/>
      </w:rPr>
      <w:t>ERCOT</w:t>
    </w:r>
    <w:r>
      <w:rPr>
        <w:rFonts w:ascii="Arial" w:hAnsi="Arial"/>
        <w:sz w:val="18"/>
      </w:rPr>
      <w:t xml:space="preserve"> Comments</w:t>
    </w:r>
    <w:r w:rsidR="00A361D2">
      <w:rPr>
        <w:rFonts w:ascii="Arial" w:hAnsi="Arial"/>
        <w:sz w:val="18"/>
      </w:rPr>
      <w:t xml:space="preserve"> </w:t>
    </w:r>
    <w:r w:rsidR="00013776">
      <w:rPr>
        <w:rFonts w:ascii="Arial" w:hAnsi="Arial"/>
        <w:sz w:val="18"/>
      </w:rPr>
      <w:t>04</w:t>
    </w:r>
    <w:r w:rsidR="000707E9">
      <w:rPr>
        <w:rFonts w:ascii="Arial" w:hAnsi="Arial"/>
        <w:sz w:val="18"/>
      </w:rPr>
      <w:t>08</w:t>
    </w:r>
    <w:r w:rsidR="00013776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3F445B38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</w:t>
    </w:r>
    <w:r w:rsidR="00FB08FB">
      <w:rPr>
        <w:rFonts w:ascii="Arial" w:hAnsi="Arial"/>
        <w:sz w:val="18"/>
      </w:rPr>
      <w:t>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5825" w14:textId="77777777" w:rsidR="00E0239C" w:rsidRDefault="00E0239C">
      <w:r>
        <w:separator/>
      </w:r>
    </w:p>
  </w:footnote>
  <w:footnote w:type="continuationSeparator" w:id="0">
    <w:p w14:paraId="679FC42E" w14:textId="77777777" w:rsidR="00E0239C" w:rsidRDefault="00E0239C">
      <w:r>
        <w:continuationSeparator/>
      </w:r>
    </w:p>
  </w:footnote>
  <w:footnote w:id="1">
    <w:p w14:paraId="42130201" w14:textId="461B1E04" w:rsidR="006813F7" w:rsidRPr="006813F7" w:rsidRDefault="006813F7" w:rsidP="006813F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 Review of Chapter §25.101 Certification Criteria</w:t>
      </w:r>
      <w:r>
        <w:t>, PUCT Project No. 53403, Order Adopting Amendments to 16 TAC §25.101 as Approved at the November 30, 2022 Open Meeting</w:t>
      </w:r>
      <w:r>
        <w:rPr>
          <w:i/>
          <w:iCs/>
        </w:rPr>
        <w:t xml:space="preserve"> </w:t>
      </w:r>
      <w:r>
        <w:t>at 33-34, 36 (Dec. 7, 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D422E9"/>
    <w:multiLevelType w:val="hybridMultilevel"/>
    <w:tmpl w:val="0E728832"/>
    <w:lvl w:ilvl="0" w:tplc="6A98DB38">
      <w:start w:val="1"/>
      <w:numFmt w:val="decimal"/>
      <w:lvlText w:val="%1)"/>
      <w:lvlJc w:val="left"/>
      <w:pPr>
        <w:ind w:left="1020" w:hanging="360"/>
      </w:pPr>
    </w:lvl>
    <w:lvl w:ilvl="1" w:tplc="7D2C9E60">
      <w:start w:val="1"/>
      <w:numFmt w:val="decimal"/>
      <w:lvlText w:val="%2)"/>
      <w:lvlJc w:val="left"/>
      <w:pPr>
        <w:ind w:left="1020" w:hanging="360"/>
      </w:pPr>
    </w:lvl>
    <w:lvl w:ilvl="2" w:tplc="45CABD40">
      <w:start w:val="1"/>
      <w:numFmt w:val="decimal"/>
      <w:lvlText w:val="%3)"/>
      <w:lvlJc w:val="left"/>
      <w:pPr>
        <w:ind w:left="1020" w:hanging="360"/>
      </w:pPr>
    </w:lvl>
    <w:lvl w:ilvl="3" w:tplc="FA3C8ADC">
      <w:start w:val="1"/>
      <w:numFmt w:val="decimal"/>
      <w:lvlText w:val="%4)"/>
      <w:lvlJc w:val="left"/>
      <w:pPr>
        <w:ind w:left="1020" w:hanging="360"/>
      </w:pPr>
    </w:lvl>
    <w:lvl w:ilvl="4" w:tplc="C0C830E8">
      <w:start w:val="1"/>
      <w:numFmt w:val="decimal"/>
      <w:lvlText w:val="%5)"/>
      <w:lvlJc w:val="left"/>
      <w:pPr>
        <w:ind w:left="1020" w:hanging="360"/>
      </w:pPr>
    </w:lvl>
    <w:lvl w:ilvl="5" w:tplc="AA643176">
      <w:start w:val="1"/>
      <w:numFmt w:val="decimal"/>
      <w:lvlText w:val="%6)"/>
      <w:lvlJc w:val="left"/>
      <w:pPr>
        <w:ind w:left="1020" w:hanging="360"/>
      </w:pPr>
    </w:lvl>
    <w:lvl w:ilvl="6" w:tplc="F7CACB70">
      <w:start w:val="1"/>
      <w:numFmt w:val="decimal"/>
      <w:lvlText w:val="%7)"/>
      <w:lvlJc w:val="left"/>
      <w:pPr>
        <w:ind w:left="1020" w:hanging="360"/>
      </w:pPr>
    </w:lvl>
    <w:lvl w:ilvl="7" w:tplc="34142C9A">
      <w:start w:val="1"/>
      <w:numFmt w:val="decimal"/>
      <w:lvlText w:val="%8)"/>
      <w:lvlJc w:val="left"/>
      <w:pPr>
        <w:ind w:left="1020" w:hanging="360"/>
      </w:pPr>
    </w:lvl>
    <w:lvl w:ilvl="8" w:tplc="89F056CA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D7CA2"/>
    <w:multiLevelType w:val="hybridMultilevel"/>
    <w:tmpl w:val="1034D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60336243"/>
    <w:multiLevelType w:val="hybridMultilevel"/>
    <w:tmpl w:val="5398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20"/>
  </w:num>
  <w:num w:numId="3" w16cid:durableId="1134641666">
    <w:abstractNumId w:val="2"/>
  </w:num>
  <w:num w:numId="4" w16cid:durableId="753816909">
    <w:abstractNumId w:val="15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4"/>
  </w:num>
  <w:num w:numId="10" w16cid:durableId="2078628535">
    <w:abstractNumId w:val="1"/>
  </w:num>
  <w:num w:numId="11" w16cid:durableId="649477257">
    <w:abstractNumId w:val="11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9"/>
  </w:num>
  <w:num w:numId="15" w16cid:durableId="1454790892">
    <w:abstractNumId w:val="13"/>
  </w:num>
  <w:num w:numId="16" w16cid:durableId="1690370411">
    <w:abstractNumId w:val="18"/>
  </w:num>
  <w:num w:numId="17" w16cid:durableId="8869889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10"/>
  </w:num>
  <w:num w:numId="19" w16cid:durableId="273052641">
    <w:abstractNumId w:val="16"/>
  </w:num>
  <w:num w:numId="20" w16cid:durableId="193344398">
    <w:abstractNumId w:val="12"/>
  </w:num>
  <w:num w:numId="21" w16cid:durableId="1354919598">
    <w:abstractNumId w:val="17"/>
  </w:num>
  <w:num w:numId="22" w16cid:durableId="182479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3776"/>
    <w:rsid w:val="00014498"/>
    <w:rsid w:val="000224A9"/>
    <w:rsid w:val="00023398"/>
    <w:rsid w:val="000243E4"/>
    <w:rsid w:val="00033F24"/>
    <w:rsid w:val="00035152"/>
    <w:rsid w:val="00037668"/>
    <w:rsid w:val="00041F60"/>
    <w:rsid w:val="000464B0"/>
    <w:rsid w:val="00052F7C"/>
    <w:rsid w:val="000707E9"/>
    <w:rsid w:val="00070A6F"/>
    <w:rsid w:val="000757AC"/>
    <w:rsid w:val="00075A94"/>
    <w:rsid w:val="00076BAF"/>
    <w:rsid w:val="00085033"/>
    <w:rsid w:val="00085712"/>
    <w:rsid w:val="00090534"/>
    <w:rsid w:val="0009502D"/>
    <w:rsid w:val="00097DD6"/>
    <w:rsid w:val="000A5DEC"/>
    <w:rsid w:val="000A7825"/>
    <w:rsid w:val="000E2CBD"/>
    <w:rsid w:val="000F2C6D"/>
    <w:rsid w:val="00100478"/>
    <w:rsid w:val="00105EE4"/>
    <w:rsid w:val="001123DE"/>
    <w:rsid w:val="00132855"/>
    <w:rsid w:val="001417A0"/>
    <w:rsid w:val="00147184"/>
    <w:rsid w:val="001515E7"/>
    <w:rsid w:val="00152993"/>
    <w:rsid w:val="00156E89"/>
    <w:rsid w:val="00164921"/>
    <w:rsid w:val="00170297"/>
    <w:rsid w:val="00177EBF"/>
    <w:rsid w:val="0018090C"/>
    <w:rsid w:val="00197FC8"/>
    <w:rsid w:val="001A227D"/>
    <w:rsid w:val="001B2742"/>
    <w:rsid w:val="001C4897"/>
    <w:rsid w:val="001C5AAA"/>
    <w:rsid w:val="001E2032"/>
    <w:rsid w:val="001F12A2"/>
    <w:rsid w:val="001F2ACB"/>
    <w:rsid w:val="00201EE3"/>
    <w:rsid w:val="0021337A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6223B"/>
    <w:rsid w:val="002757FC"/>
    <w:rsid w:val="00275E29"/>
    <w:rsid w:val="002807C4"/>
    <w:rsid w:val="00281F56"/>
    <w:rsid w:val="00283F7A"/>
    <w:rsid w:val="00290218"/>
    <w:rsid w:val="002926D5"/>
    <w:rsid w:val="002962B8"/>
    <w:rsid w:val="002A32C4"/>
    <w:rsid w:val="002A5493"/>
    <w:rsid w:val="002B199E"/>
    <w:rsid w:val="002C1E62"/>
    <w:rsid w:val="002C5D43"/>
    <w:rsid w:val="002C726E"/>
    <w:rsid w:val="002D6BEB"/>
    <w:rsid w:val="002E0156"/>
    <w:rsid w:val="002E27C4"/>
    <w:rsid w:val="002E6A90"/>
    <w:rsid w:val="003010C0"/>
    <w:rsid w:val="003032AC"/>
    <w:rsid w:val="00307F5D"/>
    <w:rsid w:val="00312D49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3B1C"/>
    <w:rsid w:val="00394C7C"/>
    <w:rsid w:val="003A0668"/>
    <w:rsid w:val="003A1B30"/>
    <w:rsid w:val="003A551C"/>
    <w:rsid w:val="003B6B46"/>
    <w:rsid w:val="003C270C"/>
    <w:rsid w:val="003C668F"/>
    <w:rsid w:val="003D0994"/>
    <w:rsid w:val="003D45AF"/>
    <w:rsid w:val="003E6F63"/>
    <w:rsid w:val="003F4E90"/>
    <w:rsid w:val="00421BDD"/>
    <w:rsid w:val="00423824"/>
    <w:rsid w:val="0043567D"/>
    <w:rsid w:val="00441667"/>
    <w:rsid w:val="004477D6"/>
    <w:rsid w:val="0045296E"/>
    <w:rsid w:val="00454FCF"/>
    <w:rsid w:val="00457C7D"/>
    <w:rsid w:val="00457F19"/>
    <w:rsid w:val="004619A1"/>
    <w:rsid w:val="00467A53"/>
    <w:rsid w:val="00476AFA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68C2"/>
    <w:rsid w:val="004E7A94"/>
    <w:rsid w:val="004F1932"/>
    <w:rsid w:val="004F2FE8"/>
    <w:rsid w:val="004F3479"/>
    <w:rsid w:val="00503E8C"/>
    <w:rsid w:val="00504AE7"/>
    <w:rsid w:val="005114C1"/>
    <w:rsid w:val="005141DE"/>
    <w:rsid w:val="0051457F"/>
    <w:rsid w:val="00521A04"/>
    <w:rsid w:val="005247FE"/>
    <w:rsid w:val="005429E0"/>
    <w:rsid w:val="00544E16"/>
    <w:rsid w:val="0054545D"/>
    <w:rsid w:val="00562430"/>
    <w:rsid w:val="00565220"/>
    <w:rsid w:val="00575116"/>
    <w:rsid w:val="00580C6B"/>
    <w:rsid w:val="00593357"/>
    <w:rsid w:val="00595110"/>
    <w:rsid w:val="005B0B6C"/>
    <w:rsid w:val="005B62E0"/>
    <w:rsid w:val="005C176D"/>
    <w:rsid w:val="005D05BF"/>
    <w:rsid w:val="005D0FBA"/>
    <w:rsid w:val="005D284C"/>
    <w:rsid w:val="005D4A0B"/>
    <w:rsid w:val="005E24B7"/>
    <w:rsid w:val="005E7FD3"/>
    <w:rsid w:val="005F6C7C"/>
    <w:rsid w:val="00601685"/>
    <w:rsid w:val="00604512"/>
    <w:rsid w:val="0060784C"/>
    <w:rsid w:val="00633E23"/>
    <w:rsid w:val="006362DC"/>
    <w:rsid w:val="00641135"/>
    <w:rsid w:val="006472CF"/>
    <w:rsid w:val="0065113A"/>
    <w:rsid w:val="00660A33"/>
    <w:rsid w:val="00661BCC"/>
    <w:rsid w:val="00663D70"/>
    <w:rsid w:val="00673683"/>
    <w:rsid w:val="00673B94"/>
    <w:rsid w:val="00680AC6"/>
    <w:rsid w:val="006813F7"/>
    <w:rsid w:val="006831AD"/>
    <w:rsid w:val="006835D8"/>
    <w:rsid w:val="0069325F"/>
    <w:rsid w:val="006B01F4"/>
    <w:rsid w:val="006B0503"/>
    <w:rsid w:val="006C0FAC"/>
    <w:rsid w:val="006C316E"/>
    <w:rsid w:val="006D0F7C"/>
    <w:rsid w:val="006D4912"/>
    <w:rsid w:val="006E60B9"/>
    <w:rsid w:val="006F554E"/>
    <w:rsid w:val="006F5A76"/>
    <w:rsid w:val="007018D4"/>
    <w:rsid w:val="00711D44"/>
    <w:rsid w:val="007215D6"/>
    <w:rsid w:val="007221A0"/>
    <w:rsid w:val="007269C4"/>
    <w:rsid w:val="00740791"/>
    <w:rsid w:val="007414EF"/>
    <w:rsid w:val="0074209E"/>
    <w:rsid w:val="00745252"/>
    <w:rsid w:val="00747683"/>
    <w:rsid w:val="00760459"/>
    <w:rsid w:val="007629D1"/>
    <w:rsid w:val="007646FB"/>
    <w:rsid w:val="00771331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F2CA8"/>
    <w:rsid w:val="007F7161"/>
    <w:rsid w:val="00816EA8"/>
    <w:rsid w:val="00817529"/>
    <w:rsid w:val="00824335"/>
    <w:rsid w:val="00831E42"/>
    <w:rsid w:val="008345F6"/>
    <w:rsid w:val="00837083"/>
    <w:rsid w:val="00837E89"/>
    <w:rsid w:val="00843350"/>
    <w:rsid w:val="00855513"/>
    <w:rsid w:val="0085559E"/>
    <w:rsid w:val="00861E48"/>
    <w:rsid w:val="00865930"/>
    <w:rsid w:val="00867DB0"/>
    <w:rsid w:val="00870D9E"/>
    <w:rsid w:val="008900B8"/>
    <w:rsid w:val="00896B1B"/>
    <w:rsid w:val="008D042C"/>
    <w:rsid w:val="008D541B"/>
    <w:rsid w:val="008D762D"/>
    <w:rsid w:val="008E559E"/>
    <w:rsid w:val="008F340E"/>
    <w:rsid w:val="00904574"/>
    <w:rsid w:val="00911FDE"/>
    <w:rsid w:val="00916080"/>
    <w:rsid w:val="00921A68"/>
    <w:rsid w:val="00927391"/>
    <w:rsid w:val="00933B50"/>
    <w:rsid w:val="0093490E"/>
    <w:rsid w:val="00934F1A"/>
    <w:rsid w:val="00935301"/>
    <w:rsid w:val="0093569D"/>
    <w:rsid w:val="009467F0"/>
    <w:rsid w:val="00951B62"/>
    <w:rsid w:val="00956AC5"/>
    <w:rsid w:val="00957F96"/>
    <w:rsid w:val="00966576"/>
    <w:rsid w:val="00966B13"/>
    <w:rsid w:val="00976203"/>
    <w:rsid w:val="00991A05"/>
    <w:rsid w:val="009A1317"/>
    <w:rsid w:val="009A18A7"/>
    <w:rsid w:val="009B1C60"/>
    <w:rsid w:val="009B4F2A"/>
    <w:rsid w:val="009C2247"/>
    <w:rsid w:val="009C611A"/>
    <w:rsid w:val="009C6F3E"/>
    <w:rsid w:val="009D5352"/>
    <w:rsid w:val="009D5B83"/>
    <w:rsid w:val="009E162D"/>
    <w:rsid w:val="009E4073"/>
    <w:rsid w:val="009E6574"/>
    <w:rsid w:val="009F2080"/>
    <w:rsid w:val="009F5A2D"/>
    <w:rsid w:val="009F5FD8"/>
    <w:rsid w:val="009F797B"/>
    <w:rsid w:val="00A0055E"/>
    <w:rsid w:val="00A015C4"/>
    <w:rsid w:val="00A03B04"/>
    <w:rsid w:val="00A11D2B"/>
    <w:rsid w:val="00A15172"/>
    <w:rsid w:val="00A160C8"/>
    <w:rsid w:val="00A24D8F"/>
    <w:rsid w:val="00A2610E"/>
    <w:rsid w:val="00A33202"/>
    <w:rsid w:val="00A361D2"/>
    <w:rsid w:val="00A44F50"/>
    <w:rsid w:val="00A45832"/>
    <w:rsid w:val="00A631DA"/>
    <w:rsid w:val="00A67CE7"/>
    <w:rsid w:val="00A75EB9"/>
    <w:rsid w:val="00A86C20"/>
    <w:rsid w:val="00A97882"/>
    <w:rsid w:val="00AA12DE"/>
    <w:rsid w:val="00AC2EE1"/>
    <w:rsid w:val="00AE0B97"/>
    <w:rsid w:val="00AE23F1"/>
    <w:rsid w:val="00B05821"/>
    <w:rsid w:val="00B15A8F"/>
    <w:rsid w:val="00B20510"/>
    <w:rsid w:val="00B226EA"/>
    <w:rsid w:val="00B31A9E"/>
    <w:rsid w:val="00B41002"/>
    <w:rsid w:val="00B5080A"/>
    <w:rsid w:val="00B53ABA"/>
    <w:rsid w:val="00B604BB"/>
    <w:rsid w:val="00B62BD8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E305F"/>
    <w:rsid w:val="00BF1AF2"/>
    <w:rsid w:val="00C0598D"/>
    <w:rsid w:val="00C11956"/>
    <w:rsid w:val="00C21BBD"/>
    <w:rsid w:val="00C47EC4"/>
    <w:rsid w:val="00C50EE3"/>
    <w:rsid w:val="00C533DF"/>
    <w:rsid w:val="00C577F6"/>
    <w:rsid w:val="00C602E5"/>
    <w:rsid w:val="00C6121C"/>
    <w:rsid w:val="00C644F3"/>
    <w:rsid w:val="00C7364E"/>
    <w:rsid w:val="00C748FD"/>
    <w:rsid w:val="00C800BC"/>
    <w:rsid w:val="00C83680"/>
    <w:rsid w:val="00C85843"/>
    <w:rsid w:val="00C86878"/>
    <w:rsid w:val="00C94EE3"/>
    <w:rsid w:val="00CA33B0"/>
    <w:rsid w:val="00CC0DB1"/>
    <w:rsid w:val="00CD1D55"/>
    <w:rsid w:val="00CD22C4"/>
    <w:rsid w:val="00CD2BE8"/>
    <w:rsid w:val="00CD2EC4"/>
    <w:rsid w:val="00CE1392"/>
    <w:rsid w:val="00CE2BBA"/>
    <w:rsid w:val="00CF756E"/>
    <w:rsid w:val="00D200AE"/>
    <w:rsid w:val="00D27372"/>
    <w:rsid w:val="00D4046E"/>
    <w:rsid w:val="00D40F8B"/>
    <w:rsid w:val="00D4362F"/>
    <w:rsid w:val="00D761AC"/>
    <w:rsid w:val="00D83F86"/>
    <w:rsid w:val="00D8635F"/>
    <w:rsid w:val="00D8744A"/>
    <w:rsid w:val="00D906C1"/>
    <w:rsid w:val="00D919BF"/>
    <w:rsid w:val="00DB1275"/>
    <w:rsid w:val="00DC0360"/>
    <w:rsid w:val="00DD4739"/>
    <w:rsid w:val="00DE5F33"/>
    <w:rsid w:val="00DE77D4"/>
    <w:rsid w:val="00DF3196"/>
    <w:rsid w:val="00DF35FB"/>
    <w:rsid w:val="00DF672C"/>
    <w:rsid w:val="00E00CA9"/>
    <w:rsid w:val="00E0239C"/>
    <w:rsid w:val="00E07B54"/>
    <w:rsid w:val="00E11F78"/>
    <w:rsid w:val="00E12F5E"/>
    <w:rsid w:val="00E142E0"/>
    <w:rsid w:val="00E15FB7"/>
    <w:rsid w:val="00E26CA9"/>
    <w:rsid w:val="00E330A2"/>
    <w:rsid w:val="00E37259"/>
    <w:rsid w:val="00E3732E"/>
    <w:rsid w:val="00E4407B"/>
    <w:rsid w:val="00E46CFE"/>
    <w:rsid w:val="00E621E1"/>
    <w:rsid w:val="00E65481"/>
    <w:rsid w:val="00E662DE"/>
    <w:rsid w:val="00E73A02"/>
    <w:rsid w:val="00E74A47"/>
    <w:rsid w:val="00E74E6B"/>
    <w:rsid w:val="00E7659B"/>
    <w:rsid w:val="00E81A84"/>
    <w:rsid w:val="00E83B82"/>
    <w:rsid w:val="00E92957"/>
    <w:rsid w:val="00E93E80"/>
    <w:rsid w:val="00E94233"/>
    <w:rsid w:val="00E97150"/>
    <w:rsid w:val="00EA09F3"/>
    <w:rsid w:val="00EA1C26"/>
    <w:rsid w:val="00EA718D"/>
    <w:rsid w:val="00EC0526"/>
    <w:rsid w:val="00EC0CC8"/>
    <w:rsid w:val="00EC55B3"/>
    <w:rsid w:val="00ED380F"/>
    <w:rsid w:val="00ED58BD"/>
    <w:rsid w:val="00ED7736"/>
    <w:rsid w:val="00EE17BE"/>
    <w:rsid w:val="00EE34AA"/>
    <w:rsid w:val="00EE6681"/>
    <w:rsid w:val="00EF041C"/>
    <w:rsid w:val="00F0009A"/>
    <w:rsid w:val="00F047CA"/>
    <w:rsid w:val="00F128B1"/>
    <w:rsid w:val="00F47A5A"/>
    <w:rsid w:val="00F51B03"/>
    <w:rsid w:val="00F56919"/>
    <w:rsid w:val="00F57D7F"/>
    <w:rsid w:val="00F65575"/>
    <w:rsid w:val="00F84225"/>
    <w:rsid w:val="00F9446A"/>
    <w:rsid w:val="00F96FB2"/>
    <w:rsid w:val="00FA3086"/>
    <w:rsid w:val="00FA629D"/>
    <w:rsid w:val="00FA7861"/>
    <w:rsid w:val="00FB08FB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9E697919-161F-4963-923F-AF897E2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tthew.Arth@er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g.Yan@er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4490</Characters>
  <Application>Microsoft Office Word</Application>
  <DocSecurity>0</DocSecurity>
  <Lines>104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3</cp:revision>
  <dcterms:created xsi:type="dcterms:W3CDTF">2026-04-08T19:20:00Z</dcterms:created>
  <dcterms:modified xsi:type="dcterms:W3CDTF">2026-04-08T19:20:00Z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2026-04-08T14:11:29Z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95f54756-e425-474c-b802-073d4138f70c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