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AF08B0" w14:textId="77777777" w:rsidR="00EB6935" w:rsidRDefault="00000000">
      <w:pPr>
        <w:spacing w:after="80"/>
        <w:jc w:val="center"/>
      </w:pPr>
      <w:r>
        <w:rPr>
          <w:b/>
          <w:bCs/>
          <w:sz w:val="24"/>
          <w:szCs w:val="24"/>
        </w:rPr>
        <w:t>Planning Working Group (PLWG) Meeting Minutes</w:t>
      </w:r>
    </w:p>
    <w:p w14:paraId="57ED2D64" w14:textId="4A6A8E42" w:rsidR="00EB6935" w:rsidRDefault="00000000">
      <w:pPr>
        <w:spacing w:after="240"/>
        <w:jc w:val="center"/>
      </w:pPr>
      <w:r>
        <w:rPr>
          <w:b/>
          <w:bCs/>
          <w:sz w:val="22"/>
          <w:szCs w:val="22"/>
        </w:rPr>
        <w:t>March</w:t>
      </w:r>
      <w:r w:rsidR="00EA03A1">
        <w:rPr>
          <w:b/>
          <w:bCs/>
          <w:sz w:val="22"/>
          <w:szCs w:val="22"/>
        </w:rPr>
        <w:t xml:space="preserve"> 6th</w:t>
      </w:r>
      <w:r>
        <w:rPr>
          <w:b/>
          <w:bCs/>
          <w:sz w:val="22"/>
          <w:szCs w:val="22"/>
        </w:rPr>
        <w:t>, 2026 (Web</w:t>
      </w:r>
      <w:r w:rsidR="00EA03A1">
        <w:rPr>
          <w:b/>
          <w:bCs/>
          <w:sz w:val="22"/>
          <w:szCs w:val="22"/>
        </w:rPr>
        <w:t>-</w:t>
      </w:r>
      <w:r>
        <w:rPr>
          <w:b/>
          <w:bCs/>
          <w:sz w:val="22"/>
          <w:szCs w:val="22"/>
        </w:rPr>
        <w:t>Ex</w:t>
      </w:r>
      <w:r w:rsidR="00EA03A1">
        <w:rPr>
          <w:b/>
          <w:bCs/>
          <w:sz w:val="22"/>
          <w:szCs w:val="22"/>
        </w:rPr>
        <w:t xml:space="preserve"> Only</w:t>
      </w:r>
      <w:r>
        <w:rPr>
          <w:b/>
          <w:bCs/>
          <w:sz w:val="22"/>
          <w:szCs w:val="22"/>
        </w:rPr>
        <w: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21"/>
        <w:gridCol w:w="6126"/>
        <w:gridCol w:w="1913"/>
      </w:tblGrid>
      <w:tr w:rsidR="00EB6935" w14:paraId="1946595C" w14:textId="77777777">
        <w:tblPrEx>
          <w:tblCellMar>
            <w:top w:w="0" w:type="dxa"/>
            <w:bottom w:w="0" w:type="dxa"/>
          </w:tblCellMar>
        </w:tblPrEx>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0F32CEB" w14:textId="77777777" w:rsidR="00EB6935" w:rsidRDefault="00000000">
            <w:pPr>
              <w:jc w:val="center"/>
            </w:pPr>
            <w:r>
              <w:rPr>
                <w:b/>
                <w:bCs/>
                <w:color w:val="000000"/>
              </w:rPr>
              <w:t>#</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C0F1A2C" w14:textId="77777777" w:rsidR="00EB6935" w:rsidRDefault="00000000">
            <w:pPr>
              <w:jc w:val="center"/>
            </w:pPr>
            <w:r>
              <w:rPr>
                <w:b/>
                <w:bCs/>
                <w:color w:val="000000"/>
              </w:rPr>
              <w:t>Topic</w:t>
            </w:r>
          </w:p>
        </w:tc>
        <w:tc>
          <w:tcPr>
            <w:tcW w:w="14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A6BEBEA" w14:textId="77777777" w:rsidR="00EB6935" w:rsidRDefault="00000000">
            <w:pPr>
              <w:jc w:val="center"/>
            </w:pPr>
            <w:r>
              <w:rPr>
                <w:b/>
                <w:bCs/>
                <w:color w:val="000000"/>
              </w:rPr>
              <w:t>Lead</w:t>
            </w:r>
          </w:p>
        </w:tc>
      </w:tr>
      <w:tr w:rsidR="00EB6935" w14:paraId="661B0D3D"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ADEE0BC" w14:textId="77777777" w:rsidR="00EB6935" w:rsidRDefault="00000000">
            <w:pPr>
              <w:jc w:val="center"/>
            </w:pPr>
            <w:r>
              <w:rPr>
                <w:b/>
                <w:bCs/>
                <w:color w:val="000000"/>
              </w:rPr>
              <w:t>1.</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3605CA0" w14:textId="77777777" w:rsidR="00EB6935" w:rsidRDefault="00000000">
            <w:r>
              <w:rPr>
                <w:b/>
                <w:bCs/>
                <w:color w:val="000000"/>
              </w:rPr>
              <w:t>Antitrust Admonition</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2CE0ECF" w14:textId="77777777" w:rsidR="00EB6935" w:rsidRDefault="00000000">
            <w:pPr>
              <w:jc w:val="center"/>
            </w:pPr>
            <w:r>
              <w:rPr>
                <w:b/>
                <w:bCs/>
                <w:color w:val="000000"/>
              </w:rPr>
              <w:t>Chair</w:t>
            </w:r>
          </w:p>
        </w:tc>
      </w:tr>
      <w:tr w:rsidR="00EB6935" w14:paraId="481D1E0C"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36D7C889"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0F34EE6A" w14:textId="77777777" w:rsidR="00EB6935" w:rsidRDefault="00000000">
            <w:r>
              <w:t>Meeting started. Antitrust admonition was given. Participants were directed to review the admonition before proceeding with the agenda.</w:t>
            </w:r>
          </w:p>
        </w:tc>
        <w:tc>
          <w:tcPr>
            <w:tcW w:w="2040" w:type="dxa"/>
            <w:tcBorders>
              <w:top w:val="none" w:sz="0" w:space="0" w:color="FFFFFF"/>
              <w:left w:val="none" w:sz="0" w:space="0" w:color="FFFFFF"/>
              <w:bottom w:val="single" w:sz="4" w:space="0" w:color="000000"/>
              <w:right w:val="single" w:sz="4" w:space="0" w:color="000000"/>
            </w:tcBorders>
          </w:tcPr>
          <w:p w14:paraId="7CAB0649" w14:textId="77777777" w:rsidR="00EB6935" w:rsidRDefault="00EB6935"/>
        </w:tc>
      </w:tr>
      <w:tr w:rsidR="00EB6935" w14:paraId="076F406A"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016920C" w14:textId="77777777" w:rsidR="00EB6935" w:rsidRDefault="00000000">
            <w:pPr>
              <w:jc w:val="center"/>
            </w:pPr>
            <w:r>
              <w:rPr>
                <w:b/>
                <w:bCs/>
                <w:color w:val="000000"/>
              </w:rPr>
              <w:t>2.</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CED881D" w14:textId="77777777" w:rsidR="00EB6935" w:rsidRDefault="00000000">
            <w:r>
              <w:rPr>
                <w:b/>
                <w:bCs/>
                <w:color w:val="000000"/>
              </w:rPr>
              <w:t>Agenda Review</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5F8B8B63" w14:textId="77777777" w:rsidR="00EB6935" w:rsidRDefault="00000000">
            <w:pPr>
              <w:jc w:val="center"/>
            </w:pPr>
            <w:r>
              <w:rPr>
                <w:b/>
                <w:bCs/>
                <w:color w:val="000000"/>
              </w:rPr>
              <w:t>Chair</w:t>
            </w:r>
          </w:p>
        </w:tc>
      </w:tr>
      <w:tr w:rsidR="00EB6935" w14:paraId="14541AAB"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5206E81E"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6E0396EB" w14:textId="77777777" w:rsidR="00EB6935" w:rsidRDefault="00000000">
            <w:r>
              <w:t>Agenda was reviewed. Chair confirmed the order of items.</w:t>
            </w:r>
          </w:p>
        </w:tc>
        <w:tc>
          <w:tcPr>
            <w:tcW w:w="2040" w:type="dxa"/>
            <w:tcBorders>
              <w:top w:val="none" w:sz="0" w:space="0" w:color="FFFFFF"/>
              <w:left w:val="none" w:sz="0" w:space="0" w:color="FFFFFF"/>
              <w:bottom w:val="single" w:sz="4" w:space="0" w:color="000000"/>
              <w:right w:val="single" w:sz="4" w:space="0" w:color="000000"/>
            </w:tcBorders>
          </w:tcPr>
          <w:p w14:paraId="1AC1B547" w14:textId="77777777" w:rsidR="00EB6935" w:rsidRDefault="00EB6935"/>
        </w:tc>
      </w:tr>
      <w:tr w:rsidR="00EB6935" w14:paraId="05FDADB6"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98FDC99" w14:textId="77777777" w:rsidR="00EB6935" w:rsidRDefault="00000000">
            <w:pPr>
              <w:jc w:val="center"/>
            </w:pPr>
            <w:r>
              <w:rPr>
                <w:b/>
                <w:bCs/>
                <w:color w:val="000000"/>
              </w:rPr>
              <w:t>3.</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F0EC88E" w14:textId="77777777" w:rsidR="00EB6935" w:rsidRDefault="00000000">
            <w:r>
              <w:rPr>
                <w:b/>
                <w:bCs/>
                <w:color w:val="000000"/>
              </w:rPr>
              <w:t>Review of PLWG Meeting Minutes (February)</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530A384" w14:textId="77777777" w:rsidR="00EB6935" w:rsidRDefault="00000000">
            <w:pPr>
              <w:jc w:val="center"/>
            </w:pPr>
            <w:r>
              <w:rPr>
                <w:b/>
                <w:bCs/>
                <w:color w:val="000000"/>
              </w:rPr>
              <w:t>Chair</w:t>
            </w:r>
          </w:p>
        </w:tc>
      </w:tr>
      <w:tr w:rsidR="00EB6935" w14:paraId="1BDF559C"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6FFDDFC7"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797ECC20" w14:textId="77777777" w:rsidR="00EB6935" w:rsidRDefault="00000000">
            <w:r>
              <w:t>The PLWG meeting minutes from the prior months were not available for review at this meeting. The Chair committed to covering the outstanding meeting minutes at the next meeting.</w:t>
            </w:r>
          </w:p>
          <w:p w14:paraId="1069EAFA" w14:textId="77777777" w:rsidR="00EB6935" w:rsidRDefault="00000000">
            <w:r>
              <w:rPr>
                <w:b/>
                <w:bCs/>
                <w:i/>
                <w:iCs/>
              </w:rPr>
              <w:t>Action Taken: Meeting minutes review deferred to next PLWG meeting.</w:t>
            </w:r>
          </w:p>
        </w:tc>
        <w:tc>
          <w:tcPr>
            <w:tcW w:w="2040" w:type="dxa"/>
            <w:tcBorders>
              <w:top w:val="none" w:sz="0" w:space="0" w:color="FFFFFF"/>
              <w:left w:val="none" w:sz="0" w:space="0" w:color="FFFFFF"/>
              <w:bottom w:val="single" w:sz="4" w:space="0" w:color="000000"/>
              <w:right w:val="single" w:sz="4" w:space="0" w:color="000000"/>
            </w:tcBorders>
          </w:tcPr>
          <w:p w14:paraId="4A683C55" w14:textId="77777777" w:rsidR="00EB6935" w:rsidRDefault="00EB6935"/>
        </w:tc>
      </w:tr>
      <w:tr w:rsidR="00EB6935" w14:paraId="2D78B558"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1E3F525" w14:textId="77777777" w:rsidR="00EB6935" w:rsidRDefault="00000000">
            <w:pPr>
              <w:jc w:val="center"/>
            </w:pPr>
            <w:r>
              <w:rPr>
                <w:b/>
                <w:bCs/>
                <w:color w:val="000000"/>
              </w:rPr>
              <w:t>4.</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0140847B" w14:textId="77777777" w:rsidR="00EB6935" w:rsidRDefault="00000000">
            <w:r>
              <w:rPr>
                <w:b/>
                <w:bCs/>
                <w:color w:val="000000"/>
              </w:rPr>
              <w:t>PGRR128 - Regional Planning Group Review of Grid Enhancing Technologies</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32715B6" w14:textId="77777777" w:rsidR="00EB6935" w:rsidRDefault="00000000">
            <w:pPr>
              <w:jc w:val="center"/>
            </w:pPr>
            <w:r>
              <w:rPr>
                <w:b/>
                <w:bCs/>
                <w:color w:val="000000"/>
              </w:rPr>
              <w:t>PLWG</w:t>
            </w:r>
          </w:p>
        </w:tc>
      </w:tr>
      <w:tr w:rsidR="00EB6935" w14:paraId="22E72481"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0AD1C83A"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2CFB0D56" w14:textId="77777777" w:rsidR="00EB6935" w:rsidRDefault="00000000">
            <w:r>
              <w:t>No online participants were available to present or discuss PGRR128.</w:t>
            </w:r>
          </w:p>
          <w:p w14:paraId="363B572D" w14:textId="77777777" w:rsidR="00EB6935" w:rsidRDefault="00000000">
            <w:r>
              <w:rPr>
                <w:b/>
                <w:bCs/>
                <w:i/>
                <w:iCs/>
              </w:rPr>
              <w:t>Action Taken: No discussion. Continued to table PGRR128.</w:t>
            </w:r>
          </w:p>
        </w:tc>
        <w:tc>
          <w:tcPr>
            <w:tcW w:w="2040" w:type="dxa"/>
            <w:tcBorders>
              <w:top w:val="none" w:sz="0" w:space="0" w:color="FFFFFF"/>
              <w:left w:val="none" w:sz="0" w:space="0" w:color="FFFFFF"/>
              <w:bottom w:val="single" w:sz="4" w:space="0" w:color="000000"/>
              <w:right w:val="single" w:sz="4" w:space="0" w:color="000000"/>
            </w:tcBorders>
          </w:tcPr>
          <w:p w14:paraId="1D8C1AA6" w14:textId="77777777" w:rsidR="00EB6935" w:rsidRDefault="00EB6935"/>
        </w:tc>
      </w:tr>
      <w:tr w:rsidR="00EB6935" w14:paraId="0CDC6C45"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870264F" w14:textId="77777777" w:rsidR="00EB6935" w:rsidRDefault="00000000">
            <w:pPr>
              <w:jc w:val="center"/>
            </w:pPr>
            <w:r>
              <w:rPr>
                <w:b/>
                <w:bCs/>
                <w:color w:val="000000"/>
              </w:rPr>
              <w:t>5.</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17A5614" w14:textId="77777777" w:rsidR="00EB6935" w:rsidRDefault="00000000">
            <w:r>
              <w:rPr>
                <w:b/>
                <w:bCs/>
                <w:color w:val="000000"/>
              </w:rPr>
              <w:t>PGRR130 - Related to NPRR1295, GTC Exit Solutions</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D450BA3" w14:textId="77777777" w:rsidR="00EB6935" w:rsidRDefault="00000000">
            <w:pPr>
              <w:jc w:val="center"/>
            </w:pPr>
            <w:r>
              <w:rPr>
                <w:b/>
                <w:bCs/>
                <w:color w:val="000000"/>
              </w:rPr>
              <w:t>PLWG</w:t>
            </w:r>
          </w:p>
        </w:tc>
      </w:tr>
      <w:tr w:rsidR="00EB6935" w14:paraId="2AEF7D7E"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7F3256DF"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493BB7FA" w14:textId="77777777" w:rsidR="00EB6935" w:rsidRDefault="00000000">
            <w:r>
              <w:t>Alex Miller (EDF) provided a status update. Sponsors have been working on revised draft language but have not yet reached consensus with ERCOT staff. ERCOT's resource adequacy team is working toward quantifying the value of uncorking generation behind GTCs, though this remains in a proof-of-concept stage.</w:t>
            </w:r>
          </w:p>
          <w:p w14:paraId="130DBB2E" w14:textId="77777777" w:rsidR="00EB6935" w:rsidRDefault="00000000">
            <w:r>
              <w:t>Alex noted that operational concerns from ERCOT regarding the growing number of GTCs (22 added over the last 11 years) underscore the importance of resolving this issue. Sponsors are focused on two priorities: ensuring regular evaluation of GTC activities and clarifying that the value of deliverability of generation during emergencies can be considered.</w:t>
            </w:r>
          </w:p>
          <w:p w14:paraId="10D28085" w14:textId="77777777" w:rsidR="00EB6935" w:rsidRDefault="00000000">
            <w:r>
              <w:t>Alex indicated that language could be brought in draft form to the next month's meeting, targeting a filing approximately one week after the meeting date.</w:t>
            </w:r>
          </w:p>
          <w:p w14:paraId="7699399E" w14:textId="77777777" w:rsidR="00EB6935" w:rsidRDefault="00000000">
            <w:r>
              <w:rPr>
                <w:b/>
                <w:bCs/>
                <w:i/>
                <w:iCs/>
              </w:rPr>
              <w:t>Action Taken: No discussion. Continued to table PGRR130.</w:t>
            </w:r>
          </w:p>
        </w:tc>
        <w:tc>
          <w:tcPr>
            <w:tcW w:w="2040" w:type="dxa"/>
            <w:tcBorders>
              <w:top w:val="none" w:sz="0" w:space="0" w:color="FFFFFF"/>
              <w:left w:val="none" w:sz="0" w:space="0" w:color="FFFFFF"/>
              <w:bottom w:val="single" w:sz="4" w:space="0" w:color="000000"/>
              <w:right w:val="single" w:sz="4" w:space="0" w:color="000000"/>
            </w:tcBorders>
          </w:tcPr>
          <w:p w14:paraId="6F44514A" w14:textId="77777777" w:rsidR="00EB6935" w:rsidRDefault="00EB6935"/>
        </w:tc>
      </w:tr>
      <w:tr w:rsidR="00EB6935" w14:paraId="65C64676"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0AE1D1F" w14:textId="77777777" w:rsidR="00EB6935" w:rsidRDefault="00000000">
            <w:pPr>
              <w:jc w:val="center"/>
            </w:pPr>
            <w:r>
              <w:rPr>
                <w:b/>
                <w:bCs/>
                <w:color w:val="000000"/>
              </w:rPr>
              <w:t>6.</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729FF9A3" w14:textId="77777777" w:rsidR="00EB6935" w:rsidRDefault="00000000">
            <w:r>
              <w:rPr>
                <w:b/>
                <w:bCs/>
                <w:color w:val="000000"/>
              </w:rPr>
              <w:t>PGRR134 - Interconnection Studies Reform for Dispatchable Loads</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E38D813" w14:textId="77777777" w:rsidR="00EB6935" w:rsidRDefault="00000000">
            <w:pPr>
              <w:jc w:val="center"/>
            </w:pPr>
            <w:r>
              <w:rPr>
                <w:b/>
                <w:bCs/>
                <w:color w:val="000000"/>
              </w:rPr>
              <w:t>PLWG</w:t>
            </w:r>
          </w:p>
        </w:tc>
      </w:tr>
      <w:tr w:rsidR="00EB6935" w14:paraId="18AB8BFA"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028A1CEC"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07844D79" w14:textId="77777777" w:rsidR="00EB6935" w:rsidRDefault="00000000">
            <w:r>
              <w:t>Martha Henson (Oncor) noted she had covered comments at the prior month's meeting and offered to re-present. The Chair determined it was not necessary to revisit Oncor's prior comments.</w:t>
            </w:r>
          </w:p>
          <w:p w14:paraId="799CD639" w14:textId="77777777" w:rsidR="00EB6935" w:rsidRDefault="00000000">
            <w:r>
              <w:t>No representative from V-Wires was available to present filed comments.</w:t>
            </w:r>
          </w:p>
          <w:p w14:paraId="10D3538B" w14:textId="77777777" w:rsidR="00EB6935" w:rsidRDefault="00000000">
            <w:r>
              <w:rPr>
                <w:b/>
                <w:bCs/>
                <w:i/>
                <w:iCs/>
              </w:rPr>
              <w:t>Action Taken: Continued to table PGRR134.</w:t>
            </w:r>
          </w:p>
        </w:tc>
        <w:tc>
          <w:tcPr>
            <w:tcW w:w="2040" w:type="dxa"/>
            <w:tcBorders>
              <w:top w:val="none" w:sz="0" w:space="0" w:color="FFFFFF"/>
              <w:left w:val="none" w:sz="0" w:space="0" w:color="FFFFFF"/>
              <w:bottom w:val="single" w:sz="4" w:space="0" w:color="000000"/>
              <w:right w:val="single" w:sz="4" w:space="0" w:color="000000"/>
            </w:tcBorders>
          </w:tcPr>
          <w:p w14:paraId="1638B605" w14:textId="77777777" w:rsidR="00EB6935" w:rsidRDefault="00EB6935"/>
        </w:tc>
      </w:tr>
      <w:tr w:rsidR="00EB6935" w14:paraId="4C1F5EBB"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0825A51B" w14:textId="77777777" w:rsidR="00EB6935" w:rsidRDefault="00000000">
            <w:pPr>
              <w:jc w:val="center"/>
            </w:pPr>
            <w:r>
              <w:rPr>
                <w:b/>
                <w:bCs/>
                <w:color w:val="000000"/>
              </w:rPr>
              <w:lastRenderedPageBreak/>
              <w:t>7.</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273BA186" w14:textId="77777777" w:rsidR="00EB6935" w:rsidRDefault="00000000">
            <w:r>
              <w:rPr>
                <w:b/>
                <w:bCs/>
                <w:color w:val="000000"/>
              </w:rPr>
              <w:t>PGRR140 - Related to NPRR1317, Creation of Non-Settled Generator (NSG) and Clarification of the Types, Usage, and Registration of Distributed Generation</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5B06BAB" w14:textId="77777777" w:rsidR="00EB6935" w:rsidRDefault="00000000">
            <w:pPr>
              <w:jc w:val="center"/>
            </w:pPr>
            <w:r>
              <w:rPr>
                <w:b/>
                <w:bCs/>
                <w:color w:val="000000"/>
              </w:rPr>
              <w:t>ERCOT</w:t>
            </w:r>
          </w:p>
        </w:tc>
      </w:tr>
      <w:tr w:rsidR="00EB6935" w14:paraId="39AD66AA"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6A81FD14"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17D6DD9B" w14:textId="7DAF1C11" w:rsidR="00EB6935" w:rsidRDefault="00EA03A1">
            <w:r>
              <w:t>Thi</w:t>
            </w:r>
            <w:r w:rsidR="00000000">
              <w:t>nesh (ERCOT) confirmed PGRR140 had been presented at a prior meeting. ERCOT is reviewing comments received.</w:t>
            </w:r>
          </w:p>
          <w:p w14:paraId="29004805" w14:textId="77777777" w:rsidR="00EB6935" w:rsidRDefault="00000000">
            <w:r>
              <w:t>Michael Jewell (Priority Power) noted that Priority Power recently met with ERCOT to discuss the PGRR and NPRR1317. Follow-up is needed to clarify how non-settled generators under 10 MW would be treated. Priority Power plans to file formal comments once additional feedback is received from ERCOT.</w:t>
            </w:r>
          </w:p>
          <w:p w14:paraId="0AD7B0F3" w14:textId="14FCA952" w:rsidR="00EB6935" w:rsidRDefault="00EA03A1">
            <w:r>
              <w:t>Thi</w:t>
            </w:r>
            <w:r w:rsidR="00000000">
              <w:t>nesh confirmed ERCOT is continuing internal discussions and expects to have comments available at a future meeting.</w:t>
            </w:r>
          </w:p>
          <w:p w14:paraId="0FAC188C" w14:textId="77777777" w:rsidR="00EB6935" w:rsidRDefault="00000000">
            <w:r>
              <w:rPr>
                <w:b/>
                <w:bCs/>
                <w:i/>
                <w:iCs/>
              </w:rPr>
              <w:t>Action Taken: Continued to table PGRR140.</w:t>
            </w:r>
          </w:p>
        </w:tc>
        <w:tc>
          <w:tcPr>
            <w:tcW w:w="2040" w:type="dxa"/>
            <w:tcBorders>
              <w:top w:val="none" w:sz="0" w:space="0" w:color="FFFFFF"/>
              <w:left w:val="none" w:sz="0" w:space="0" w:color="FFFFFF"/>
              <w:bottom w:val="single" w:sz="4" w:space="0" w:color="000000"/>
              <w:right w:val="single" w:sz="4" w:space="0" w:color="000000"/>
            </w:tcBorders>
          </w:tcPr>
          <w:p w14:paraId="58366429" w14:textId="77777777" w:rsidR="00EB6935" w:rsidRDefault="00EB6935"/>
        </w:tc>
      </w:tr>
      <w:tr w:rsidR="00EB6935" w14:paraId="2BBE4656"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C486591" w14:textId="77777777" w:rsidR="00EB6935" w:rsidRDefault="00000000">
            <w:pPr>
              <w:jc w:val="center"/>
            </w:pPr>
            <w:r>
              <w:rPr>
                <w:b/>
                <w:bCs/>
                <w:color w:val="000000"/>
              </w:rPr>
              <w:t>8.</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106D5567" w14:textId="77777777" w:rsidR="00EB6935" w:rsidRDefault="00000000">
            <w:r>
              <w:rPr>
                <w:b/>
                <w:bCs/>
                <w:color w:val="000000"/>
              </w:rPr>
              <w:t>PGRR141 - Large Load Interconnection Study Reform for Substantiated Load</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D720F35" w14:textId="77777777" w:rsidR="00EB6935" w:rsidRDefault="00000000">
            <w:pPr>
              <w:jc w:val="center"/>
            </w:pPr>
            <w:proofErr w:type="spellStart"/>
            <w:r>
              <w:rPr>
                <w:b/>
                <w:bCs/>
                <w:color w:val="000000"/>
              </w:rPr>
              <w:t>Lancium</w:t>
            </w:r>
            <w:proofErr w:type="spellEnd"/>
          </w:p>
        </w:tc>
      </w:tr>
      <w:tr w:rsidR="00EB6935" w14:paraId="7A55D0EE"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3D9D222A"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503485B1" w14:textId="77777777" w:rsidR="00EB6935" w:rsidRDefault="00000000">
            <w:r>
              <w:t>Evan Neel (</w:t>
            </w:r>
            <w:proofErr w:type="spellStart"/>
            <w:r>
              <w:t>Lancium</w:t>
            </w:r>
            <w:proofErr w:type="spellEnd"/>
            <w:r>
              <w:t>) reported no updates since the last discussion. Based on communications with ERCOT at batch study workshops, ERCOT does not appear interested in modifying the PGRR115 process. Evan indicated it is appropriate to keep PGRR141 tabled but noted the ideas in PGRR141 remain relevant to discussions around the batch process.</w:t>
            </w:r>
          </w:p>
          <w:p w14:paraId="09F9A860" w14:textId="77777777" w:rsidR="00EB6935" w:rsidRDefault="00000000">
            <w:r>
              <w:rPr>
                <w:b/>
                <w:bCs/>
                <w:i/>
                <w:iCs/>
              </w:rPr>
              <w:t>Action Taken: Continued to table PGRR141.</w:t>
            </w:r>
          </w:p>
        </w:tc>
        <w:tc>
          <w:tcPr>
            <w:tcW w:w="2040" w:type="dxa"/>
            <w:tcBorders>
              <w:top w:val="none" w:sz="0" w:space="0" w:color="FFFFFF"/>
              <w:left w:val="none" w:sz="0" w:space="0" w:color="FFFFFF"/>
              <w:bottom w:val="single" w:sz="4" w:space="0" w:color="000000"/>
              <w:right w:val="single" w:sz="4" w:space="0" w:color="000000"/>
            </w:tcBorders>
          </w:tcPr>
          <w:p w14:paraId="49BD32E1" w14:textId="77777777" w:rsidR="00EB6935" w:rsidRDefault="00EB6935"/>
        </w:tc>
      </w:tr>
      <w:tr w:rsidR="00EB6935" w14:paraId="6AA12C94"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93D2994" w14:textId="77777777" w:rsidR="00EB6935" w:rsidRDefault="00000000">
            <w:pPr>
              <w:jc w:val="center"/>
            </w:pPr>
            <w:r>
              <w:rPr>
                <w:b/>
                <w:bCs/>
                <w:color w:val="000000"/>
              </w:rPr>
              <w:t>9.</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4A70FAFE" w14:textId="77777777" w:rsidR="00EB6935" w:rsidRDefault="00000000">
            <w:r>
              <w:rPr>
                <w:b/>
                <w:bCs/>
                <w:color w:val="000000"/>
              </w:rPr>
              <w:t>PGRR142 - In-Kind Definition for Generation</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6B59AF26" w14:textId="77777777" w:rsidR="00EB6935" w:rsidRDefault="00000000">
            <w:pPr>
              <w:jc w:val="center"/>
            </w:pPr>
            <w:r>
              <w:rPr>
                <w:b/>
                <w:bCs/>
                <w:color w:val="000000"/>
              </w:rPr>
              <w:t>PLWG</w:t>
            </w:r>
          </w:p>
        </w:tc>
      </w:tr>
      <w:tr w:rsidR="00EB6935" w14:paraId="7E6C4F66"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443819A2"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373C3CF6" w14:textId="45C43B02" w:rsidR="00EB6935" w:rsidRDefault="00000000">
            <w:r>
              <w:t xml:space="preserve">Kevin </w:t>
            </w:r>
            <w:r w:rsidR="00EA03A1">
              <w:t>Hanson</w:t>
            </w:r>
            <w:r>
              <w:t xml:space="preserve"> (Invenergy) introduced PGRR142, which was presented at ROS the prior day. The language defines the term 'in kind' for generation equipment replacement in two scenarios: (1) replacing equipment with the same or similar specifications when the original model is no longer manufactured; and (2) replacing equipment from a defunct manufacturer with a comparable alternative.</w:t>
            </w:r>
          </w:p>
          <w:p w14:paraId="1CFB6C6E" w14:textId="77777777" w:rsidR="00EB6935" w:rsidRDefault="00000000">
            <w:r>
              <w:t>Katie (</w:t>
            </w:r>
            <w:proofErr w:type="spellStart"/>
            <w:r>
              <w:t>Vistra</w:t>
            </w:r>
            <w:proofErr w:type="spellEnd"/>
            <w:r>
              <w:t>) expressed support for the language and raised a question about whether the placement of the language should be moved to section 2 (as suggested by CPS) to better limit applicability to generation resources. Kevin indicated he is open to moving the language and plans to file an updated draft.</w:t>
            </w:r>
          </w:p>
          <w:p w14:paraId="747B813D" w14:textId="77777777" w:rsidR="00EB6935" w:rsidRDefault="00000000">
            <w:r>
              <w:t>Sun Wook (ERCOT) noted that ERCOT's resource integration and dynamics teams have concerns about the breadth of the definition and whether it could be applied to replacement of an entire facility. ERCOT requested additional time to review the language and indicated ERCOT's legal team may need to be involved.</w:t>
            </w:r>
          </w:p>
          <w:p w14:paraId="4119F3BA" w14:textId="77777777" w:rsidR="00EB6935" w:rsidRDefault="00000000">
            <w:r>
              <w:t>Kevin clarified the intent is solely to define the term and does not circumvent any Section 5 requirements. Discussion on placement of the language was deferred pending ERCOT review.</w:t>
            </w:r>
          </w:p>
          <w:p w14:paraId="1BA7F612" w14:textId="77777777" w:rsidR="00EB6935" w:rsidRDefault="00000000">
            <w:r>
              <w:rPr>
                <w:b/>
                <w:bCs/>
                <w:i/>
                <w:iCs/>
              </w:rPr>
              <w:t>Action Taken: Continued to table PGRR142. Sponsor plans to file updated language moving the definition to section 2. ERCOT to review and provide feedback.</w:t>
            </w:r>
          </w:p>
        </w:tc>
        <w:tc>
          <w:tcPr>
            <w:tcW w:w="2040" w:type="dxa"/>
            <w:tcBorders>
              <w:top w:val="none" w:sz="0" w:space="0" w:color="FFFFFF"/>
              <w:left w:val="none" w:sz="0" w:space="0" w:color="FFFFFF"/>
              <w:bottom w:val="single" w:sz="4" w:space="0" w:color="000000"/>
              <w:right w:val="single" w:sz="4" w:space="0" w:color="000000"/>
            </w:tcBorders>
          </w:tcPr>
          <w:p w14:paraId="1597DFAB" w14:textId="77777777" w:rsidR="00EB6935" w:rsidRDefault="00EB6935"/>
        </w:tc>
      </w:tr>
      <w:tr w:rsidR="00EB6935" w14:paraId="68EDCD2F"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1C2F09AC" w14:textId="77777777" w:rsidR="00EB6935" w:rsidRDefault="00000000">
            <w:pPr>
              <w:jc w:val="center"/>
            </w:pPr>
            <w:r>
              <w:rPr>
                <w:b/>
                <w:bCs/>
                <w:color w:val="000000"/>
              </w:rPr>
              <w:t>10.</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392CA80" w14:textId="77777777" w:rsidR="00EB6935" w:rsidRDefault="00000000">
            <w:r>
              <w:rPr>
                <w:b/>
                <w:bCs/>
                <w:color w:val="000000"/>
              </w:rPr>
              <w:t>PGRR144 - Dynamic Model Submission and Review Requirements for Large Loads Including Large Electronic Loads</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16F6120" w14:textId="77777777" w:rsidR="00EB6935" w:rsidRDefault="00000000">
            <w:pPr>
              <w:jc w:val="center"/>
            </w:pPr>
            <w:r>
              <w:rPr>
                <w:b/>
                <w:bCs/>
                <w:color w:val="000000"/>
              </w:rPr>
              <w:t>ERCOT</w:t>
            </w:r>
          </w:p>
        </w:tc>
      </w:tr>
      <w:tr w:rsidR="00EB6935" w14:paraId="3EDD64E7"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05E565A2"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4C78BE5C" w14:textId="77777777" w:rsidR="00EB6935" w:rsidRDefault="00000000">
            <w:r>
              <w:t xml:space="preserve">Sun Wook (ERCOT) presented PGRR144, which was previously introduced at the Large Load Working Group (LLWG) in February. PGRR144 addresses reliability concerns stemming from the </w:t>
            </w:r>
            <w:r>
              <w:lastRenderedPageBreak/>
              <w:t>growing volume and complexity of large load interconnections, including unexpected load loss events observed since 2022.</w:t>
            </w:r>
          </w:p>
          <w:p w14:paraId="4F2BA657" w14:textId="77777777" w:rsidR="00EB6935" w:rsidRDefault="00000000">
            <w:r>
              <w:t>The PGRR has three key components: (1) clarification of dynamic data submission requirements, including required use of PSSE, TSAT, and PSCAD models; (2) establishment of model review checkpoints tied to key milestones in the interconnection process (before the stability study, before the QSA, and before energization for large electronic loads); and (3) a requirement for existing large electronic loads to go through an interconnection review process before making material changes that could affect ride-through capability.</w:t>
            </w:r>
          </w:p>
          <w:p w14:paraId="5899260E" w14:textId="77777777" w:rsidR="00EB6935" w:rsidRDefault="00000000">
            <w:r>
              <w:t>Model Quality Tests (MQT) and Converter Model Validation Tests (CMV) are required for large electronic loads and will be used to evaluate compliance with performance requirements proposed in NOGRR282. For non-large-electronic loads, MQTs are requested for data collection purposes only at this time.</w:t>
            </w:r>
          </w:p>
          <w:p w14:paraId="0655C7BF" w14:textId="77777777" w:rsidR="00EB6935" w:rsidRDefault="00000000">
            <w:r>
              <w:t>Bob Wittmeyer asked about the timeline for model review, particularly given that final designs are often not available until approximately 180 days before energization. Sun Wook noted that the standard review window is 10 business days, assuming complete data submission.</w:t>
            </w:r>
          </w:p>
          <w:p w14:paraId="23DCAA01" w14:textId="0FC11B3F" w:rsidR="00EB6935" w:rsidRDefault="00000000">
            <w:r>
              <w:t xml:space="preserve">Kevin </w:t>
            </w:r>
            <w:r w:rsidR="00EA03A1">
              <w:t>Hanson</w:t>
            </w:r>
            <w:r>
              <w:t xml:space="preserve"> (Invenergy) raised concerns about how PGRR144 requirements would interact with the batch study process (PGRR145), particularly around ERCOT's capacity to review dynamic models for a large number of loads coming out of batch zero. Sun Wook acknowledged this is a staffing and capacity question that ERCOT is evaluating. Kevin encouraged ERCOT to address this in the Tuesday batch study workshop.</w:t>
            </w:r>
          </w:p>
          <w:p w14:paraId="6372A401" w14:textId="77777777" w:rsidR="00EB6935" w:rsidRDefault="00000000">
            <w:r>
              <w:t>Monica (</w:t>
            </w:r>
            <w:proofErr w:type="spellStart"/>
            <w:r>
              <w:t>Vistra</w:t>
            </w:r>
            <w:proofErr w:type="spellEnd"/>
            <w:r>
              <w:t>) asked about Hut 8's filed comments, which request limiting requirements to large electronic loads and removing provisions requiring those loads to go through the interconnection process for equipment upgrades. Sun Wook acknowledged the comments and indicated ERCOT will issue formal responses in approximately April.</w:t>
            </w:r>
          </w:p>
          <w:p w14:paraId="400AAAAE" w14:textId="77777777" w:rsidR="00EB6935" w:rsidRDefault="00000000">
            <w:r>
              <w:rPr>
                <w:b/>
                <w:bCs/>
                <w:i/>
                <w:iCs/>
              </w:rPr>
              <w:t>Action Taken: Continued to table PGRR144. ERCOT to review stakeholder comments and prepare responses. Coordination with PGRR145 batch process to be addressed at the Tuesday workshop.</w:t>
            </w:r>
          </w:p>
        </w:tc>
        <w:tc>
          <w:tcPr>
            <w:tcW w:w="2040" w:type="dxa"/>
            <w:tcBorders>
              <w:top w:val="none" w:sz="0" w:space="0" w:color="FFFFFF"/>
              <w:left w:val="none" w:sz="0" w:space="0" w:color="FFFFFF"/>
              <w:bottom w:val="single" w:sz="4" w:space="0" w:color="000000"/>
              <w:right w:val="single" w:sz="4" w:space="0" w:color="000000"/>
            </w:tcBorders>
          </w:tcPr>
          <w:p w14:paraId="7442B9C3" w14:textId="77777777" w:rsidR="00EB6935" w:rsidRDefault="00EB6935"/>
        </w:tc>
      </w:tr>
      <w:tr w:rsidR="00EB6935" w14:paraId="33E73FF1"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E74BD85" w14:textId="77777777" w:rsidR="00EB6935" w:rsidRDefault="00000000">
            <w:pPr>
              <w:jc w:val="center"/>
            </w:pPr>
            <w:r>
              <w:rPr>
                <w:b/>
                <w:bCs/>
                <w:color w:val="000000"/>
              </w:rPr>
              <w:t>11.</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6F977BB8" w14:textId="77777777" w:rsidR="00EB6935" w:rsidRDefault="00000000">
            <w:r>
              <w:rPr>
                <w:b/>
                <w:bCs/>
                <w:color w:val="000000"/>
              </w:rPr>
              <w:t>ERCOT Large Load Batch Study Workshop Update</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21722AF8" w14:textId="77777777" w:rsidR="00EB6935" w:rsidRDefault="00000000">
            <w:pPr>
              <w:jc w:val="center"/>
            </w:pPr>
            <w:r>
              <w:rPr>
                <w:b/>
                <w:bCs/>
                <w:color w:val="000000"/>
              </w:rPr>
              <w:t>ERCOT</w:t>
            </w:r>
          </w:p>
        </w:tc>
      </w:tr>
      <w:tr w:rsidR="00EB6935" w14:paraId="78EA003A"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498CBDD8"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375BD146" w14:textId="77777777" w:rsidR="00EB6935" w:rsidRDefault="00000000">
            <w:r>
              <w:t>Matt (ERCOT) provided a status update on the batch study process. Following PUC direction in February, ERCOT released PGRR145 and NPRR1325 to implement a batch zero process to address the existing interconnection backlog. Four all-day workshops remain (March 10, 24, 30, and April 9), targeting a PRS/ROS vote in May and Board approval in mid-May. ERCOT is also exploring separate revision requests for controllable load resources and bring-your-own-generation facilities.</w:t>
            </w:r>
          </w:p>
          <w:p w14:paraId="5878410C" w14:textId="4FC04BD2" w:rsidR="00EB6935" w:rsidRDefault="00000000">
            <w:r>
              <w:t xml:space="preserve">Kevin </w:t>
            </w:r>
            <w:r w:rsidR="00EA03A1">
              <w:t>Hanson</w:t>
            </w:r>
            <w:r>
              <w:t xml:space="preserve"> requested that ERCOT map the interaction of PGRR145 with other in-flight PGRRs (including PGRR144 and PGRR122) and provide a realistic timeline for completing required reviews following batch zero results.</w:t>
            </w:r>
          </w:p>
          <w:p w14:paraId="1864424D" w14:textId="77777777" w:rsidR="00EB6935" w:rsidRDefault="00000000">
            <w:r>
              <w:rPr>
                <w:b/>
                <w:bCs/>
                <w:i/>
                <w:iCs/>
              </w:rPr>
              <w:t>Action Taken: No vote required. Stakeholders encouraged to attend workshops. ERCOT to address intersecting PGRR timelines at the Tuesday workshop.</w:t>
            </w:r>
          </w:p>
        </w:tc>
        <w:tc>
          <w:tcPr>
            <w:tcW w:w="2040" w:type="dxa"/>
            <w:tcBorders>
              <w:top w:val="none" w:sz="0" w:space="0" w:color="FFFFFF"/>
              <w:left w:val="none" w:sz="0" w:space="0" w:color="FFFFFF"/>
              <w:bottom w:val="single" w:sz="4" w:space="0" w:color="000000"/>
              <w:right w:val="single" w:sz="4" w:space="0" w:color="000000"/>
            </w:tcBorders>
          </w:tcPr>
          <w:p w14:paraId="59504EC0" w14:textId="77777777" w:rsidR="00EB6935" w:rsidRDefault="00EB6935"/>
        </w:tc>
      </w:tr>
      <w:tr w:rsidR="00EB6935" w14:paraId="4CBD065F"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417A12A" w14:textId="77777777" w:rsidR="00EB6935" w:rsidRDefault="00000000">
            <w:pPr>
              <w:jc w:val="center"/>
            </w:pPr>
            <w:r>
              <w:rPr>
                <w:b/>
                <w:bCs/>
                <w:color w:val="000000"/>
              </w:rPr>
              <w:t>12.</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598E97E8" w14:textId="77777777" w:rsidR="00EB6935" w:rsidRDefault="00000000">
            <w:r>
              <w:rPr>
                <w:b/>
                <w:bCs/>
                <w:color w:val="000000"/>
              </w:rPr>
              <w:t>Tabled Items</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4E667C57" w14:textId="77777777" w:rsidR="00EB6935" w:rsidRDefault="00EB6935">
            <w:pPr>
              <w:jc w:val="center"/>
            </w:pPr>
          </w:p>
        </w:tc>
      </w:tr>
      <w:tr w:rsidR="00EB6935" w14:paraId="72AB58D0"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0AAA5284"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432C49ED" w14:textId="176F7F26" w:rsidR="00EB6935" w:rsidRDefault="00000000">
            <w:r>
              <w:t xml:space="preserve">The following items were not taken up for substantive discussion. PGRR122 (Reliability Performance Criteria for Loss of Load) was briefly discussed. Kevin </w:t>
            </w:r>
            <w:r w:rsidR="00EA03A1">
              <w:t>Hanson</w:t>
            </w:r>
            <w:r>
              <w:t xml:space="preserve"> asked for a status update on what studies remain outstanding. Sun Wook (ERCOT) indicated that internal studies are still ongoing and ERCOT will bring an update to stakeholder forums when available. The last public update was presented at the December WMS meeting, at which point ERCOT indicated it was comfortable with up to 3.2 GW. No further updates on PGRR124, PGRR126, or NPRR1286 were provided.</w:t>
            </w:r>
          </w:p>
          <w:p w14:paraId="151CD6E0" w14:textId="77777777" w:rsidR="00EB6935" w:rsidRDefault="00000000">
            <w:r>
              <w:t>The following items remained tabled:</w:t>
            </w:r>
          </w:p>
          <w:p w14:paraId="0E6C17AF" w14:textId="77777777" w:rsidR="00EB6935" w:rsidRDefault="00000000">
            <w:pPr>
              <w:pStyle w:val="ListParagraph"/>
              <w:numPr>
                <w:ilvl w:val="0"/>
                <w:numId w:val="2"/>
              </w:numPr>
            </w:pPr>
            <w:r>
              <w:t>PGRR122 - Reliability Performance Criteria for Loss of Load</w:t>
            </w:r>
          </w:p>
          <w:p w14:paraId="63D552EA" w14:textId="77777777" w:rsidR="00EB6935" w:rsidRDefault="00000000">
            <w:pPr>
              <w:pStyle w:val="ListParagraph"/>
              <w:numPr>
                <w:ilvl w:val="0"/>
                <w:numId w:val="2"/>
              </w:numPr>
            </w:pPr>
            <w:r>
              <w:t>PGRR124 - ESR Maintenance Exception to Modifications</w:t>
            </w:r>
          </w:p>
          <w:p w14:paraId="09DAB9A5" w14:textId="77777777" w:rsidR="00EB6935" w:rsidRDefault="00000000">
            <w:pPr>
              <w:pStyle w:val="ListParagraph"/>
              <w:numPr>
                <w:ilvl w:val="0"/>
                <w:numId w:val="2"/>
              </w:numPr>
            </w:pPr>
            <w:r>
              <w:t>PGRR126 - Related to NPRR1284, Guaranteed Reliability Load Process</w:t>
            </w:r>
          </w:p>
          <w:p w14:paraId="2710B23B" w14:textId="77777777" w:rsidR="00EB6935" w:rsidRDefault="00000000">
            <w:pPr>
              <w:pStyle w:val="ListParagraph"/>
              <w:numPr>
                <w:ilvl w:val="0"/>
                <w:numId w:val="2"/>
              </w:numPr>
            </w:pPr>
            <w:r>
              <w:t>NPRR1286 - Establish Multi-Value Criteria for Resiliency-Related Transmission Project Evaluation</w:t>
            </w:r>
          </w:p>
        </w:tc>
        <w:tc>
          <w:tcPr>
            <w:tcW w:w="2040" w:type="dxa"/>
            <w:tcBorders>
              <w:top w:val="none" w:sz="0" w:space="0" w:color="FFFFFF"/>
              <w:left w:val="none" w:sz="0" w:space="0" w:color="FFFFFF"/>
              <w:bottom w:val="single" w:sz="4" w:space="0" w:color="000000"/>
              <w:right w:val="single" w:sz="4" w:space="0" w:color="000000"/>
            </w:tcBorders>
          </w:tcPr>
          <w:p w14:paraId="46923941" w14:textId="77777777" w:rsidR="00EB6935" w:rsidRDefault="00EB6935"/>
        </w:tc>
      </w:tr>
      <w:tr w:rsidR="00EB6935" w14:paraId="06619F2E" w14:textId="77777777">
        <w:tblPrEx>
          <w:tblCellMar>
            <w:top w:w="0" w:type="dxa"/>
            <w:bottom w:w="0" w:type="dxa"/>
          </w:tblCellMar>
        </w:tblPrEx>
        <w:tc>
          <w:tcPr>
            <w:tcW w:w="60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327B1A7A" w14:textId="77777777" w:rsidR="00EB6935" w:rsidRDefault="00000000">
            <w:pPr>
              <w:jc w:val="center"/>
            </w:pPr>
            <w:r>
              <w:rPr>
                <w:b/>
                <w:bCs/>
                <w:color w:val="000000"/>
              </w:rPr>
              <w:t>13.</w:t>
            </w:r>
          </w:p>
        </w:tc>
        <w:tc>
          <w:tcPr>
            <w:tcW w:w="672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tcPr>
          <w:p w14:paraId="37B377FD" w14:textId="77777777" w:rsidR="00EB6935" w:rsidRDefault="00000000">
            <w:r>
              <w:rPr>
                <w:b/>
                <w:bCs/>
                <w:color w:val="000000"/>
              </w:rPr>
              <w:t>Adjourn</w:t>
            </w:r>
          </w:p>
        </w:tc>
        <w:tc>
          <w:tcPr>
            <w:tcW w:w="2040" w:type="dxa"/>
            <w:tcBorders>
              <w:top w:val="single" w:sz="4" w:space="0" w:color="000000"/>
              <w:left w:val="single" w:sz="4" w:space="0" w:color="000000"/>
              <w:bottom w:val="single" w:sz="4" w:space="0" w:color="000000"/>
              <w:right w:val="single" w:sz="4" w:space="0" w:color="000000"/>
            </w:tcBorders>
            <w:shd w:val="clear" w:color="auto" w:fill="FFFFFF"/>
            <w:tcMar>
              <w:top w:w="80" w:type="dxa"/>
              <w:left w:w="120" w:type="dxa"/>
              <w:bottom w:w="80" w:type="dxa"/>
              <w:right w:w="120" w:type="dxa"/>
            </w:tcMar>
            <w:vAlign w:val="center"/>
          </w:tcPr>
          <w:p w14:paraId="7B0EEB31" w14:textId="77777777" w:rsidR="00EB6935" w:rsidRDefault="00000000">
            <w:pPr>
              <w:jc w:val="center"/>
            </w:pPr>
            <w:r>
              <w:rPr>
                <w:b/>
                <w:bCs/>
                <w:color w:val="000000"/>
              </w:rPr>
              <w:t>Chair</w:t>
            </w:r>
          </w:p>
        </w:tc>
      </w:tr>
      <w:tr w:rsidR="00EB6935" w14:paraId="66DCE660" w14:textId="77777777">
        <w:tblPrEx>
          <w:tblCellMar>
            <w:top w:w="0" w:type="dxa"/>
            <w:bottom w:w="0" w:type="dxa"/>
          </w:tblCellMar>
        </w:tblPrEx>
        <w:tc>
          <w:tcPr>
            <w:tcW w:w="600" w:type="dxa"/>
            <w:tcBorders>
              <w:top w:val="none" w:sz="0" w:space="0" w:color="FFFFFF"/>
              <w:left w:val="single" w:sz="4" w:space="0" w:color="000000"/>
              <w:bottom w:val="single" w:sz="4" w:space="0" w:color="000000"/>
              <w:right w:val="none" w:sz="0" w:space="0" w:color="FFFFFF"/>
            </w:tcBorders>
          </w:tcPr>
          <w:p w14:paraId="6A245C3C" w14:textId="77777777" w:rsidR="00EB6935" w:rsidRDefault="00EB6935"/>
        </w:tc>
        <w:tc>
          <w:tcPr>
            <w:tcW w:w="6720" w:type="dxa"/>
            <w:tcBorders>
              <w:top w:val="none" w:sz="0" w:space="0" w:color="FFFFFF"/>
              <w:left w:val="none" w:sz="0" w:space="0" w:color="FFFFFF"/>
              <w:bottom w:val="single" w:sz="4" w:space="0" w:color="000000"/>
              <w:right w:val="none" w:sz="0" w:space="0" w:color="FFFFFF"/>
            </w:tcBorders>
            <w:tcMar>
              <w:top w:w="80" w:type="dxa"/>
              <w:left w:w="120" w:type="dxa"/>
              <w:bottom w:w="80" w:type="dxa"/>
              <w:right w:w="120" w:type="dxa"/>
            </w:tcMar>
          </w:tcPr>
          <w:p w14:paraId="0FF3504D" w14:textId="77777777" w:rsidR="00EB6935" w:rsidRDefault="00000000">
            <w:r>
              <w:t>Meeting adjourned. Chair thanked participants for their attendance and contributions. The next PLWG meeting date was not specified during this session.</w:t>
            </w:r>
          </w:p>
        </w:tc>
        <w:tc>
          <w:tcPr>
            <w:tcW w:w="2040" w:type="dxa"/>
            <w:tcBorders>
              <w:top w:val="none" w:sz="0" w:space="0" w:color="FFFFFF"/>
              <w:left w:val="none" w:sz="0" w:space="0" w:color="FFFFFF"/>
              <w:bottom w:val="single" w:sz="4" w:space="0" w:color="000000"/>
              <w:right w:val="single" w:sz="4" w:space="0" w:color="000000"/>
            </w:tcBorders>
          </w:tcPr>
          <w:p w14:paraId="045C6009" w14:textId="77777777" w:rsidR="00EB6935" w:rsidRDefault="00EB6935"/>
        </w:tc>
      </w:tr>
    </w:tbl>
    <w:p w14:paraId="437ED80D" w14:textId="77777777" w:rsidR="00AD219F" w:rsidRDefault="00AD219F"/>
    <w:sectPr w:rsidR="00AD219F">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0C6764"/>
    <w:multiLevelType w:val="hybridMultilevel"/>
    <w:tmpl w:val="555E6DDC"/>
    <w:lvl w:ilvl="0" w:tplc="FDD80F34">
      <w:start w:val="1"/>
      <w:numFmt w:val="bullet"/>
      <w:lvlText w:val="●"/>
      <w:lvlJc w:val="left"/>
      <w:pPr>
        <w:ind w:left="720" w:hanging="360"/>
      </w:pPr>
    </w:lvl>
    <w:lvl w:ilvl="1" w:tplc="7FB26B1E">
      <w:start w:val="1"/>
      <w:numFmt w:val="bullet"/>
      <w:lvlText w:val="○"/>
      <w:lvlJc w:val="left"/>
      <w:pPr>
        <w:ind w:left="1440" w:hanging="360"/>
      </w:pPr>
    </w:lvl>
    <w:lvl w:ilvl="2" w:tplc="BD90F704">
      <w:start w:val="1"/>
      <w:numFmt w:val="bullet"/>
      <w:lvlText w:val="■"/>
      <w:lvlJc w:val="left"/>
      <w:pPr>
        <w:ind w:left="2160" w:hanging="360"/>
      </w:pPr>
    </w:lvl>
    <w:lvl w:ilvl="3" w:tplc="190AD596">
      <w:start w:val="1"/>
      <w:numFmt w:val="bullet"/>
      <w:lvlText w:val="●"/>
      <w:lvlJc w:val="left"/>
      <w:pPr>
        <w:ind w:left="2880" w:hanging="360"/>
      </w:pPr>
    </w:lvl>
    <w:lvl w:ilvl="4" w:tplc="57E66554">
      <w:start w:val="1"/>
      <w:numFmt w:val="bullet"/>
      <w:lvlText w:val="○"/>
      <w:lvlJc w:val="left"/>
      <w:pPr>
        <w:ind w:left="3600" w:hanging="360"/>
      </w:pPr>
    </w:lvl>
    <w:lvl w:ilvl="5" w:tplc="D2D61B64">
      <w:start w:val="1"/>
      <w:numFmt w:val="bullet"/>
      <w:lvlText w:val="■"/>
      <w:lvlJc w:val="left"/>
      <w:pPr>
        <w:ind w:left="4320" w:hanging="360"/>
      </w:pPr>
    </w:lvl>
    <w:lvl w:ilvl="6" w:tplc="26C4BB7A">
      <w:start w:val="1"/>
      <w:numFmt w:val="bullet"/>
      <w:lvlText w:val="●"/>
      <w:lvlJc w:val="left"/>
      <w:pPr>
        <w:ind w:left="5040" w:hanging="360"/>
      </w:pPr>
    </w:lvl>
    <w:lvl w:ilvl="7" w:tplc="B80AF560">
      <w:start w:val="1"/>
      <w:numFmt w:val="bullet"/>
      <w:lvlText w:val="●"/>
      <w:lvlJc w:val="left"/>
      <w:pPr>
        <w:ind w:left="5760" w:hanging="360"/>
      </w:pPr>
    </w:lvl>
    <w:lvl w:ilvl="8" w:tplc="2DA807D6">
      <w:start w:val="1"/>
      <w:numFmt w:val="bullet"/>
      <w:lvlText w:val="●"/>
      <w:lvlJc w:val="left"/>
      <w:pPr>
        <w:ind w:left="6480" w:hanging="360"/>
      </w:pPr>
    </w:lvl>
  </w:abstractNum>
  <w:abstractNum w:abstractNumId="1" w15:restartNumberingAfterBreak="0">
    <w:nsid w:val="3F1C4D48"/>
    <w:multiLevelType w:val="hybridMultilevel"/>
    <w:tmpl w:val="1F3CAD6A"/>
    <w:lvl w:ilvl="0" w:tplc="36665C10">
      <w:start w:val="1"/>
      <w:numFmt w:val="bullet"/>
      <w:lvlText w:val="•"/>
      <w:lvlJc w:val="left"/>
      <w:pPr>
        <w:ind w:left="720" w:hanging="360"/>
      </w:pPr>
    </w:lvl>
    <w:lvl w:ilvl="1" w:tplc="62BC6462">
      <w:numFmt w:val="decimal"/>
      <w:lvlText w:val=""/>
      <w:lvlJc w:val="left"/>
    </w:lvl>
    <w:lvl w:ilvl="2" w:tplc="6FA44EAE">
      <w:numFmt w:val="decimal"/>
      <w:lvlText w:val=""/>
      <w:lvlJc w:val="left"/>
    </w:lvl>
    <w:lvl w:ilvl="3" w:tplc="F308184E">
      <w:numFmt w:val="decimal"/>
      <w:lvlText w:val=""/>
      <w:lvlJc w:val="left"/>
    </w:lvl>
    <w:lvl w:ilvl="4" w:tplc="A816DF22">
      <w:numFmt w:val="decimal"/>
      <w:lvlText w:val=""/>
      <w:lvlJc w:val="left"/>
    </w:lvl>
    <w:lvl w:ilvl="5" w:tplc="B8AC5786">
      <w:numFmt w:val="decimal"/>
      <w:lvlText w:val=""/>
      <w:lvlJc w:val="left"/>
    </w:lvl>
    <w:lvl w:ilvl="6" w:tplc="247E7A2A">
      <w:numFmt w:val="decimal"/>
      <w:lvlText w:val=""/>
      <w:lvlJc w:val="left"/>
    </w:lvl>
    <w:lvl w:ilvl="7" w:tplc="3FB223DE">
      <w:numFmt w:val="decimal"/>
      <w:lvlText w:val=""/>
      <w:lvlJc w:val="left"/>
    </w:lvl>
    <w:lvl w:ilvl="8" w:tplc="7DFE11E2">
      <w:numFmt w:val="decimal"/>
      <w:lvlText w:val=""/>
      <w:lvlJc w:val="left"/>
    </w:lvl>
  </w:abstractNum>
  <w:num w:numId="1" w16cid:durableId="803041964">
    <w:abstractNumId w:val="0"/>
    <w:lvlOverride w:ilvl="0">
      <w:startOverride w:val="1"/>
    </w:lvlOverride>
  </w:num>
  <w:num w:numId="2" w16cid:durableId="62334800">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67"/>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6935"/>
    <w:rsid w:val="00AD219F"/>
    <w:rsid w:val="00BC09B4"/>
    <w:rsid w:val="00EA03A1"/>
    <w:rsid w:val="00EB6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4A00EBA"/>
  <w15:docId w15:val="{232B1F11-7B96-9B4B-ACAB-EDCB63EF90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1370</Words>
  <Characters>7814</Characters>
  <Application>Microsoft Office Word</Application>
  <DocSecurity>0</DocSecurity>
  <Lines>65</Lines>
  <Paragraphs>18</Paragraphs>
  <ScaleCrop>false</ScaleCrop>
  <Company/>
  <LinksUpToDate>false</LinksUpToDate>
  <CharactersWithSpaces>9166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Kiran Kota</cp:lastModifiedBy>
  <cp:revision>2</cp:revision>
  <dcterms:created xsi:type="dcterms:W3CDTF">2026-03-27T13:34:00Z</dcterms:created>
  <dcterms:modified xsi:type="dcterms:W3CDTF">2026-03-27T13:38:00Z</dcterms:modified>
</cp:coreProperties>
</file>