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5D3A91" w:rsidRPr="00E01925" w14:paraId="61F073EE" w14:textId="77777777" w:rsidTr="00BC2D06">
        <w:trPr>
          <w:trHeight w:val="518"/>
        </w:trPr>
        <w:tc>
          <w:tcPr>
            <w:tcW w:w="2880" w:type="dxa"/>
            <w:gridSpan w:val="2"/>
            <w:shd w:val="clear" w:color="auto" w:fill="FFFFFF"/>
            <w:vAlign w:val="center"/>
          </w:tcPr>
          <w:p w14:paraId="61887982" w14:textId="3DD8D67C" w:rsidR="005D3A91" w:rsidRPr="00E01925" w:rsidRDefault="005D3A91" w:rsidP="00485DB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13205542" w:rsidR="005D3A91" w:rsidRPr="00E01925" w:rsidRDefault="00C907E8" w:rsidP="00485DB5">
            <w:pPr>
              <w:pStyle w:val="NormalArial"/>
              <w:spacing w:before="120" w:after="120"/>
            </w:pPr>
            <w:r>
              <w:t>April 2, 2026</w:t>
            </w:r>
          </w:p>
        </w:tc>
      </w:tr>
      <w:tr w:rsidR="005D3A91" w:rsidRPr="00E01925" w14:paraId="723DA72F" w14:textId="77777777" w:rsidTr="00BC2D06">
        <w:trPr>
          <w:trHeight w:val="518"/>
        </w:trPr>
        <w:tc>
          <w:tcPr>
            <w:tcW w:w="2880" w:type="dxa"/>
            <w:gridSpan w:val="2"/>
            <w:shd w:val="clear" w:color="auto" w:fill="FFFFFF"/>
            <w:vAlign w:val="center"/>
          </w:tcPr>
          <w:p w14:paraId="5D01A50B" w14:textId="4C02A0F2" w:rsidR="005D3A91" w:rsidRPr="00E01925" w:rsidRDefault="005D3A91" w:rsidP="00485DB5">
            <w:pPr>
              <w:pStyle w:val="Header"/>
              <w:spacing w:before="120" w:after="120"/>
              <w:rPr>
                <w:bCs w:val="0"/>
              </w:rPr>
            </w:pPr>
            <w:r>
              <w:rPr>
                <w:bCs w:val="0"/>
              </w:rPr>
              <w:t>Action</w:t>
            </w:r>
          </w:p>
        </w:tc>
        <w:tc>
          <w:tcPr>
            <w:tcW w:w="7560" w:type="dxa"/>
            <w:gridSpan w:val="2"/>
            <w:vAlign w:val="center"/>
          </w:tcPr>
          <w:p w14:paraId="23258A76" w14:textId="241EA68F" w:rsidR="005D3A91" w:rsidRDefault="00C907E8" w:rsidP="00485DB5">
            <w:pPr>
              <w:pStyle w:val="NormalArial"/>
              <w:spacing w:before="120" w:after="120"/>
            </w:pPr>
            <w:r>
              <w:t>Recommended Approval</w:t>
            </w:r>
          </w:p>
        </w:tc>
      </w:tr>
      <w:tr w:rsidR="005D3A91" w:rsidRPr="00E01925" w14:paraId="31840835" w14:textId="77777777" w:rsidTr="00BC2D06">
        <w:trPr>
          <w:trHeight w:val="518"/>
        </w:trPr>
        <w:tc>
          <w:tcPr>
            <w:tcW w:w="2880" w:type="dxa"/>
            <w:gridSpan w:val="2"/>
            <w:shd w:val="clear" w:color="auto" w:fill="FFFFFF"/>
            <w:vAlign w:val="center"/>
          </w:tcPr>
          <w:p w14:paraId="3061A561" w14:textId="470E494C" w:rsidR="005D3A91" w:rsidRPr="00E01925" w:rsidRDefault="005D3A91" w:rsidP="00485DB5">
            <w:pPr>
              <w:pStyle w:val="Header"/>
              <w:spacing w:before="120" w:after="120"/>
              <w:rPr>
                <w:bCs w:val="0"/>
              </w:rPr>
            </w:pPr>
            <w:r>
              <w:t xml:space="preserve">Timeline </w:t>
            </w:r>
          </w:p>
        </w:tc>
        <w:tc>
          <w:tcPr>
            <w:tcW w:w="7560" w:type="dxa"/>
            <w:gridSpan w:val="2"/>
            <w:vAlign w:val="center"/>
          </w:tcPr>
          <w:p w14:paraId="2D1248EA" w14:textId="1FC518A9" w:rsidR="005D3A91" w:rsidRDefault="005D3A91" w:rsidP="00485DB5">
            <w:pPr>
              <w:pStyle w:val="NormalArial"/>
              <w:spacing w:before="120" w:after="120"/>
            </w:pPr>
            <w:r>
              <w:t>Urgent – to correct grey</w:t>
            </w:r>
            <w:r w:rsidR="000C1789">
              <w:t>-</w:t>
            </w:r>
            <w:r>
              <w:t xml:space="preserve">boxed language prior to implementation of </w:t>
            </w:r>
            <w:r w:rsidR="000E1CA6">
              <w:t>Planning Guide Revision Request (</w:t>
            </w:r>
            <w:r>
              <w:t>PGRR</w:t>
            </w:r>
            <w:r w:rsidR="000E1CA6">
              <w:t xml:space="preserve">) </w:t>
            </w:r>
            <w:r>
              <w:t xml:space="preserve">115, </w:t>
            </w:r>
            <w:r w:rsidRPr="00023FDB">
              <w:t>Related to NPRR1234, Interconnection Requirements for Large Loads and Modeling Standards for Loads 25 MW or Greater</w:t>
            </w:r>
            <w:r>
              <w:t>.</w:t>
            </w:r>
          </w:p>
        </w:tc>
      </w:tr>
      <w:tr w:rsidR="00485DB5" w:rsidRPr="00E01925" w14:paraId="2E079A5C" w14:textId="77777777" w:rsidTr="00BC2D06">
        <w:trPr>
          <w:trHeight w:val="518"/>
        </w:trPr>
        <w:tc>
          <w:tcPr>
            <w:tcW w:w="2880" w:type="dxa"/>
            <w:gridSpan w:val="2"/>
            <w:shd w:val="clear" w:color="auto" w:fill="FFFFFF"/>
            <w:vAlign w:val="center"/>
          </w:tcPr>
          <w:p w14:paraId="1AE0D247" w14:textId="2F18255E" w:rsidR="00485DB5" w:rsidRDefault="00485DB5" w:rsidP="00485DB5">
            <w:pPr>
              <w:pStyle w:val="Header"/>
              <w:spacing w:before="120" w:after="120"/>
            </w:pPr>
            <w:r>
              <w:t>Estimated Impacts</w:t>
            </w:r>
          </w:p>
        </w:tc>
        <w:tc>
          <w:tcPr>
            <w:tcW w:w="7560" w:type="dxa"/>
            <w:gridSpan w:val="2"/>
            <w:vAlign w:val="center"/>
          </w:tcPr>
          <w:p w14:paraId="75C395B5" w14:textId="2065987D" w:rsidR="00485DB5" w:rsidRDefault="00485DB5" w:rsidP="00485DB5">
            <w:pPr>
              <w:pStyle w:val="Header"/>
              <w:spacing w:before="120" w:after="120"/>
              <w:rPr>
                <w:b w:val="0"/>
                <w:bCs w:val="0"/>
              </w:rPr>
            </w:pPr>
            <w:r>
              <w:rPr>
                <w:b w:val="0"/>
                <w:bCs w:val="0"/>
              </w:rPr>
              <w:t>Cost/Budgetary:  To be determined</w:t>
            </w:r>
          </w:p>
          <w:p w14:paraId="3DEFA7DD" w14:textId="53E6CFE9" w:rsidR="00485DB5" w:rsidRDefault="00485DB5" w:rsidP="00485DB5">
            <w:pPr>
              <w:pStyle w:val="NormalArial"/>
              <w:spacing w:before="120" w:after="120"/>
            </w:pPr>
            <w:r>
              <w:t xml:space="preserve">Project Duration:  </w:t>
            </w:r>
            <w:r w:rsidRPr="00485DB5">
              <w:t>To be determined</w:t>
            </w:r>
          </w:p>
        </w:tc>
      </w:tr>
      <w:tr w:rsidR="005D3A91" w:rsidRPr="00E01925" w14:paraId="3AFBF7EC" w14:textId="77777777" w:rsidTr="00BC2D06">
        <w:trPr>
          <w:trHeight w:val="518"/>
        </w:trPr>
        <w:tc>
          <w:tcPr>
            <w:tcW w:w="2880" w:type="dxa"/>
            <w:gridSpan w:val="2"/>
            <w:shd w:val="clear" w:color="auto" w:fill="FFFFFF"/>
            <w:vAlign w:val="center"/>
          </w:tcPr>
          <w:p w14:paraId="2FCF6AA2" w14:textId="2786DF1D" w:rsidR="005D3A91" w:rsidRPr="00E01925" w:rsidRDefault="005D3A91" w:rsidP="00485DB5">
            <w:pPr>
              <w:pStyle w:val="Header"/>
              <w:spacing w:before="120" w:after="120"/>
              <w:rPr>
                <w:bCs w:val="0"/>
              </w:rPr>
            </w:pPr>
            <w:r>
              <w:t xml:space="preserve">Proposed </w:t>
            </w:r>
            <w:r w:rsidRPr="00EE1A0D">
              <w:t>Effective Date</w:t>
            </w:r>
          </w:p>
        </w:tc>
        <w:tc>
          <w:tcPr>
            <w:tcW w:w="7560" w:type="dxa"/>
            <w:gridSpan w:val="2"/>
            <w:vAlign w:val="center"/>
          </w:tcPr>
          <w:p w14:paraId="433A9F3E" w14:textId="7492CB8D" w:rsidR="005D3A91" w:rsidRDefault="005D3A91" w:rsidP="00485DB5">
            <w:pPr>
              <w:pStyle w:val="NormalArial"/>
              <w:spacing w:before="120" w:after="120"/>
            </w:pPr>
            <w:r>
              <w:t>To be determined</w:t>
            </w:r>
          </w:p>
        </w:tc>
      </w:tr>
      <w:tr w:rsidR="005D3A91" w:rsidRPr="00E01925" w14:paraId="2011E61B" w14:textId="77777777" w:rsidTr="00BC2D06">
        <w:trPr>
          <w:trHeight w:val="518"/>
        </w:trPr>
        <w:tc>
          <w:tcPr>
            <w:tcW w:w="2880" w:type="dxa"/>
            <w:gridSpan w:val="2"/>
            <w:shd w:val="clear" w:color="auto" w:fill="FFFFFF"/>
            <w:vAlign w:val="center"/>
          </w:tcPr>
          <w:p w14:paraId="5FA3D045" w14:textId="772F597F" w:rsidR="005D3A91" w:rsidRPr="00E01925" w:rsidRDefault="005D3A91" w:rsidP="00485DB5">
            <w:pPr>
              <w:pStyle w:val="Header"/>
              <w:spacing w:before="120" w:after="120"/>
              <w:rPr>
                <w:bCs w:val="0"/>
              </w:rPr>
            </w:pPr>
            <w:r w:rsidRPr="00EE1A0D">
              <w:t>Priority and Rank Assigned</w:t>
            </w:r>
          </w:p>
        </w:tc>
        <w:tc>
          <w:tcPr>
            <w:tcW w:w="7560" w:type="dxa"/>
            <w:gridSpan w:val="2"/>
            <w:vAlign w:val="center"/>
          </w:tcPr>
          <w:p w14:paraId="2A79DCA1" w14:textId="48FE1816" w:rsidR="005D3A91" w:rsidRDefault="005D3A91" w:rsidP="00485DB5">
            <w:pPr>
              <w:pStyle w:val="NormalArial"/>
              <w:spacing w:before="120" w:after="120"/>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485DB5">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3F30EEBA" w:rsidR="009D17F0" w:rsidRPr="00FB509B" w:rsidRDefault="0020105C" w:rsidP="00485DB5">
            <w:pPr>
              <w:pStyle w:val="NormalArial"/>
              <w:spacing w:before="120" w:after="120"/>
            </w:pPr>
            <w:r>
              <w:t>5.2.</w:t>
            </w:r>
            <w:r w:rsidR="00060068">
              <w:t>11</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AD2917E" w:rsidR="009D17F0" w:rsidRPr="00FB509B" w:rsidRDefault="0020105C" w:rsidP="00023FDB">
            <w:pPr>
              <w:pStyle w:val="NormalArial"/>
              <w:spacing w:before="120" w:after="120"/>
            </w:pPr>
            <w:r>
              <w:t xml:space="preserve">This PGRR corrects for unintentional operational risk </w:t>
            </w:r>
            <w:r w:rsidR="00D816BF">
              <w:t>in</w:t>
            </w:r>
            <w:r>
              <w:t xml:space="preserve"> gr</w:t>
            </w:r>
            <w:r w:rsidR="00023FDB">
              <w:t>e</w:t>
            </w:r>
            <w:r>
              <w:t>y</w:t>
            </w:r>
            <w:r w:rsidR="000C1789">
              <w:t>-</w:t>
            </w:r>
            <w:r>
              <w:t>box</w:t>
            </w:r>
            <w:r w:rsidR="00023FDB">
              <w:t>ed</w:t>
            </w:r>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248184A1" w:rsidR="00D61F38" w:rsidRDefault="0061064F"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2ABDE817" w:rsidR="00D61F38" w:rsidRPr="00BD53C5" w:rsidRDefault="0061064F"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2" o:title=""/>
                </v:shape>
              </w:pict>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B156549" w:rsidR="00D61F38" w:rsidRPr="00BD53C5" w:rsidRDefault="0061064F" w:rsidP="00D61F38">
            <w:pPr>
              <w:pStyle w:val="NormalArial"/>
              <w:spacing w:before="120"/>
              <w:ind w:left="432" w:hanging="432"/>
              <w:rPr>
                <w:rFonts w:cs="Arial"/>
                <w:color w:val="000000"/>
              </w:rPr>
            </w:pPr>
            <w:r>
              <w:pict w14:anchorId="58369BAA">
                <v:shape id="_x0000_i1027" type="#_x0000_t75" style="width:15.6pt;height:15pt">
                  <v:imagedata r:id="rId12" o:title=""/>
                </v:shape>
              </w:pict>
            </w:r>
            <w:r w:rsidR="00D61F38" w:rsidRPr="006629C8">
              <w:t xml:space="preserve">  </w:t>
            </w:r>
            <w:hyperlink r:id="rId15"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47CC731" w:rsidR="00D61F38" w:rsidRDefault="0061064F" w:rsidP="00D61F38">
            <w:pPr>
              <w:pStyle w:val="NormalArial"/>
              <w:spacing w:before="120"/>
              <w:rPr>
                <w:iCs/>
                <w:kern w:val="24"/>
              </w:rPr>
            </w:pPr>
            <w:r>
              <w:pict w14:anchorId="41FE9C28">
                <v:shape id="_x0000_i1028" type="#_x0000_t75" style="width:15.6pt;height:15pt">
                  <v:imagedata r:id="rId16" o:title=""/>
                </v:shape>
              </w:pict>
            </w:r>
            <w:r w:rsidR="00D61F38" w:rsidRPr="006629C8">
              <w:t xml:space="preserve">  </w:t>
            </w:r>
            <w:r w:rsidR="006C798F" w:rsidRPr="00344591">
              <w:rPr>
                <w:iCs/>
                <w:kern w:val="24"/>
              </w:rPr>
              <w:t>General system and/or process improvement(s)</w:t>
            </w:r>
          </w:p>
          <w:p w14:paraId="7DA37B33" w14:textId="1F6554DC" w:rsidR="00D61F38" w:rsidRDefault="0061064F" w:rsidP="00D61F38">
            <w:pPr>
              <w:pStyle w:val="NormalArial"/>
              <w:spacing w:before="120"/>
              <w:rPr>
                <w:iCs/>
                <w:kern w:val="24"/>
              </w:rPr>
            </w:pPr>
            <w:r>
              <w:pict w14:anchorId="5FB96FD7">
                <v:shape id="_x0000_i1029" type="#_x0000_t75" style="width:15.6pt;height:15pt">
                  <v:imagedata r:id="rId12" o:title=""/>
                </v:shape>
              </w:pict>
            </w:r>
            <w:r w:rsidR="00D61F38" w:rsidRPr="006629C8">
              <w:t xml:space="preserve">  </w:t>
            </w:r>
            <w:r w:rsidR="00D61F38">
              <w:rPr>
                <w:iCs/>
                <w:kern w:val="24"/>
              </w:rPr>
              <w:t>Regulatory requirements</w:t>
            </w:r>
          </w:p>
          <w:p w14:paraId="03BA4546" w14:textId="5B643D75" w:rsidR="00D61F38" w:rsidRPr="00CD242D" w:rsidRDefault="0061064F" w:rsidP="00D61F38">
            <w:pPr>
              <w:pStyle w:val="NormalArial"/>
              <w:spacing w:before="120"/>
              <w:rPr>
                <w:rFonts w:cs="Arial"/>
                <w:color w:val="000000"/>
              </w:rPr>
            </w:pPr>
            <w:r>
              <w:lastRenderedPageBreak/>
              <w:pict w14:anchorId="6804659E">
                <v:shape id="_x0000_i1030" type="#_x0000_t75" style="width:15.6pt;height:15pt">
                  <v:imagedata r:id="rId12"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C907E8" w14:paraId="27C2730B" w14:textId="77777777" w:rsidTr="005D3A91">
        <w:trPr>
          <w:trHeight w:val="518"/>
        </w:trPr>
        <w:tc>
          <w:tcPr>
            <w:tcW w:w="2880" w:type="dxa"/>
            <w:gridSpan w:val="2"/>
            <w:shd w:val="clear" w:color="auto" w:fill="FFFFFF"/>
            <w:vAlign w:val="center"/>
          </w:tcPr>
          <w:p w14:paraId="5C38A584" w14:textId="2B3971C1" w:rsidR="00C907E8" w:rsidRDefault="00C907E8" w:rsidP="00C907E8">
            <w:pPr>
              <w:pStyle w:val="Header"/>
            </w:pPr>
            <w:r w:rsidRPr="0037708F">
              <w:lastRenderedPageBreak/>
              <w:t>Justification of Reason for Revision and Market Impacts</w:t>
            </w:r>
          </w:p>
        </w:tc>
        <w:tc>
          <w:tcPr>
            <w:tcW w:w="7560" w:type="dxa"/>
            <w:gridSpan w:val="2"/>
            <w:vAlign w:val="center"/>
          </w:tcPr>
          <w:p w14:paraId="4F3A84D4" w14:textId="72DAB5D7" w:rsidR="00C907E8" w:rsidRPr="0037708F" w:rsidRDefault="00C907E8" w:rsidP="00C907E8">
            <w:pPr>
              <w:spacing w:before="120" w:after="120"/>
              <w:rPr>
                <w:rFonts w:ascii="Arial" w:hAnsi="Arial"/>
              </w:rPr>
            </w:pPr>
            <w:r w:rsidRPr="0037708F">
              <w:rPr>
                <w:rFonts w:ascii="Arial" w:hAnsi="Arial"/>
              </w:rPr>
              <w:t>PGRR115 included one change unrelated to the interconnection of Large Loads – specifically, a revision to Section 5 adding grey</w:t>
            </w:r>
            <w:r w:rsidR="00F53F54">
              <w:rPr>
                <w:rFonts w:ascii="Arial" w:hAnsi="Arial"/>
              </w:rPr>
              <w:t>-</w:t>
            </w:r>
            <w:r w:rsidRPr="0037708F">
              <w:rPr>
                <w:rFonts w:ascii="Arial" w:hAnsi="Arial"/>
              </w:rPr>
              <w:t>boxed Section 5.2.1</w:t>
            </w:r>
            <w:r>
              <w:rPr>
                <w:rFonts w:ascii="Arial" w:hAnsi="Arial"/>
              </w:rPr>
              <w:t>1</w:t>
            </w:r>
            <w:r w:rsidRPr="0037708F">
              <w:rPr>
                <w:rFonts w:ascii="Arial" w:hAnsi="Arial"/>
              </w:rPr>
              <w:t xml:space="preserve"> that specifies that fault-protective breakers “be under the remote control of the applicable Transmission Operator (TO) and capable of being operated remotely to comply with an instruction from ERCOT.” </w:t>
            </w:r>
          </w:p>
          <w:p w14:paraId="1306903C" w14:textId="77777777" w:rsidR="00C907E8" w:rsidRPr="0037708F" w:rsidRDefault="00C907E8" w:rsidP="00C907E8">
            <w:pPr>
              <w:spacing w:before="120" w:after="120"/>
              <w:rPr>
                <w:rFonts w:ascii="Arial" w:hAnsi="Arial"/>
              </w:rPr>
            </w:pPr>
            <w:r w:rsidRPr="0037708F">
              <w:rPr>
                <w:rFonts w:ascii="Arial" w:hAnsi="Arial"/>
              </w:rPr>
              <w:t>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0432B124" w14:textId="49C79D9B" w:rsidR="00C907E8" w:rsidRPr="00146416" w:rsidRDefault="00C907E8" w:rsidP="00C907E8">
            <w:pPr>
              <w:pStyle w:val="NormalArial"/>
              <w:spacing w:before="120" w:after="120"/>
            </w:pPr>
            <w:r w:rsidRPr="0037708F">
              <w:t>Accordingly, to avoid a potential unintended consequence of the phrasing of new Section 5.2.1</w:t>
            </w:r>
            <w:r>
              <w:t>1</w:t>
            </w:r>
            <w:r w:rsidRPr="0037708F">
              <w:t xml:space="preserve">, an additional paragraph (2) in Section 5.2.11 allows existing generators with a Resource Commissioning Date on or before December 31, </w:t>
            </w:r>
            <w:proofErr w:type="gramStart"/>
            <w:r w:rsidRPr="0037708F">
              <w:t>2025</w:t>
            </w:r>
            <w:proofErr w:type="gramEnd"/>
            <w:r w:rsidRPr="0037708F">
              <w:t xml:space="preserve"> to maintain their current configuration. These units would need to come into compliance with the new requirements in the event a modification </w:t>
            </w:r>
            <w:proofErr w:type="gramStart"/>
            <w:r w:rsidRPr="0037708F">
              <w:t>changing</w:t>
            </w:r>
            <w:proofErr w:type="gramEnd"/>
            <w:r w:rsidRPr="0037708F">
              <w:t xml:space="preserve"> or adding a POI to the facility (as described in paragraph (1)(c)(iv) of Section 5.2.1</w:t>
            </w:r>
            <w:r w:rsidR="00215DFB">
              <w:t>, Applicability</w:t>
            </w:r>
            <w:r w:rsidRPr="0037708F">
              <w:t>) is made</w:t>
            </w:r>
            <w:r>
              <w:t xml:space="preserve"> or if the Resource adds a co-located load bringing the total load to 75MW or greater</w:t>
            </w:r>
            <w:r w:rsidRPr="0037708F">
              <w:t>.</w:t>
            </w:r>
          </w:p>
        </w:tc>
      </w:tr>
      <w:tr w:rsidR="005D3A91" w14:paraId="7D382E5E" w14:textId="77777777" w:rsidTr="00BC2D06">
        <w:trPr>
          <w:trHeight w:val="518"/>
        </w:trPr>
        <w:tc>
          <w:tcPr>
            <w:tcW w:w="2880" w:type="dxa"/>
            <w:gridSpan w:val="2"/>
            <w:tcBorders>
              <w:bottom w:val="single" w:sz="4" w:space="0" w:color="auto"/>
            </w:tcBorders>
            <w:shd w:val="clear" w:color="auto" w:fill="FFFFFF"/>
            <w:vAlign w:val="center"/>
          </w:tcPr>
          <w:p w14:paraId="4F5DCBA2" w14:textId="32FB5397" w:rsidR="005D3A91" w:rsidRDefault="005D3A91" w:rsidP="005D3A91">
            <w:pPr>
              <w:pStyle w:val="Header"/>
              <w:rPr>
                <w:b w:val="0"/>
                <w:bCs w:val="0"/>
              </w:rPr>
            </w:pPr>
            <w:r>
              <w:t>ROS Decision</w:t>
            </w:r>
          </w:p>
        </w:tc>
        <w:tc>
          <w:tcPr>
            <w:tcW w:w="7560" w:type="dxa"/>
            <w:gridSpan w:val="2"/>
            <w:tcBorders>
              <w:bottom w:val="single" w:sz="4" w:space="0" w:color="auto"/>
            </w:tcBorders>
            <w:vAlign w:val="center"/>
          </w:tcPr>
          <w:p w14:paraId="36708636" w14:textId="77777777" w:rsidR="005D3A91" w:rsidRDefault="005D3A91" w:rsidP="005D3A91">
            <w:pPr>
              <w:pStyle w:val="NormalArial"/>
              <w:spacing w:before="120" w:after="120"/>
            </w:pPr>
            <w:r>
              <w:t>On 11/6/25, ROS voted to grant PGRR133 Urgent status.</w:t>
            </w:r>
            <w:r w:rsidR="00C1329E">
              <w:t xml:space="preserve">  There was one opposing vote from the Independent Generator (Southern Power) Market Segment and one abstention from the Independent Generator (EDF Power Solutions) Market Segment.</w:t>
            </w:r>
            <w:r>
              <w:t xml:space="preserve">  ROS then voted </w:t>
            </w:r>
            <w:r w:rsidR="00F21B4B">
              <w:t xml:space="preserve">unanimously </w:t>
            </w:r>
            <w:r>
              <w:t xml:space="preserve">to </w:t>
            </w:r>
            <w:r w:rsidR="000C6BB2">
              <w:t>table PGRR133.</w:t>
            </w:r>
            <w:r>
              <w:t xml:space="preserve">  All Market Segments participated in </w:t>
            </w:r>
            <w:r w:rsidR="000C6BB2">
              <w:t>both</w:t>
            </w:r>
            <w:r>
              <w:t xml:space="preserve"> vote</w:t>
            </w:r>
            <w:r w:rsidR="000C6BB2">
              <w:t>s</w:t>
            </w:r>
            <w:r>
              <w:t>.</w:t>
            </w:r>
          </w:p>
          <w:p w14:paraId="5C59D473" w14:textId="2747E5F6" w:rsidR="00C907E8" w:rsidRDefault="00C907E8" w:rsidP="005D3A91">
            <w:pPr>
              <w:pStyle w:val="NormalArial"/>
              <w:spacing w:before="120" w:after="120"/>
            </w:pPr>
            <w:r>
              <w:t>On 4/2/26, ROS voted unanimously to recommend approval of PGRR133 as amended by the 1/28/26 Joint Commenters comments and to forward PGRR133 to TAC.  All Market Segments participated in the vote.</w:t>
            </w:r>
          </w:p>
        </w:tc>
      </w:tr>
      <w:tr w:rsidR="005D3A91" w14:paraId="00F3D44B" w14:textId="77777777" w:rsidTr="00BC2D06">
        <w:trPr>
          <w:trHeight w:val="518"/>
        </w:trPr>
        <w:tc>
          <w:tcPr>
            <w:tcW w:w="2880" w:type="dxa"/>
            <w:gridSpan w:val="2"/>
            <w:tcBorders>
              <w:bottom w:val="single" w:sz="4" w:space="0" w:color="auto"/>
            </w:tcBorders>
            <w:shd w:val="clear" w:color="auto" w:fill="FFFFFF"/>
            <w:vAlign w:val="center"/>
          </w:tcPr>
          <w:p w14:paraId="7FFEFED9" w14:textId="3CB65058" w:rsidR="005D3A91" w:rsidRDefault="005D3A91" w:rsidP="005D3A91">
            <w:pPr>
              <w:pStyle w:val="Header"/>
              <w:rPr>
                <w:b w:val="0"/>
                <w:bCs w:val="0"/>
              </w:rPr>
            </w:pPr>
            <w:r>
              <w:t>Summary of ROS Discussion</w:t>
            </w:r>
          </w:p>
        </w:tc>
        <w:tc>
          <w:tcPr>
            <w:tcW w:w="7560" w:type="dxa"/>
            <w:gridSpan w:val="2"/>
            <w:tcBorders>
              <w:bottom w:val="single" w:sz="4" w:space="0" w:color="auto"/>
            </w:tcBorders>
            <w:vAlign w:val="center"/>
          </w:tcPr>
          <w:p w14:paraId="4E68A2EC" w14:textId="511B8B31" w:rsidR="005D3A91" w:rsidRDefault="005D3A91" w:rsidP="005D3A91">
            <w:pPr>
              <w:pStyle w:val="NormalArial"/>
              <w:spacing w:before="120" w:after="120"/>
            </w:pPr>
            <w:r>
              <w:t>On 11/6/25, the sponsor provided an overview of PGRR133 and the request for urgency.</w:t>
            </w:r>
            <w:r w:rsidR="000C6BB2">
              <w:t xml:space="preserve">  ERCOT Staff presented the 11/5/25 ERCOT comments.  Participants discussed the appropriateness of remote control of breakers for facilities, particularly nuclear locations, and </w:t>
            </w:r>
            <w:r w:rsidR="000C6BB2">
              <w:lastRenderedPageBreak/>
              <w:t>requested additional time to review the implications of PGRR133 and the unboxing of PGRR115.  ERCOT Staff noted their willingness to delay the unboxing of 5.2.1</w:t>
            </w:r>
            <w:r w:rsidR="0061064F">
              <w:t>1</w:t>
            </w:r>
            <w:r w:rsidR="000C6BB2">
              <w:t xml:space="preserve"> to allow</w:t>
            </w:r>
            <w:r w:rsidR="002162D5">
              <w:t xml:space="preserve"> time</w:t>
            </w:r>
            <w:r w:rsidR="000C6BB2">
              <w:t xml:space="preserve"> for additional discussions.</w:t>
            </w:r>
          </w:p>
          <w:p w14:paraId="7483D79F" w14:textId="7EB6B5C4" w:rsidR="00C907E8" w:rsidRDefault="00C907E8" w:rsidP="005D3A91">
            <w:pPr>
              <w:pStyle w:val="NormalArial"/>
              <w:spacing w:before="120" w:after="120"/>
            </w:pPr>
            <w:r>
              <w:t>On 4/2/26, participants reviewed the 1/28/26 Joint Commenters comments.</w:t>
            </w:r>
          </w:p>
        </w:tc>
      </w:tr>
    </w:tbl>
    <w:p w14:paraId="69C432FA" w14:textId="77777777" w:rsidR="0059260F" w:rsidRDefault="0059260F" w:rsidP="00E71C39">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D3A91" w:rsidRPr="006F5051" w14:paraId="5C149B9C" w14:textId="77777777" w:rsidTr="005D3A91">
        <w:trPr>
          <w:trHeight w:val="432"/>
        </w:trPr>
        <w:tc>
          <w:tcPr>
            <w:tcW w:w="10417" w:type="dxa"/>
            <w:gridSpan w:val="2"/>
            <w:shd w:val="clear" w:color="auto" w:fill="FFFFFF"/>
            <w:vAlign w:val="center"/>
          </w:tcPr>
          <w:p w14:paraId="0F1963C1" w14:textId="77777777" w:rsidR="005D3A91" w:rsidRPr="006F5051" w:rsidRDefault="005D3A91" w:rsidP="00D63085">
            <w:pPr>
              <w:ind w:hanging="2"/>
              <w:jc w:val="center"/>
              <w:rPr>
                <w:rFonts w:ascii="Arial" w:hAnsi="Arial"/>
                <w:b/>
              </w:rPr>
            </w:pPr>
            <w:r w:rsidRPr="006F5051">
              <w:rPr>
                <w:rFonts w:ascii="Arial" w:hAnsi="Arial"/>
                <w:b/>
              </w:rPr>
              <w:t>Opinions</w:t>
            </w:r>
          </w:p>
        </w:tc>
      </w:tr>
      <w:tr w:rsidR="005D3A91" w:rsidRPr="006F5051" w14:paraId="47A82222" w14:textId="77777777" w:rsidTr="005D3A91">
        <w:trPr>
          <w:trHeight w:val="432"/>
        </w:trPr>
        <w:tc>
          <w:tcPr>
            <w:tcW w:w="2880" w:type="dxa"/>
            <w:shd w:val="clear" w:color="auto" w:fill="FFFFFF"/>
            <w:vAlign w:val="center"/>
          </w:tcPr>
          <w:p w14:paraId="1DA287DD"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F42FB1A" w14:textId="77777777" w:rsidR="005D3A91" w:rsidRPr="006F5051" w:rsidRDefault="005D3A91" w:rsidP="00D6308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D3A91" w:rsidRPr="006F5051" w14:paraId="1958213C" w14:textId="77777777" w:rsidTr="005D3A91">
        <w:trPr>
          <w:trHeight w:val="432"/>
        </w:trPr>
        <w:tc>
          <w:tcPr>
            <w:tcW w:w="2880" w:type="dxa"/>
            <w:shd w:val="clear" w:color="auto" w:fill="FFFFFF"/>
            <w:vAlign w:val="center"/>
          </w:tcPr>
          <w:p w14:paraId="18325EC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5F6AA566" w14:textId="77777777" w:rsidR="005D3A91" w:rsidRPr="006F5051" w:rsidRDefault="005D3A91" w:rsidP="00D63085">
            <w:pPr>
              <w:spacing w:before="120" w:after="120"/>
              <w:ind w:hanging="2"/>
              <w:rPr>
                <w:rFonts w:ascii="Arial" w:hAnsi="Arial"/>
                <w:b/>
                <w:bCs/>
              </w:rPr>
            </w:pPr>
            <w:r w:rsidRPr="006F5051">
              <w:rPr>
                <w:rFonts w:ascii="Arial" w:hAnsi="Arial"/>
              </w:rPr>
              <w:t>To be determined</w:t>
            </w:r>
          </w:p>
        </w:tc>
      </w:tr>
      <w:tr w:rsidR="005D3A91" w:rsidRPr="006F5051" w14:paraId="113F4B2B" w14:textId="77777777" w:rsidTr="005D3A91">
        <w:trPr>
          <w:trHeight w:val="432"/>
        </w:trPr>
        <w:tc>
          <w:tcPr>
            <w:tcW w:w="2880" w:type="dxa"/>
            <w:shd w:val="clear" w:color="auto" w:fill="FFFFFF"/>
            <w:vAlign w:val="center"/>
          </w:tcPr>
          <w:p w14:paraId="64FFB2D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07CDD37" w14:textId="77777777" w:rsidR="005D3A91" w:rsidRPr="006F5051" w:rsidRDefault="005D3A91" w:rsidP="00D63085">
            <w:pPr>
              <w:spacing w:before="120" w:after="120"/>
              <w:ind w:hanging="2"/>
              <w:rPr>
                <w:rFonts w:ascii="Arial" w:hAnsi="Arial"/>
                <w:b/>
                <w:bCs/>
              </w:rPr>
            </w:pPr>
            <w:r w:rsidRPr="003E0DC6">
              <w:rPr>
                <w:rFonts w:ascii="Arial" w:hAnsi="Arial"/>
              </w:rPr>
              <w:t>To be determined</w:t>
            </w:r>
          </w:p>
        </w:tc>
      </w:tr>
      <w:tr w:rsidR="005D3A91" w:rsidRPr="006F5051" w14:paraId="1BFDA51B" w14:textId="77777777" w:rsidTr="005D3A91">
        <w:trPr>
          <w:trHeight w:val="432"/>
        </w:trPr>
        <w:tc>
          <w:tcPr>
            <w:tcW w:w="2880" w:type="dxa"/>
            <w:shd w:val="clear" w:color="auto" w:fill="FFFFFF"/>
            <w:vAlign w:val="center"/>
          </w:tcPr>
          <w:p w14:paraId="44336F56"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443115C" w14:textId="77777777" w:rsidR="005D3A91" w:rsidRPr="006F5051" w:rsidRDefault="005D3A91" w:rsidP="00D63085">
            <w:pPr>
              <w:spacing w:before="120" w:after="120"/>
              <w:ind w:hanging="2"/>
              <w:rPr>
                <w:rFonts w:ascii="Arial" w:hAnsi="Arial"/>
                <w:b/>
                <w:bCs/>
              </w:rPr>
            </w:pPr>
            <w:r w:rsidRPr="003E0DC6">
              <w:rPr>
                <w:rFonts w:ascii="Arial" w:hAnsi="Arial"/>
              </w:rPr>
              <w:t>To be determined</w:t>
            </w:r>
          </w:p>
        </w:tc>
      </w:tr>
    </w:tbl>
    <w:p w14:paraId="50ACC549" w14:textId="77777777" w:rsidR="005D3A91" w:rsidRPr="0030232A" w:rsidRDefault="005D3A9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644F5886" w:rsidR="00342163" w:rsidRPr="00342163" w:rsidRDefault="00D61F38" w:rsidP="00451D13">
            <w:pPr>
              <w:pStyle w:val="Header"/>
            </w:pPr>
            <w:r w:rsidRPr="00B93CA0">
              <w:rPr>
                <w:bCs w:val="0"/>
              </w:rPr>
              <w:t>Name</w:t>
            </w:r>
          </w:p>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5208D14" w:rsidR="00D61F38" w:rsidRPr="00605656" w:rsidRDefault="00605656" w:rsidP="009A7D32">
            <w:pPr>
              <w:pStyle w:val="NormalArial"/>
            </w:pPr>
            <w:hyperlink r:id="rId17" w:history="1">
              <w:r w:rsidRPr="00605656">
                <w:rPr>
                  <w:rStyle w:val="Hyperlink"/>
                </w:rPr>
                <w:t>Monica.Jha@vistracorp.com</w:t>
              </w:r>
            </w:hyperlink>
            <w:r w:rsidRPr="00605656">
              <w:t xml:space="preserve">; </w:t>
            </w:r>
            <w:hyperlink r:id="rId18" w:history="1">
              <w:r w:rsidRPr="00605656">
                <w:rPr>
                  <w:rStyle w:val="Hyperlink"/>
                </w:rPr>
                <w:t>Katie.Rich@vistracorp.com</w:t>
              </w:r>
            </w:hyperlink>
            <w:r w:rsidRPr="00605656">
              <w:t xml:space="preserve">; </w:t>
            </w:r>
            <w:hyperlink r:id="rId19"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0"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87DF219"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D3A91" w:rsidRPr="006F5051" w14:paraId="59A25CEF" w14:textId="77777777" w:rsidTr="005D3A9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D779C" w14:textId="77777777" w:rsidR="005D3A91" w:rsidRPr="006F5051" w:rsidRDefault="005D3A91" w:rsidP="00D63085">
            <w:pPr>
              <w:jc w:val="center"/>
              <w:rPr>
                <w:rFonts w:ascii="Arial" w:hAnsi="Arial"/>
                <w:b/>
              </w:rPr>
            </w:pPr>
            <w:r w:rsidRPr="006F5051">
              <w:rPr>
                <w:rFonts w:ascii="Arial" w:hAnsi="Arial"/>
                <w:b/>
              </w:rPr>
              <w:t>Comments Received</w:t>
            </w:r>
          </w:p>
        </w:tc>
      </w:tr>
      <w:tr w:rsidR="005D3A91" w:rsidRPr="006F5051" w14:paraId="475A1CA7"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41EAE" w14:textId="77777777" w:rsidR="005D3A91" w:rsidRPr="006F5051" w:rsidRDefault="005D3A91" w:rsidP="00D63085">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18A9DB98" w14:textId="77777777" w:rsidR="005D3A91" w:rsidRPr="006F5051" w:rsidRDefault="005D3A91" w:rsidP="00D63085">
            <w:pPr>
              <w:rPr>
                <w:rFonts w:ascii="Arial" w:hAnsi="Arial"/>
                <w:b/>
              </w:rPr>
            </w:pPr>
            <w:r w:rsidRPr="006F5051">
              <w:rPr>
                <w:rFonts w:ascii="Arial" w:hAnsi="Arial"/>
                <w:b/>
              </w:rPr>
              <w:t>Comment Summary</w:t>
            </w:r>
          </w:p>
        </w:tc>
      </w:tr>
      <w:tr w:rsidR="005D3A91" w:rsidRPr="006F5051" w14:paraId="2AA3BF6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0A029D" w14:textId="6590038F" w:rsidR="005D3A91" w:rsidRPr="006F5051" w:rsidRDefault="005D3A91" w:rsidP="00D63085">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61339F9" w14:textId="236EAB35" w:rsidR="005D3A91" w:rsidRPr="006F5051" w:rsidRDefault="005D3A91" w:rsidP="00D63085">
            <w:pPr>
              <w:spacing w:before="120" w:after="120"/>
              <w:rPr>
                <w:rFonts w:ascii="Arial" w:hAnsi="Arial"/>
              </w:rPr>
            </w:pPr>
            <w:r>
              <w:rPr>
                <w:rFonts w:ascii="Arial" w:hAnsi="Arial"/>
              </w:rPr>
              <w:t>Proposed revisions to re</w:t>
            </w:r>
            <w:r w:rsidR="000C6BB2">
              <w:rPr>
                <w:rFonts w:ascii="Arial" w:hAnsi="Arial"/>
              </w:rPr>
              <w:t>store language in paragraph (1) and add a new paragraph (2) to grandfather existing Resources</w:t>
            </w:r>
            <w:r w:rsidR="002A78AC">
              <w:rPr>
                <w:rFonts w:ascii="Arial" w:hAnsi="Arial"/>
              </w:rPr>
              <w:t xml:space="preserve"> from the </w:t>
            </w:r>
            <w:r w:rsidR="002A78AC">
              <w:rPr>
                <w:rFonts w:ascii="Arial" w:hAnsi="Arial"/>
              </w:rPr>
              <w:lastRenderedPageBreak/>
              <w:t>requirements of paragraph (1)</w:t>
            </w:r>
            <w:r w:rsidR="000C6BB2">
              <w:rPr>
                <w:rFonts w:ascii="Arial" w:hAnsi="Arial"/>
              </w:rPr>
              <w:t xml:space="preserve"> until such time as a modification </w:t>
            </w:r>
            <w:r w:rsidR="002A78AC">
              <w:rPr>
                <w:rFonts w:ascii="Arial" w:hAnsi="Arial"/>
              </w:rPr>
              <w:t>subject to</w:t>
            </w:r>
            <w:r w:rsidR="000C6BB2">
              <w:rPr>
                <w:rFonts w:ascii="Arial" w:hAnsi="Arial"/>
              </w:rPr>
              <w:t xml:space="preserve"> Section 5.2.1</w:t>
            </w:r>
            <w:r w:rsidR="002A78AC">
              <w:rPr>
                <w:rFonts w:ascii="Arial" w:hAnsi="Arial"/>
              </w:rPr>
              <w:t xml:space="preserve"> is made</w:t>
            </w:r>
            <w:r w:rsidR="000C6BB2">
              <w:rPr>
                <w:rFonts w:ascii="Arial" w:hAnsi="Arial"/>
              </w:rPr>
              <w:t>.</w:t>
            </w:r>
          </w:p>
        </w:tc>
      </w:tr>
      <w:tr w:rsidR="00C907E8" w:rsidRPr="006F5051" w14:paraId="428FCDA8"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EE74AB" w14:textId="124B6E55" w:rsidR="00C907E8" w:rsidRDefault="00C907E8" w:rsidP="00D63085">
            <w:pPr>
              <w:tabs>
                <w:tab w:val="center" w:pos="4320"/>
                <w:tab w:val="right" w:pos="8640"/>
              </w:tabs>
              <w:rPr>
                <w:rFonts w:ascii="Arial" w:hAnsi="Arial"/>
              </w:rPr>
            </w:pPr>
            <w:r>
              <w:rPr>
                <w:rFonts w:ascii="Arial" w:hAnsi="Arial"/>
              </w:rPr>
              <w:lastRenderedPageBreak/>
              <w:t>Vistra 110625</w:t>
            </w:r>
          </w:p>
        </w:tc>
        <w:tc>
          <w:tcPr>
            <w:tcW w:w="7537" w:type="dxa"/>
            <w:tcBorders>
              <w:top w:val="single" w:sz="4" w:space="0" w:color="auto"/>
              <w:left w:val="single" w:sz="4" w:space="0" w:color="auto"/>
              <w:bottom w:val="single" w:sz="4" w:space="0" w:color="auto"/>
              <w:right w:val="single" w:sz="4" w:space="0" w:color="auto"/>
            </w:tcBorders>
            <w:vAlign w:val="center"/>
          </w:tcPr>
          <w:p w14:paraId="33FE6C5C" w14:textId="07C6BED6" w:rsidR="00C907E8" w:rsidRDefault="00342778" w:rsidP="00D63085">
            <w:pPr>
              <w:spacing w:before="120" w:after="120"/>
              <w:rPr>
                <w:rFonts w:ascii="Arial" w:hAnsi="Arial"/>
              </w:rPr>
            </w:pPr>
            <w:r>
              <w:rPr>
                <w:rFonts w:ascii="Arial" w:hAnsi="Arial"/>
              </w:rPr>
              <w:t>Proposed additional redlines to the 11/5/25 ERCOT comments to clarify language related to remote control and to exempt nuclear Generation Resources</w:t>
            </w:r>
          </w:p>
        </w:tc>
      </w:tr>
      <w:tr w:rsidR="00C907E8" w:rsidRPr="006F5051" w14:paraId="6268D4C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405991" w14:textId="3B658847" w:rsidR="00C907E8" w:rsidRDefault="00C907E8" w:rsidP="00D63085">
            <w:pPr>
              <w:tabs>
                <w:tab w:val="center" w:pos="4320"/>
                <w:tab w:val="right" w:pos="8640"/>
              </w:tabs>
              <w:rPr>
                <w:rFonts w:ascii="Arial" w:hAnsi="Arial"/>
              </w:rPr>
            </w:pPr>
            <w:r>
              <w:rPr>
                <w:rFonts w:ascii="Arial" w:hAnsi="Arial"/>
              </w:rPr>
              <w:t>LCRA 111825</w:t>
            </w:r>
          </w:p>
        </w:tc>
        <w:tc>
          <w:tcPr>
            <w:tcW w:w="7537" w:type="dxa"/>
            <w:tcBorders>
              <w:top w:val="single" w:sz="4" w:space="0" w:color="auto"/>
              <w:left w:val="single" w:sz="4" w:space="0" w:color="auto"/>
              <w:bottom w:val="single" w:sz="4" w:space="0" w:color="auto"/>
              <w:right w:val="single" w:sz="4" w:space="0" w:color="auto"/>
            </w:tcBorders>
            <w:vAlign w:val="center"/>
          </w:tcPr>
          <w:p w14:paraId="6DB8B79C" w14:textId="2D8C8F66" w:rsidR="00C907E8" w:rsidRDefault="00342778" w:rsidP="00D63085">
            <w:pPr>
              <w:spacing w:before="120" w:after="120"/>
              <w:rPr>
                <w:rFonts w:ascii="Arial" w:hAnsi="Arial"/>
              </w:rPr>
            </w:pPr>
            <w:r>
              <w:rPr>
                <w:rFonts w:ascii="Arial" w:hAnsi="Arial"/>
              </w:rPr>
              <w:t>Proposed additional redlines to the 11/6/25 Vistra comments to specify which breakers shall be under remote control of the applicable TO</w:t>
            </w:r>
          </w:p>
        </w:tc>
      </w:tr>
      <w:tr w:rsidR="00C907E8" w:rsidRPr="006F5051" w14:paraId="617B0DF5"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5995F" w14:textId="692482AD" w:rsidR="00C907E8" w:rsidRDefault="00C907E8" w:rsidP="00D63085">
            <w:pPr>
              <w:tabs>
                <w:tab w:val="center" w:pos="4320"/>
                <w:tab w:val="right" w:pos="8640"/>
              </w:tabs>
              <w:rPr>
                <w:rFonts w:ascii="Arial" w:hAnsi="Arial"/>
              </w:rPr>
            </w:pPr>
            <w:r>
              <w:rPr>
                <w:rFonts w:ascii="Arial" w:hAnsi="Arial"/>
              </w:rPr>
              <w:t>TCPA 112425</w:t>
            </w:r>
          </w:p>
        </w:tc>
        <w:tc>
          <w:tcPr>
            <w:tcW w:w="7537" w:type="dxa"/>
            <w:tcBorders>
              <w:top w:val="single" w:sz="4" w:space="0" w:color="auto"/>
              <w:left w:val="single" w:sz="4" w:space="0" w:color="auto"/>
              <w:bottom w:val="single" w:sz="4" w:space="0" w:color="auto"/>
              <w:right w:val="single" w:sz="4" w:space="0" w:color="auto"/>
            </w:tcBorders>
            <w:vAlign w:val="center"/>
          </w:tcPr>
          <w:p w14:paraId="2A999878" w14:textId="5DF8F898" w:rsidR="00C907E8" w:rsidRDefault="00342778" w:rsidP="00D63085">
            <w:pPr>
              <w:spacing w:before="120" w:after="120"/>
              <w:rPr>
                <w:rFonts w:ascii="Arial" w:hAnsi="Arial"/>
              </w:rPr>
            </w:pPr>
            <w:r>
              <w:rPr>
                <w:rFonts w:ascii="Arial" w:hAnsi="Arial"/>
              </w:rPr>
              <w:t>Expressed support for the 11/6/25 Vistra comments</w:t>
            </w:r>
          </w:p>
        </w:tc>
      </w:tr>
      <w:tr w:rsidR="00C907E8" w:rsidRPr="006F5051" w14:paraId="14013E3E"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F63C97" w14:textId="3EE20F98" w:rsidR="00C907E8" w:rsidRDefault="00C907E8" w:rsidP="00D63085">
            <w:pPr>
              <w:tabs>
                <w:tab w:val="center" w:pos="4320"/>
                <w:tab w:val="right" w:pos="8640"/>
              </w:tabs>
              <w:rPr>
                <w:rFonts w:ascii="Arial" w:hAnsi="Arial"/>
              </w:rPr>
            </w:pPr>
            <w:r>
              <w:rPr>
                <w:rFonts w:ascii="Arial" w:hAnsi="Arial"/>
              </w:rPr>
              <w:t>Joint Commenters 012826</w:t>
            </w:r>
          </w:p>
        </w:tc>
        <w:tc>
          <w:tcPr>
            <w:tcW w:w="7537" w:type="dxa"/>
            <w:tcBorders>
              <w:top w:val="single" w:sz="4" w:space="0" w:color="auto"/>
              <w:left w:val="single" w:sz="4" w:space="0" w:color="auto"/>
              <w:bottom w:val="single" w:sz="4" w:space="0" w:color="auto"/>
              <w:right w:val="single" w:sz="4" w:space="0" w:color="auto"/>
            </w:tcBorders>
            <w:vAlign w:val="center"/>
          </w:tcPr>
          <w:p w14:paraId="297F4EDD" w14:textId="1393C416" w:rsidR="00C907E8" w:rsidRDefault="00342778" w:rsidP="00D63085">
            <w:pPr>
              <w:spacing w:before="120" w:after="120"/>
              <w:rPr>
                <w:rFonts w:ascii="Arial" w:hAnsi="Arial"/>
              </w:rPr>
            </w:pPr>
            <w:r>
              <w:rPr>
                <w:rFonts w:ascii="Arial" w:hAnsi="Arial"/>
              </w:rPr>
              <w:t>Proposed additional clarifying redlines to the 11/18/25 LCRA comments</w:t>
            </w:r>
          </w:p>
        </w:tc>
      </w:tr>
    </w:tbl>
    <w:p w14:paraId="66F1AF5F"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5D3A91" w14:paraId="507A81B5" w14:textId="77777777" w:rsidTr="005D3A91">
        <w:trPr>
          <w:trHeight w:val="350"/>
        </w:trPr>
        <w:tc>
          <w:tcPr>
            <w:tcW w:w="10417" w:type="dxa"/>
            <w:tcBorders>
              <w:bottom w:val="single" w:sz="4" w:space="0" w:color="auto"/>
            </w:tcBorders>
            <w:shd w:val="clear" w:color="auto" w:fill="FFFFFF"/>
            <w:vAlign w:val="center"/>
          </w:tcPr>
          <w:p w14:paraId="60E1C61F" w14:textId="77777777" w:rsidR="005D3A91" w:rsidRDefault="005D3A91" w:rsidP="00D63085">
            <w:pPr>
              <w:pStyle w:val="Header"/>
              <w:jc w:val="center"/>
            </w:pPr>
            <w:r>
              <w:t>Market Rules Notes</w:t>
            </w:r>
          </w:p>
        </w:tc>
      </w:tr>
    </w:tbl>
    <w:p w14:paraId="4B0905F4" w14:textId="5E66011C" w:rsidR="009A3772" w:rsidRPr="00D56D61" w:rsidRDefault="005D3A91" w:rsidP="005D3A9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0A92D59" w14:textId="77777777" w:rsidR="00C907E8" w:rsidRPr="00C907E8" w:rsidRDefault="00C907E8" w:rsidP="00C907E8"/>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907E8" w:rsidRPr="00C907E8" w14:paraId="754F17D4" w14:textId="77777777" w:rsidTr="00044B32">
        <w:tc>
          <w:tcPr>
            <w:tcW w:w="9766" w:type="dxa"/>
            <w:shd w:val="pct12" w:color="auto" w:fill="auto"/>
          </w:tcPr>
          <w:p w14:paraId="153D7EAF" w14:textId="77777777" w:rsidR="00C907E8" w:rsidRPr="00C907E8" w:rsidRDefault="00C907E8" w:rsidP="00C907E8">
            <w:pPr>
              <w:spacing w:before="120" w:after="240"/>
              <w:rPr>
                <w:bCs/>
                <w:iCs/>
                <w:szCs w:val="20"/>
              </w:rPr>
            </w:pPr>
            <w:r w:rsidRPr="00C907E8">
              <w:rPr>
                <w:b/>
                <w:i/>
                <w:iCs/>
                <w:szCs w:val="20"/>
              </w:rPr>
              <w:t>[PGRR115:  Insert Section 5.2.11 below upon system implementation of NPRR1234:]</w:t>
            </w:r>
          </w:p>
          <w:p w14:paraId="7331C0C2" w14:textId="77777777" w:rsidR="00C907E8" w:rsidRPr="00C907E8" w:rsidRDefault="00C907E8" w:rsidP="00C907E8">
            <w:pPr>
              <w:keepNext/>
              <w:tabs>
                <w:tab w:val="left" w:pos="1080"/>
              </w:tabs>
              <w:spacing w:after="240"/>
              <w:outlineLvl w:val="2"/>
              <w:rPr>
                <w:b/>
                <w:bCs/>
                <w:i/>
              </w:rPr>
            </w:pPr>
            <w:r w:rsidRPr="00C907E8">
              <w:rPr>
                <w:b/>
                <w:bCs/>
                <w:i/>
              </w:rPr>
              <w:t>5.2.11</w:t>
            </w:r>
            <w:r w:rsidRPr="00C907E8">
              <w:rPr>
                <w:b/>
                <w:bCs/>
                <w:i/>
              </w:rPr>
              <w:tab/>
              <w:t>Required Interconnection Equipment</w:t>
            </w:r>
          </w:p>
          <w:p w14:paraId="56BCD3BA" w14:textId="77777777" w:rsidR="00C907E8" w:rsidRPr="00C907E8" w:rsidRDefault="00C907E8" w:rsidP="00C907E8">
            <w:pPr>
              <w:spacing w:after="240"/>
              <w:ind w:left="720" w:hanging="720"/>
              <w:rPr>
                <w:ins w:id="0" w:author="ERCOT 110525" w:date="2025-11-05T10:37:00Z"/>
                <w:iCs/>
                <w:szCs w:val="20"/>
              </w:rPr>
            </w:pPr>
            <w:r w:rsidRPr="00C907E8">
              <w:rPr>
                <w:iCs/>
                <w:szCs w:val="20"/>
              </w:rPr>
              <w:t>(1)</w:t>
            </w:r>
            <w:r w:rsidRPr="00C907E8">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 w:author="Vistra" w:date="2025-10-30T12:48:00Z">
              <w:r w:rsidRPr="00C907E8" w:rsidDel="00023FDB">
                <w:rPr>
                  <w:iCs/>
                  <w:szCs w:val="20"/>
                </w:rPr>
                <w:delText xml:space="preserve">  The breakers shall be under the remote control of the applicable Transmission Operator (TO) and capable of being operated remotely to comply with an instruction from ERCOT.</w:delText>
              </w:r>
            </w:del>
            <w:ins w:id="2" w:author="ERCOT 110525" w:date="2025-11-05T10:37:00Z">
              <w:r w:rsidRPr="00C907E8">
                <w:rPr>
                  <w:iCs/>
                  <w:szCs w:val="20"/>
                </w:rPr>
                <w:t xml:space="preserve">  The </w:t>
              </w:r>
            </w:ins>
            <w:ins w:id="3" w:author="LCRA 111825" w:date="2025-11-18T14:04:00Z" w16du:dateUtc="2025-11-18T20:04:00Z">
              <w:r w:rsidRPr="00C907E8">
                <w:rPr>
                  <w:iCs/>
                  <w:szCs w:val="20"/>
                </w:rPr>
                <w:t xml:space="preserve">generator interconnection </w:t>
              </w:r>
            </w:ins>
            <w:ins w:id="4" w:author="ERCOT 110525" w:date="2025-11-05T10:37:00Z">
              <w:r w:rsidRPr="00C907E8">
                <w:rPr>
                  <w:iCs/>
                  <w:szCs w:val="20"/>
                </w:rPr>
                <w:t xml:space="preserve">breakers </w:t>
              </w:r>
            </w:ins>
            <w:ins w:id="5" w:author="LCRA 111825" w:date="2025-11-18T14:04:00Z" w16du:dateUtc="2025-11-18T20:04:00Z">
              <w:r w:rsidRPr="00C907E8">
                <w:rPr>
                  <w:iCs/>
                  <w:szCs w:val="20"/>
                </w:rPr>
                <w:t xml:space="preserve">at a TSP switching station </w:t>
              </w:r>
            </w:ins>
            <w:ins w:id="6" w:author="ERCOT 110525" w:date="2025-11-05T10:37:00Z">
              <w:r w:rsidRPr="00C907E8">
                <w:rPr>
                  <w:iCs/>
                  <w:szCs w:val="20"/>
                </w:rPr>
                <w:t>shall be under the remote control of the applicable Transmission Operator (TO) and capable of being operated remotely to comply with an instruction from ERCOT.</w:t>
              </w:r>
            </w:ins>
          </w:p>
          <w:p w14:paraId="25136D26" w14:textId="77777777" w:rsidR="00C907E8" w:rsidRPr="00C907E8" w:rsidRDefault="00C907E8" w:rsidP="00C907E8">
            <w:pPr>
              <w:spacing w:after="240"/>
              <w:ind w:left="720" w:hanging="720"/>
              <w:rPr>
                <w:iCs/>
                <w:szCs w:val="20"/>
              </w:rPr>
            </w:pPr>
            <w:ins w:id="7" w:author="ERCOT 110525" w:date="2025-11-05T10:37:00Z">
              <w:r w:rsidRPr="00C907E8">
                <w:rPr>
                  <w:iCs/>
                  <w:szCs w:val="20"/>
                </w:rPr>
                <w:t>(2)</w:t>
              </w:r>
              <w:r w:rsidRPr="00C907E8">
                <w:rPr>
                  <w:iCs/>
                  <w:szCs w:val="20"/>
                </w:rPr>
                <w:tab/>
                <w:t xml:space="preserve">For a Generation Resource, ESR, or SOG with a Resource Commissioning Date on or before December 31, 2025, the applicable breakers described in paragraph (1) of this Section may be </w:t>
              </w:r>
              <w:del w:id="8" w:author="Vistra 110625" w:date="2025-11-05T22:07:00Z">
                <w:r w:rsidRPr="00C907E8" w:rsidDel="00955A4E">
                  <w:rPr>
                    <w:iCs/>
                    <w:szCs w:val="20"/>
                  </w:rPr>
                  <w:delText xml:space="preserve">under the </w:delText>
                </w:r>
              </w:del>
              <w:r w:rsidRPr="00C907E8">
                <w:rPr>
                  <w:iCs/>
                  <w:szCs w:val="20"/>
                </w:rPr>
                <w:t>remote</w:t>
              </w:r>
            </w:ins>
            <w:ins w:id="9" w:author="Vistra 110625" w:date="2025-11-05T22:07:00Z">
              <w:r w:rsidRPr="00C907E8">
                <w:rPr>
                  <w:iCs/>
                  <w:szCs w:val="20"/>
                </w:rPr>
                <w:t>ly</w:t>
              </w:r>
            </w:ins>
            <w:ins w:id="10" w:author="ERCOT 110525" w:date="2025-11-05T10:37:00Z">
              <w:r w:rsidRPr="00C907E8">
                <w:rPr>
                  <w:iCs/>
                  <w:szCs w:val="20"/>
                </w:rPr>
                <w:t xml:space="preserve"> control</w:t>
              </w:r>
            </w:ins>
            <w:ins w:id="11" w:author="Vistra 110625" w:date="2025-11-05T22:07:00Z">
              <w:r w:rsidRPr="00C907E8">
                <w:rPr>
                  <w:iCs/>
                  <w:szCs w:val="20"/>
                </w:rPr>
                <w:t>lable at the direction</w:t>
              </w:r>
            </w:ins>
            <w:ins w:id="12" w:author="ERCOT 110525" w:date="2025-11-05T10:37:00Z">
              <w:r w:rsidRPr="00C907E8">
                <w:rPr>
                  <w:iCs/>
                  <w:szCs w:val="20"/>
                </w:rPr>
                <w:t xml:space="preserve"> of the </w:t>
              </w:r>
            </w:ins>
            <w:ins w:id="13" w:author="Vistra 110625" w:date="2025-11-05T22:08:00Z">
              <w:del w:id="14" w:author="Joint Commenters 012826" w:date="2026-01-28T12:24:00Z" w16du:dateUtc="2026-01-28T18:24:00Z">
                <w:r w:rsidRPr="00C907E8" w:rsidDel="00E15391">
                  <w:rPr>
                    <w:iCs/>
                    <w:szCs w:val="20"/>
                  </w:rPr>
                  <w:delText xml:space="preserve">applicable </w:delText>
                </w:r>
              </w:del>
            </w:ins>
            <w:ins w:id="15" w:author="ERCOT 110525" w:date="2025-11-05T10:37:00Z">
              <w:del w:id="16" w:author="Joint Commenters 012826" w:date="2026-01-28T12:24:00Z" w16du:dateUtc="2026-01-28T18:24:00Z">
                <w:r w:rsidRPr="00C907E8" w:rsidDel="00E15391">
                  <w:rPr>
                    <w:iCs/>
                    <w:szCs w:val="20"/>
                  </w:rPr>
                  <w:delText xml:space="preserve">Qualified Scheduling Entity (QSE) in lieu of the </w:delText>
                </w:r>
              </w:del>
              <w:r w:rsidRPr="00C907E8">
                <w:rPr>
                  <w:iCs/>
                  <w:szCs w:val="20"/>
                </w:rPr>
                <w:t xml:space="preserve">TO. </w:t>
              </w:r>
            </w:ins>
            <w:ins w:id="17" w:author="Joint Commenters 012826" w:date="2026-01-28T12:25:00Z" w16du:dateUtc="2026-01-28T18:25:00Z">
              <w:r w:rsidRPr="00C907E8">
                <w:rPr>
                  <w:iCs/>
                  <w:szCs w:val="20"/>
                </w:rPr>
                <w:t xml:space="preserve"> The TO shall communicate with the applicable Qualified Scheduling Entity (QSE) as needed to ensure coordination.  </w:t>
              </w:r>
            </w:ins>
            <w:ins w:id="18" w:author="ERCOT 110525" w:date="2025-11-05T10:37:00Z">
              <w:del w:id="19" w:author="Vistra 110625" w:date="2025-11-05T22:18:00Z">
                <w:r w:rsidRPr="00C907E8" w:rsidDel="00136C97">
                  <w:rPr>
                    <w:iCs/>
                    <w:szCs w:val="20"/>
                  </w:rPr>
                  <w:delText>The</w:delText>
                </w:r>
              </w:del>
            </w:ins>
            <w:ins w:id="20" w:author="Vistra 110625" w:date="2025-11-05T22:18:00Z">
              <w:r w:rsidRPr="00C907E8">
                <w:rPr>
                  <w:iCs/>
                  <w:szCs w:val="20"/>
                </w:rPr>
                <w:t>A</w:t>
              </w:r>
            </w:ins>
            <w:ins w:id="21" w:author="ERCOT 110525" w:date="2025-11-05T10:37:00Z">
              <w:r w:rsidRPr="00C907E8">
                <w:rPr>
                  <w:iCs/>
                  <w:szCs w:val="20"/>
                </w:rPr>
                <w:t xml:space="preserve"> Generation Resource, ESR, or SOG </w:t>
              </w:r>
            </w:ins>
            <w:ins w:id="22" w:author="Vistra 110625" w:date="2025-11-05T22:18:00Z">
              <w:r w:rsidRPr="00C907E8">
                <w:rPr>
                  <w:iCs/>
                  <w:szCs w:val="20"/>
                </w:rPr>
                <w:t xml:space="preserve">with a Resource Commissioning Date on or before December 31, 2025 </w:t>
              </w:r>
              <w:del w:id="23" w:author="Joint Commenters 012826" w:date="2026-01-28T12:25:00Z" w16du:dateUtc="2026-01-28T18:25:00Z">
                <w:r w:rsidRPr="00C907E8" w:rsidDel="00E15391">
                  <w:rPr>
                    <w:iCs/>
                    <w:szCs w:val="20"/>
                  </w:rPr>
                  <w:delText xml:space="preserve">other than a nuclear Generation Resource </w:delText>
                </w:r>
              </w:del>
            </w:ins>
            <w:ins w:id="24" w:author="ERCOT 110525" w:date="2025-11-05T10:37:00Z">
              <w:r w:rsidRPr="00C907E8">
                <w:rPr>
                  <w:iCs/>
                  <w:szCs w:val="20"/>
                </w:rPr>
                <w:t>shall comply with the requirements of paragraph (1) of this Section if a modification subject to the requirements of paragraph (1)(c)(iv) of Section 5.2.1, Applicability, is made</w:t>
              </w:r>
            </w:ins>
            <w:ins w:id="25" w:author="Joint Commenters 012826" w:date="2026-01-28T12:25:00Z" w16du:dateUtc="2026-01-28T18:25:00Z">
              <w:r w:rsidRPr="00C907E8">
                <w:rPr>
                  <w:iCs/>
                  <w:szCs w:val="20"/>
                </w:rPr>
                <w:t xml:space="preserve">, or for the addition of load that would </w:t>
              </w:r>
              <w:r w:rsidRPr="00C907E8">
                <w:rPr>
                  <w:iCs/>
                  <w:szCs w:val="20"/>
                </w:rPr>
                <w:lastRenderedPageBreak/>
                <w:t>result in the total load co-located with the Generation Resource, ESR, or SOG of 75 MW or greater</w:t>
              </w:r>
            </w:ins>
            <w:ins w:id="26" w:author="ERCOT 110525" w:date="2025-11-05T10:37:00Z">
              <w:r w:rsidRPr="00C907E8">
                <w:rPr>
                  <w:iCs/>
                  <w:szCs w:val="20"/>
                </w:rPr>
                <w:t>.</w:t>
              </w:r>
            </w:ins>
          </w:p>
        </w:tc>
      </w:tr>
    </w:tbl>
    <w:p w14:paraId="3F55CA93" w14:textId="77777777" w:rsidR="00D95844" w:rsidRDefault="00D95844" w:rsidP="00C907E8"/>
    <w:sectPr w:rsidR="00D95844">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E066FA9"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133PGRR-</w:t>
    </w:r>
    <w:r w:rsidR="00485DB5">
      <w:rPr>
        <w:rFonts w:ascii="Arial" w:hAnsi="Arial" w:cs="Arial"/>
        <w:sz w:val="18"/>
      </w:rPr>
      <w:t>10</w:t>
    </w:r>
    <w:r w:rsidR="005D3A91">
      <w:rPr>
        <w:rFonts w:ascii="Arial" w:hAnsi="Arial" w:cs="Arial"/>
        <w:sz w:val="18"/>
      </w:rPr>
      <w:t xml:space="preserve"> ROS Report </w:t>
    </w:r>
    <w:r w:rsidR="00485DB5">
      <w:rPr>
        <w:rFonts w:ascii="Arial" w:hAnsi="Arial" w:cs="Arial"/>
        <w:sz w:val="18"/>
      </w:rPr>
      <w:t>040226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FD1A3ED" w:rsidR="00D176CF" w:rsidRDefault="005D3A91"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rson w15:author="LCRA 111825">
    <w15:presenceInfo w15:providerId="None" w15:userId="LCRA 111825"/>
  </w15:person>
  <w15:person w15:author="Joint Commenters 012826">
    <w15:presenceInfo w15:providerId="None" w15:userId="Joint Commenters 01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35152"/>
    <w:rsid w:val="00042109"/>
    <w:rsid w:val="00044FD3"/>
    <w:rsid w:val="00060068"/>
    <w:rsid w:val="00060A5A"/>
    <w:rsid w:val="00064B44"/>
    <w:rsid w:val="00067FE2"/>
    <w:rsid w:val="0007682E"/>
    <w:rsid w:val="000C0CD1"/>
    <w:rsid w:val="000C1789"/>
    <w:rsid w:val="000C6BB2"/>
    <w:rsid w:val="000D1AEB"/>
    <w:rsid w:val="000D3E64"/>
    <w:rsid w:val="000E0860"/>
    <w:rsid w:val="000E1CA6"/>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15DFB"/>
    <w:rsid w:val="002162D5"/>
    <w:rsid w:val="00237430"/>
    <w:rsid w:val="00247185"/>
    <w:rsid w:val="00276A99"/>
    <w:rsid w:val="00286AD9"/>
    <w:rsid w:val="002966F3"/>
    <w:rsid w:val="002A78AC"/>
    <w:rsid w:val="002B69F3"/>
    <w:rsid w:val="002B763A"/>
    <w:rsid w:val="002D382A"/>
    <w:rsid w:val="002F1EDD"/>
    <w:rsid w:val="002F6BFE"/>
    <w:rsid w:val="003013F2"/>
    <w:rsid w:val="0030232A"/>
    <w:rsid w:val="0030694A"/>
    <w:rsid w:val="003069F4"/>
    <w:rsid w:val="00342163"/>
    <w:rsid w:val="00342778"/>
    <w:rsid w:val="00360920"/>
    <w:rsid w:val="00384709"/>
    <w:rsid w:val="00386845"/>
    <w:rsid w:val="00386C35"/>
    <w:rsid w:val="003A3D77"/>
    <w:rsid w:val="003B2217"/>
    <w:rsid w:val="003B5AED"/>
    <w:rsid w:val="003C6B7B"/>
    <w:rsid w:val="003F2D79"/>
    <w:rsid w:val="004135BD"/>
    <w:rsid w:val="004302A4"/>
    <w:rsid w:val="004463BA"/>
    <w:rsid w:val="00451D13"/>
    <w:rsid w:val="004822D4"/>
    <w:rsid w:val="00485DB5"/>
    <w:rsid w:val="0049290B"/>
    <w:rsid w:val="004A4451"/>
    <w:rsid w:val="004D3958"/>
    <w:rsid w:val="005008DF"/>
    <w:rsid w:val="005045D0"/>
    <w:rsid w:val="00511E94"/>
    <w:rsid w:val="00534C6C"/>
    <w:rsid w:val="00565F88"/>
    <w:rsid w:val="005841C0"/>
    <w:rsid w:val="0059260F"/>
    <w:rsid w:val="005A75D9"/>
    <w:rsid w:val="005D3A91"/>
    <w:rsid w:val="005E1113"/>
    <w:rsid w:val="005E5074"/>
    <w:rsid w:val="00605656"/>
    <w:rsid w:val="0061064F"/>
    <w:rsid w:val="00612E4F"/>
    <w:rsid w:val="00615D5E"/>
    <w:rsid w:val="00622E99"/>
    <w:rsid w:val="00625E5D"/>
    <w:rsid w:val="00630CC2"/>
    <w:rsid w:val="00662108"/>
    <w:rsid w:val="0066370F"/>
    <w:rsid w:val="00690809"/>
    <w:rsid w:val="006A0784"/>
    <w:rsid w:val="006A5F6E"/>
    <w:rsid w:val="006A697B"/>
    <w:rsid w:val="006B4DDE"/>
    <w:rsid w:val="006C39EF"/>
    <w:rsid w:val="006C44ED"/>
    <w:rsid w:val="006C798F"/>
    <w:rsid w:val="00743968"/>
    <w:rsid w:val="007717F2"/>
    <w:rsid w:val="00785415"/>
    <w:rsid w:val="00791CB9"/>
    <w:rsid w:val="00793130"/>
    <w:rsid w:val="007B3233"/>
    <w:rsid w:val="007B5A42"/>
    <w:rsid w:val="007C199B"/>
    <w:rsid w:val="007C3A5F"/>
    <w:rsid w:val="007D3073"/>
    <w:rsid w:val="007D64B9"/>
    <w:rsid w:val="007D676E"/>
    <w:rsid w:val="007D72D4"/>
    <w:rsid w:val="007E0452"/>
    <w:rsid w:val="007F76B8"/>
    <w:rsid w:val="0080266F"/>
    <w:rsid w:val="008070C0"/>
    <w:rsid w:val="00811C12"/>
    <w:rsid w:val="00845373"/>
    <w:rsid w:val="00845778"/>
    <w:rsid w:val="008870BB"/>
    <w:rsid w:val="00887E28"/>
    <w:rsid w:val="008D5C3A"/>
    <w:rsid w:val="008E6DA2"/>
    <w:rsid w:val="00907B1E"/>
    <w:rsid w:val="00943AFD"/>
    <w:rsid w:val="00963A51"/>
    <w:rsid w:val="00983B6E"/>
    <w:rsid w:val="009936F8"/>
    <w:rsid w:val="009A1304"/>
    <w:rsid w:val="009A3772"/>
    <w:rsid w:val="009D17F0"/>
    <w:rsid w:val="00A42796"/>
    <w:rsid w:val="00A43449"/>
    <w:rsid w:val="00A5311D"/>
    <w:rsid w:val="00A6770E"/>
    <w:rsid w:val="00AA1B8F"/>
    <w:rsid w:val="00AD1725"/>
    <w:rsid w:val="00AD3B58"/>
    <w:rsid w:val="00AF56C6"/>
    <w:rsid w:val="00B032E8"/>
    <w:rsid w:val="00B03742"/>
    <w:rsid w:val="00B3284F"/>
    <w:rsid w:val="00B41C00"/>
    <w:rsid w:val="00B57F96"/>
    <w:rsid w:val="00B67892"/>
    <w:rsid w:val="00BA1804"/>
    <w:rsid w:val="00BA4D33"/>
    <w:rsid w:val="00BA5648"/>
    <w:rsid w:val="00BC2D06"/>
    <w:rsid w:val="00C1329E"/>
    <w:rsid w:val="00C32119"/>
    <w:rsid w:val="00C744EB"/>
    <w:rsid w:val="00C76A2C"/>
    <w:rsid w:val="00C90702"/>
    <w:rsid w:val="00C907E8"/>
    <w:rsid w:val="00C917FF"/>
    <w:rsid w:val="00C9766A"/>
    <w:rsid w:val="00CA699C"/>
    <w:rsid w:val="00CB26F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DC3D3A"/>
    <w:rsid w:val="00E14D47"/>
    <w:rsid w:val="00E1641C"/>
    <w:rsid w:val="00E26708"/>
    <w:rsid w:val="00E34958"/>
    <w:rsid w:val="00E37AB0"/>
    <w:rsid w:val="00E46E67"/>
    <w:rsid w:val="00E71C39"/>
    <w:rsid w:val="00E75A50"/>
    <w:rsid w:val="00EA56E6"/>
    <w:rsid w:val="00EB0C96"/>
    <w:rsid w:val="00EC335F"/>
    <w:rsid w:val="00EC48FB"/>
    <w:rsid w:val="00EE7DED"/>
    <w:rsid w:val="00EF232A"/>
    <w:rsid w:val="00F05A69"/>
    <w:rsid w:val="00F21B4B"/>
    <w:rsid w:val="00F36B5B"/>
    <w:rsid w:val="00F43FFD"/>
    <w:rsid w:val="00F44236"/>
    <w:rsid w:val="00F52517"/>
    <w:rsid w:val="00F53F54"/>
    <w:rsid w:val="00F66015"/>
    <w:rsid w:val="00F7289C"/>
    <w:rsid w:val="00FA57B2"/>
    <w:rsid w:val="00FB509B"/>
    <w:rsid w:val="00FC3D4B"/>
    <w:rsid w:val="00FC6312"/>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 w:type="character" w:customStyle="1" w:styleId="HeaderChar">
    <w:name w:val="Header Char"/>
    <w:link w:val="Header"/>
    <w:rsid w:val="005D3A91"/>
    <w:rPr>
      <w:rFonts w:ascii="Arial" w:hAnsi="Arial"/>
      <w:b/>
      <w:bCs/>
      <w:sz w:val="24"/>
      <w:szCs w:val="24"/>
    </w:rPr>
  </w:style>
  <w:style w:type="character" w:customStyle="1" w:styleId="FootnoteTextChar">
    <w:name w:val="Footnote Text Char"/>
    <w:basedOn w:val="DefaultParagraphFont"/>
    <w:link w:val="FootnoteText"/>
    <w:rsid w:val="00C907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ie.Rich@vistracorp.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Monica.Jha@vistracor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d.bonskowski@vistra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7A058F47-C28D-4426-BDAB-15CDCC71B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6688</Characters>
  <Application>Microsoft Office Word</Application>
  <DocSecurity>4</DocSecurity>
  <Lines>115</Lines>
  <Paragraphs>38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7876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04XX26</cp:lastModifiedBy>
  <cp:revision>2</cp:revision>
  <cp:lastPrinted>2013-11-15T22:11:00Z</cp:lastPrinted>
  <dcterms:created xsi:type="dcterms:W3CDTF">2026-04-07T13:08:00Z</dcterms:created>
  <dcterms:modified xsi:type="dcterms:W3CDTF">2026-04-07T13:08:00Z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