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5"/>
        <w:tblW w:w="1044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165"/>
        <w:gridCol w:w="1170"/>
        <w:gridCol w:w="6485"/>
      </w:tblGrid>
      <w:tr w:rsidR="00666B6B" w14:paraId="6345B4CD" w14:textId="77777777">
        <w:tc>
          <w:tcPr>
            <w:tcW w:w="1620" w:type="dxa"/>
            <w:tcBorders>
              <w:bottom w:val="single" w:sz="4" w:space="0" w:color="000000"/>
            </w:tcBorders>
            <w:shd w:val="clear" w:color="auto" w:fill="FFFFFF"/>
            <w:vAlign w:val="center"/>
          </w:tcPr>
          <w:p w14:paraId="496DD155" w14:textId="77777777" w:rsidR="00666B6B" w:rsidRDefault="008D6833">
            <w:pPr>
              <w:pBdr>
                <w:top w:val="nil"/>
                <w:left w:val="nil"/>
                <w:bottom w:val="nil"/>
                <w:right w:val="nil"/>
                <w:between w:val="nil"/>
              </w:pBdr>
              <w:tabs>
                <w:tab w:val="center" w:pos="4320"/>
                <w:tab w:val="right" w:pos="8640"/>
              </w:tabs>
              <w:rPr>
                <w:rFonts w:ascii="Verdana" w:eastAsia="Verdana" w:hAnsi="Verdana" w:cs="Verdana"/>
                <w:b/>
                <w:bCs/>
                <w:color w:val="000000"/>
                <w:sz w:val="22"/>
                <w:szCs w:val="22"/>
              </w:rPr>
            </w:pPr>
            <w:r>
              <w:rPr>
                <w:rFonts w:ascii="Arial" w:eastAsia="Arial" w:hAnsi="Arial" w:cs="Arial"/>
                <w:b/>
                <w:bCs/>
                <w:color w:val="000000"/>
              </w:rPr>
              <w:t>NOGRR Number</w:t>
            </w:r>
          </w:p>
        </w:tc>
        <w:tc>
          <w:tcPr>
            <w:tcW w:w="1165" w:type="dxa"/>
            <w:tcBorders>
              <w:bottom w:val="single" w:sz="4" w:space="0" w:color="000000"/>
            </w:tcBorders>
            <w:vAlign w:val="center"/>
          </w:tcPr>
          <w:p w14:paraId="1504934F"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hyperlink r:id="rId8">
              <w:r>
                <w:rPr>
                  <w:rFonts w:ascii="Arial" w:eastAsia="Arial" w:hAnsi="Arial" w:cs="Arial"/>
                  <w:b/>
                  <w:bCs/>
                  <w:color w:val="0000FF"/>
                  <w:u w:val="single"/>
                </w:rPr>
                <w:t>282</w:t>
              </w:r>
            </w:hyperlink>
          </w:p>
        </w:tc>
        <w:tc>
          <w:tcPr>
            <w:tcW w:w="1170" w:type="dxa"/>
            <w:tcBorders>
              <w:bottom w:val="single" w:sz="4" w:space="0" w:color="000000"/>
            </w:tcBorders>
            <w:shd w:val="clear" w:color="auto" w:fill="FFFFFF"/>
            <w:vAlign w:val="center"/>
          </w:tcPr>
          <w:p w14:paraId="6B93F79E"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NOGRR Title</w:t>
            </w:r>
          </w:p>
        </w:tc>
        <w:tc>
          <w:tcPr>
            <w:tcW w:w="6485" w:type="dxa"/>
            <w:tcBorders>
              <w:bottom w:val="single" w:sz="4" w:space="0" w:color="000000"/>
            </w:tcBorders>
            <w:vAlign w:val="center"/>
          </w:tcPr>
          <w:p w14:paraId="268F51E6"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rPr>
              <w:t>Board Priority - Large Electronic Load Ride-Through Requirements</w:t>
            </w:r>
          </w:p>
        </w:tc>
      </w:tr>
      <w:tr w:rsidR="00666B6B" w14:paraId="465FC19E" w14:textId="77777777">
        <w:trPr>
          <w:trHeight w:val="413"/>
        </w:trPr>
        <w:tc>
          <w:tcPr>
            <w:tcW w:w="2785" w:type="dxa"/>
            <w:gridSpan w:val="2"/>
            <w:tcBorders>
              <w:top w:val="nil"/>
              <w:left w:val="nil"/>
              <w:bottom w:val="single" w:sz="4" w:space="0" w:color="000000"/>
              <w:right w:val="nil"/>
            </w:tcBorders>
            <w:vAlign w:val="center"/>
          </w:tcPr>
          <w:p w14:paraId="04360AEC" w14:textId="77777777" w:rsidR="00666B6B" w:rsidRDefault="00666B6B">
            <w:pPr>
              <w:pBdr>
                <w:top w:val="nil"/>
                <w:left w:val="nil"/>
                <w:bottom w:val="nil"/>
                <w:right w:val="nil"/>
                <w:between w:val="nil"/>
              </w:pBdr>
              <w:rPr>
                <w:rFonts w:ascii="Arial" w:eastAsia="Arial" w:hAnsi="Arial" w:cs="Arial"/>
                <w:color w:val="000000"/>
              </w:rPr>
            </w:pPr>
          </w:p>
        </w:tc>
        <w:tc>
          <w:tcPr>
            <w:tcW w:w="7655" w:type="dxa"/>
            <w:gridSpan w:val="2"/>
            <w:tcBorders>
              <w:top w:val="single" w:sz="4" w:space="0" w:color="000000"/>
              <w:left w:val="nil"/>
              <w:bottom w:val="nil"/>
              <w:right w:val="nil"/>
            </w:tcBorders>
            <w:vAlign w:val="center"/>
          </w:tcPr>
          <w:p w14:paraId="284DA92C" w14:textId="77777777" w:rsidR="00666B6B" w:rsidRDefault="00666B6B">
            <w:pPr>
              <w:pBdr>
                <w:top w:val="nil"/>
                <w:left w:val="nil"/>
                <w:bottom w:val="nil"/>
                <w:right w:val="nil"/>
                <w:between w:val="nil"/>
              </w:pBdr>
              <w:rPr>
                <w:rFonts w:ascii="Arial" w:eastAsia="Arial" w:hAnsi="Arial" w:cs="Arial"/>
                <w:color w:val="000000"/>
              </w:rPr>
            </w:pPr>
          </w:p>
        </w:tc>
      </w:tr>
      <w:tr w:rsidR="00666B6B" w14:paraId="646D9C56" w14:textId="77777777">
        <w:trPr>
          <w:trHeight w:val="440"/>
        </w:trPr>
        <w:tc>
          <w:tcPr>
            <w:tcW w:w="2785" w:type="dxa"/>
            <w:gridSpan w:val="2"/>
            <w:tcBorders>
              <w:top w:val="single" w:sz="4" w:space="0" w:color="000000"/>
              <w:left w:val="single" w:sz="4" w:space="0" w:color="000000"/>
              <w:bottom w:val="single" w:sz="4" w:space="0" w:color="000000"/>
              <w:right w:val="single" w:sz="4" w:space="0" w:color="000000"/>
            </w:tcBorders>
            <w:vAlign w:val="center"/>
          </w:tcPr>
          <w:p w14:paraId="6293B2EC"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Date</w:t>
            </w:r>
          </w:p>
        </w:tc>
        <w:tc>
          <w:tcPr>
            <w:tcW w:w="7655" w:type="dxa"/>
            <w:gridSpan w:val="2"/>
            <w:tcBorders>
              <w:top w:val="single" w:sz="4" w:space="0" w:color="000000"/>
              <w:left w:val="single" w:sz="4" w:space="0" w:color="000000"/>
              <w:bottom w:val="single" w:sz="4" w:space="0" w:color="000000"/>
              <w:right w:val="single" w:sz="4" w:space="0" w:color="000000"/>
            </w:tcBorders>
            <w:vAlign w:val="center"/>
          </w:tcPr>
          <w:p w14:paraId="5743F07C" w14:textId="6A402F67" w:rsidR="00666B6B" w:rsidRDefault="00DC543C">
            <w:pPr>
              <w:pBdr>
                <w:top w:val="nil"/>
                <w:left w:val="nil"/>
                <w:bottom w:val="nil"/>
                <w:right w:val="nil"/>
                <w:between w:val="nil"/>
              </w:pBdr>
              <w:rPr>
                <w:rFonts w:ascii="Arial" w:eastAsia="Arial" w:hAnsi="Arial" w:cs="Arial"/>
                <w:color w:val="000000"/>
              </w:rPr>
            </w:pPr>
            <w:r>
              <w:rPr>
                <w:rFonts w:ascii="Arial" w:eastAsia="Arial" w:hAnsi="Arial" w:cs="Arial"/>
              </w:rPr>
              <w:t>April</w:t>
            </w:r>
            <w:r w:rsidR="008D6833">
              <w:rPr>
                <w:rFonts w:ascii="Arial" w:eastAsia="Arial" w:hAnsi="Arial" w:cs="Arial"/>
              </w:rPr>
              <w:t xml:space="preserve"> </w:t>
            </w:r>
            <w:r w:rsidR="00B9074D">
              <w:rPr>
                <w:rFonts w:ascii="Arial" w:eastAsia="Arial" w:hAnsi="Arial" w:cs="Arial"/>
              </w:rPr>
              <w:t>1</w:t>
            </w:r>
            <w:r w:rsidR="008D6833">
              <w:rPr>
                <w:rFonts w:ascii="Arial" w:eastAsia="Arial" w:hAnsi="Arial" w:cs="Arial"/>
              </w:rPr>
              <w:t>, 2026</w:t>
            </w:r>
          </w:p>
        </w:tc>
      </w:tr>
      <w:tr w:rsidR="00666B6B" w14:paraId="19690724" w14:textId="77777777">
        <w:trPr>
          <w:trHeight w:val="467"/>
        </w:trPr>
        <w:tc>
          <w:tcPr>
            <w:tcW w:w="2785" w:type="dxa"/>
            <w:gridSpan w:val="2"/>
            <w:tcBorders>
              <w:top w:val="single" w:sz="4" w:space="0" w:color="000000"/>
              <w:left w:val="nil"/>
              <w:bottom w:val="nil"/>
              <w:right w:val="nil"/>
            </w:tcBorders>
            <w:shd w:val="clear" w:color="auto" w:fill="FFFFFF"/>
            <w:vAlign w:val="center"/>
          </w:tcPr>
          <w:p w14:paraId="5C138088" w14:textId="77777777" w:rsidR="00666B6B" w:rsidRDefault="00666B6B">
            <w:pPr>
              <w:pBdr>
                <w:top w:val="nil"/>
                <w:left w:val="nil"/>
                <w:bottom w:val="nil"/>
                <w:right w:val="nil"/>
                <w:between w:val="nil"/>
              </w:pBdr>
              <w:rPr>
                <w:rFonts w:ascii="Arial" w:eastAsia="Arial" w:hAnsi="Arial" w:cs="Arial"/>
                <w:color w:val="000000"/>
              </w:rPr>
            </w:pPr>
          </w:p>
        </w:tc>
        <w:tc>
          <w:tcPr>
            <w:tcW w:w="7655" w:type="dxa"/>
            <w:gridSpan w:val="2"/>
            <w:tcBorders>
              <w:top w:val="nil"/>
              <w:left w:val="nil"/>
              <w:bottom w:val="nil"/>
              <w:right w:val="nil"/>
            </w:tcBorders>
            <w:vAlign w:val="center"/>
          </w:tcPr>
          <w:p w14:paraId="7336D3D2" w14:textId="77777777" w:rsidR="00666B6B" w:rsidRDefault="00666B6B">
            <w:pPr>
              <w:pBdr>
                <w:top w:val="nil"/>
                <w:left w:val="nil"/>
                <w:bottom w:val="nil"/>
                <w:right w:val="nil"/>
                <w:between w:val="nil"/>
              </w:pBdr>
              <w:rPr>
                <w:rFonts w:ascii="Arial" w:eastAsia="Arial" w:hAnsi="Arial" w:cs="Arial"/>
                <w:color w:val="000000"/>
              </w:rPr>
            </w:pPr>
          </w:p>
        </w:tc>
      </w:tr>
      <w:tr w:rsidR="00666B6B" w14:paraId="5B419E14" w14:textId="77777777">
        <w:trPr>
          <w:trHeight w:val="440"/>
        </w:trPr>
        <w:tc>
          <w:tcPr>
            <w:tcW w:w="10440" w:type="dxa"/>
            <w:gridSpan w:val="4"/>
            <w:tcBorders>
              <w:top w:val="single" w:sz="4" w:space="0" w:color="000000"/>
            </w:tcBorders>
            <w:shd w:val="clear" w:color="auto" w:fill="FFFFFF"/>
            <w:vAlign w:val="center"/>
          </w:tcPr>
          <w:p w14:paraId="6D43C0A0" w14:textId="77777777" w:rsidR="00666B6B" w:rsidRDefault="008D6833">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Submitter’s Information</w:t>
            </w:r>
          </w:p>
        </w:tc>
      </w:tr>
      <w:tr w:rsidR="00DC543C" w14:paraId="7C6E36BA" w14:textId="77777777">
        <w:trPr>
          <w:trHeight w:val="350"/>
        </w:trPr>
        <w:tc>
          <w:tcPr>
            <w:tcW w:w="2785" w:type="dxa"/>
            <w:gridSpan w:val="2"/>
            <w:shd w:val="clear" w:color="auto" w:fill="FFFFFF"/>
            <w:vAlign w:val="center"/>
          </w:tcPr>
          <w:p w14:paraId="7F5A4B17" w14:textId="77777777" w:rsidR="00DC543C" w:rsidRDefault="00DC543C" w:rsidP="00DC543C">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Name</w:t>
            </w:r>
          </w:p>
        </w:tc>
        <w:tc>
          <w:tcPr>
            <w:tcW w:w="7655" w:type="dxa"/>
            <w:gridSpan w:val="2"/>
            <w:vAlign w:val="center"/>
          </w:tcPr>
          <w:p w14:paraId="45FFABCA" w14:textId="17BB6D3B" w:rsidR="00DC543C" w:rsidRDefault="00DC543C" w:rsidP="00DC543C">
            <w:pPr>
              <w:pBdr>
                <w:top w:val="nil"/>
                <w:left w:val="nil"/>
                <w:bottom w:val="nil"/>
                <w:right w:val="nil"/>
                <w:between w:val="nil"/>
              </w:pBdr>
              <w:rPr>
                <w:rFonts w:ascii="Arial" w:eastAsia="Arial" w:hAnsi="Arial" w:cs="Arial"/>
              </w:rPr>
            </w:pPr>
            <w:r w:rsidRPr="00DC543C">
              <w:rPr>
                <w:rFonts w:ascii="Arial" w:eastAsia="Arial" w:hAnsi="Arial" w:cs="Arial"/>
              </w:rPr>
              <w:t xml:space="preserve">Neal Kinkenon </w:t>
            </w:r>
            <w:r w:rsidRPr="00DC543C" w:rsidDel="00171AD1">
              <w:rPr>
                <w:rFonts w:ascii="Arial" w:eastAsia="Arial" w:hAnsi="Arial" w:cs="Arial"/>
              </w:rPr>
              <w:t xml:space="preserve"> </w:t>
            </w:r>
          </w:p>
        </w:tc>
      </w:tr>
      <w:tr w:rsidR="00DC543C" w14:paraId="1022662E" w14:textId="77777777">
        <w:trPr>
          <w:trHeight w:val="350"/>
        </w:trPr>
        <w:tc>
          <w:tcPr>
            <w:tcW w:w="2785" w:type="dxa"/>
            <w:gridSpan w:val="2"/>
            <w:shd w:val="clear" w:color="auto" w:fill="FFFFFF"/>
            <w:vAlign w:val="center"/>
          </w:tcPr>
          <w:p w14:paraId="2B366F50" w14:textId="77777777" w:rsidR="00DC543C" w:rsidRDefault="00DC543C" w:rsidP="00DC543C">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E-mail Address</w:t>
            </w:r>
          </w:p>
        </w:tc>
        <w:tc>
          <w:tcPr>
            <w:tcW w:w="7655" w:type="dxa"/>
            <w:gridSpan w:val="2"/>
            <w:vAlign w:val="center"/>
          </w:tcPr>
          <w:p w14:paraId="62591FB6" w14:textId="7A623D85" w:rsidR="00DC543C" w:rsidRPr="00DC543C" w:rsidRDefault="00DC543C" w:rsidP="00DC543C">
            <w:pPr>
              <w:pBdr>
                <w:top w:val="nil"/>
                <w:left w:val="nil"/>
                <w:bottom w:val="nil"/>
                <w:right w:val="nil"/>
                <w:between w:val="nil"/>
              </w:pBdr>
              <w:tabs>
                <w:tab w:val="center" w:pos="4320"/>
                <w:tab w:val="right" w:pos="8640"/>
              </w:tabs>
              <w:rPr>
                <w:rFonts w:ascii="Arial" w:eastAsia="Arial" w:hAnsi="Arial" w:cs="Arial"/>
                <w:color w:val="0000FF"/>
                <w:u w:val="single"/>
              </w:rPr>
            </w:pPr>
            <w:hyperlink r:id="rId9" w:history="1">
              <w:r w:rsidRPr="00DC543C">
                <w:rPr>
                  <w:rFonts w:ascii="Arial" w:eastAsia="Arial" w:hAnsi="Arial" w:cs="Arial"/>
                  <w:color w:val="0000FF"/>
                  <w:u w:val="single"/>
                </w:rPr>
                <w:t>neal.kinkenon@intersect.com</w:t>
              </w:r>
            </w:hyperlink>
          </w:p>
        </w:tc>
      </w:tr>
      <w:tr w:rsidR="00DC543C" w14:paraId="1DE90B1B" w14:textId="77777777">
        <w:trPr>
          <w:trHeight w:val="350"/>
        </w:trPr>
        <w:tc>
          <w:tcPr>
            <w:tcW w:w="2785" w:type="dxa"/>
            <w:gridSpan w:val="2"/>
            <w:shd w:val="clear" w:color="auto" w:fill="FFFFFF"/>
            <w:vAlign w:val="center"/>
          </w:tcPr>
          <w:p w14:paraId="12B6BD1E" w14:textId="77777777" w:rsidR="00DC543C" w:rsidRDefault="00DC543C" w:rsidP="00DC543C">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Company</w:t>
            </w:r>
          </w:p>
        </w:tc>
        <w:tc>
          <w:tcPr>
            <w:tcW w:w="7655" w:type="dxa"/>
            <w:gridSpan w:val="2"/>
            <w:vAlign w:val="center"/>
          </w:tcPr>
          <w:p w14:paraId="0781E98A" w14:textId="40669AE0" w:rsidR="00DC543C" w:rsidRPr="00DC543C" w:rsidRDefault="00DC543C" w:rsidP="00DC543C">
            <w:pPr>
              <w:pBdr>
                <w:top w:val="nil"/>
                <w:left w:val="nil"/>
                <w:bottom w:val="nil"/>
                <w:right w:val="nil"/>
                <w:between w:val="nil"/>
              </w:pBdr>
              <w:rPr>
                <w:rFonts w:ascii="Arial" w:eastAsia="Arial" w:hAnsi="Arial" w:cs="Arial"/>
              </w:rPr>
            </w:pPr>
            <w:r w:rsidRPr="00DC543C">
              <w:rPr>
                <w:rFonts w:ascii="Arial" w:eastAsia="Arial" w:hAnsi="Arial" w:cs="Arial"/>
              </w:rPr>
              <w:t>Intersect Power LLC</w:t>
            </w:r>
          </w:p>
        </w:tc>
      </w:tr>
      <w:tr w:rsidR="00DC543C" w14:paraId="015B08D1" w14:textId="77777777">
        <w:trPr>
          <w:trHeight w:val="350"/>
        </w:trPr>
        <w:tc>
          <w:tcPr>
            <w:tcW w:w="2785" w:type="dxa"/>
            <w:gridSpan w:val="2"/>
            <w:tcBorders>
              <w:bottom w:val="single" w:sz="4" w:space="0" w:color="000000"/>
            </w:tcBorders>
            <w:shd w:val="clear" w:color="auto" w:fill="FFFFFF"/>
            <w:vAlign w:val="center"/>
          </w:tcPr>
          <w:p w14:paraId="105BD896" w14:textId="77777777" w:rsidR="00DC543C" w:rsidRDefault="00DC543C" w:rsidP="00DC543C">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Phone Number</w:t>
            </w:r>
          </w:p>
        </w:tc>
        <w:tc>
          <w:tcPr>
            <w:tcW w:w="7655" w:type="dxa"/>
            <w:gridSpan w:val="2"/>
            <w:tcBorders>
              <w:bottom w:val="single" w:sz="4" w:space="0" w:color="000000"/>
            </w:tcBorders>
            <w:vAlign w:val="center"/>
          </w:tcPr>
          <w:p w14:paraId="2E90BACD" w14:textId="16036DEC" w:rsidR="00DC543C" w:rsidRPr="00DC543C" w:rsidRDefault="00DC543C" w:rsidP="00DC543C">
            <w:pPr>
              <w:pBdr>
                <w:top w:val="nil"/>
                <w:left w:val="nil"/>
                <w:bottom w:val="nil"/>
                <w:right w:val="nil"/>
                <w:between w:val="nil"/>
              </w:pBdr>
              <w:rPr>
                <w:rFonts w:ascii="Arial" w:eastAsia="Arial" w:hAnsi="Arial" w:cs="Arial"/>
              </w:rPr>
            </w:pPr>
            <w:r w:rsidRPr="00DC543C">
              <w:rPr>
                <w:rFonts w:ascii="Arial" w:eastAsia="Arial" w:hAnsi="Arial" w:cs="Arial"/>
              </w:rPr>
              <w:t>314.570.8295</w:t>
            </w:r>
          </w:p>
        </w:tc>
      </w:tr>
      <w:tr w:rsidR="00666B6B" w14:paraId="04DC8241" w14:textId="77777777">
        <w:trPr>
          <w:trHeight w:val="350"/>
        </w:trPr>
        <w:tc>
          <w:tcPr>
            <w:tcW w:w="2785" w:type="dxa"/>
            <w:gridSpan w:val="2"/>
            <w:shd w:val="clear" w:color="auto" w:fill="FFFFFF"/>
            <w:vAlign w:val="center"/>
          </w:tcPr>
          <w:p w14:paraId="1C6DF233"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Cell Number</w:t>
            </w:r>
          </w:p>
        </w:tc>
        <w:tc>
          <w:tcPr>
            <w:tcW w:w="7655" w:type="dxa"/>
            <w:gridSpan w:val="2"/>
            <w:tcBorders>
              <w:bottom w:val="single" w:sz="4" w:space="0" w:color="000000"/>
            </w:tcBorders>
            <w:vAlign w:val="center"/>
          </w:tcPr>
          <w:p w14:paraId="40F151D0" w14:textId="77777777" w:rsidR="00666B6B" w:rsidRDefault="00666B6B">
            <w:pPr>
              <w:rPr>
                <w:rFonts w:ascii="Arial" w:eastAsia="Arial" w:hAnsi="Arial" w:cs="Arial"/>
              </w:rPr>
            </w:pPr>
          </w:p>
        </w:tc>
      </w:tr>
      <w:tr w:rsidR="00666B6B" w14:paraId="77706770" w14:textId="77777777">
        <w:trPr>
          <w:trHeight w:val="350"/>
        </w:trPr>
        <w:tc>
          <w:tcPr>
            <w:tcW w:w="2785" w:type="dxa"/>
            <w:gridSpan w:val="2"/>
            <w:tcBorders>
              <w:bottom w:val="single" w:sz="4" w:space="0" w:color="000000"/>
            </w:tcBorders>
            <w:shd w:val="clear" w:color="auto" w:fill="FFFFFF"/>
            <w:vAlign w:val="center"/>
          </w:tcPr>
          <w:p w14:paraId="1A7D9FC7"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Market Segment</w:t>
            </w:r>
          </w:p>
        </w:tc>
        <w:tc>
          <w:tcPr>
            <w:tcW w:w="7655" w:type="dxa"/>
            <w:gridSpan w:val="2"/>
            <w:tcBorders>
              <w:bottom w:val="single" w:sz="4" w:space="0" w:color="000000"/>
            </w:tcBorders>
            <w:vAlign w:val="center"/>
          </w:tcPr>
          <w:p w14:paraId="6067568E" w14:textId="28F7D2CC" w:rsidR="00666B6B" w:rsidRDefault="00DC543C">
            <w:pPr>
              <w:pBdr>
                <w:top w:val="nil"/>
                <w:left w:val="nil"/>
                <w:bottom w:val="nil"/>
                <w:right w:val="nil"/>
                <w:between w:val="nil"/>
              </w:pBdr>
              <w:rPr>
                <w:rFonts w:ascii="Arial" w:eastAsia="Arial" w:hAnsi="Arial" w:cs="Arial"/>
                <w:color w:val="000000"/>
              </w:rPr>
            </w:pPr>
            <w:r>
              <w:rPr>
                <w:rFonts w:ascii="Arial" w:eastAsia="Arial" w:hAnsi="Arial" w:cs="Arial"/>
              </w:rPr>
              <w:t>Not applicable</w:t>
            </w:r>
          </w:p>
        </w:tc>
      </w:tr>
    </w:tbl>
    <w:p w14:paraId="2E3D3C6F" w14:textId="77777777" w:rsidR="00666B6B" w:rsidRDefault="00666B6B">
      <w:pPr>
        <w:pBdr>
          <w:top w:val="nil"/>
          <w:left w:val="nil"/>
          <w:bottom w:val="nil"/>
          <w:right w:val="nil"/>
          <w:between w:val="nil"/>
        </w:pBdr>
        <w:rPr>
          <w:rFonts w:ascii="Arial" w:eastAsia="Arial" w:hAnsi="Arial" w:cs="Arial"/>
          <w:color w:val="000000"/>
        </w:rPr>
      </w:pPr>
    </w:p>
    <w:tbl>
      <w:tblPr>
        <w:tblStyle w:val="a6"/>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666B6B" w14:paraId="19ABA64C" w14:textId="77777777">
        <w:trPr>
          <w:trHeight w:val="422"/>
          <w:jc w:val="center"/>
        </w:trPr>
        <w:tc>
          <w:tcPr>
            <w:tcW w:w="10440" w:type="dxa"/>
            <w:vAlign w:val="center"/>
          </w:tcPr>
          <w:p w14:paraId="7E4434D4" w14:textId="77777777" w:rsidR="00666B6B" w:rsidRDefault="008D6833">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Comments</w:t>
            </w:r>
          </w:p>
        </w:tc>
      </w:tr>
    </w:tbl>
    <w:p w14:paraId="734C9292" w14:textId="11C5A469" w:rsidR="00DC543C" w:rsidRPr="00DC543C" w:rsidRDefault="00DC543C" w:rsidP="00DC543C">
      <w:pPr>
        <w:spacing w:before="120" w:after="120"/>
        <w:jc w:val="both"/>
        <w:rPr>
          <w:rFonts w:ascii="Arial" w:hAnsi="Arial"/>
          <w:lang w:val="en-US"/>
        </w:rPr>
      </w:pPr>
      <w:r w:rsidRPr="00DC543C">
        <w:rPr>
          <w:rFonts w:ascii="Arial" w:hAnsi="Arial"/>
          <w:lang w:val="en-US"/>
        </w:rPr>
        <w:t>Intersect Power LLC (Intersect) respectfully submits these comments to ERCOT’s comments posted on March 11, 2026 (ERCOT Comments)</w:t>
      </w:r>
      <w:r>
        <w:rPr>
          <w:rFonts w:ascii="Arial" w:hAnsi="Arial"/>
          <w:lang w:val="en-US"/>
        </w:rPr>
        <w:t xml:space="preserve"> to Nodal Operating Guide Revision Request (NOGRR) 282</w:t>
      </w:r>
      <w:r w:rsidRPr="00DC543C">
        <w:rPr>
          <w:rFonts w:ascii="Arial" w:hAnsi="Arial"/>
          <w:lang w:val="en-US"/>
        </w:rPr>
        <w:t>.</w:t>
      </w:r>
    </w:p>
    <w:p w14:paraId="5B9FECF7" w14:textId="77777777" w:rsidR="00DC543C" w:rsidRPr="00DC543C" w:rsidRDefault="00DC543C" w:rsidP="00DC543C">
      <w:pPr>
        <w:spacing w:before="120" w:after="120"/>
        <w:jc w:val="both"/>
        <w:rPr>
          <w:rFonts w:ascii="Arial" w:hAnsi="Arial" w:cs="Arial"/>
          <w:lang w:val="en-US"/>
        </w:rPr>
      </w:pPr>
      <w:r w:rsidRPr="00DC543C">
        <w:rPr>
          <w:rFonts w:ascii="Arial" w:hAnsi="Arial" w:cs="Arial"/>
          <w:lang w:val="en-US"/>
        </w:rPr>
        <w:t>Intersect appreciates ERCOT’s continued efforts to address reliability considerations associated with large loads and supports the objective of ensuring that load behavior during system disturbances does not adversely impact system stability. These comments identify targeted refinements to NOGRR282 necessary to advance that objective in a manner that promotes regulatory predictability and avoids the imposition of retroactive or duplicative requirements on projects that have committed significant capital and made substantial progress in reliance on the regulatory framework in effect at the time of development.</w:t>
      </w:r>
    </w:p>
    <w:p w14:paraId="2152985F" w14:textId="77777777" w:rsidR="00DC543C" w:rsidRPr="00DC543C" w:rsidRDefault="00DC543C" w:rsidP="00DC543C">
      <w:pPr>
        <w:spacing w:before="120" w:after="120"/>
        <w:jc w:val="both"/>
        <w:rPr>
          <w:rFonts w:ascii="Arial" w:hAnsi="Arial" w:cs="Arial"/>
          <w:lang w:val="en-US"/>
        </w:rPr>
      </w:pPr>
      <w:r w:rsidRPr="00DC543C">
        <w:rPr>
          <w:rFonts w:ascii="Arial" w:hAnsi="Arial" w:cs="Arial"/>
          <w:lang w:val="en-US"/>
        </w:rPr>
        <w:t>Intersect’s portfolio includes projects that have satisfied the requirements of Planning Guide § 9.4 and § 9.5, including completion of required study submissions, execution of interconnection agreements, demonstration of site control consistent with applicable requirements, and posting of material financial security or CIAC. These projects have also completed interconnection studies in accordance with ERCOT requirements in effect at the time of study and have advanced development based on those determinations.</w:t>
      </w:r>
    </w:p>
    <w:p w14:paraId="78AC49C7" w14:textId="1A5ED2AF" w:rsidR="00DC543C" w:rsidRPr="00DC543C" w:rsidRDefault="00DC543C" w:rsidP="00DC543C">
      <w:pPr>
        <w:spacing w:before="120" w:after="120"/>
        <w:jc w:val="both"/>
        <w:rPr>
          <w:rFonts w:ascii="Arial" w:hAnsi="Arial"/>
          <w:lang w:val="en-US"/>
        </w:rPr>
      </w:pPr>
      <w:r w:rsidRPr="00DC543C">
        <w:rPr>
          <w:rFonts w:ascii="Arial" w:hAnsi="Arial" w:cs="Arial"/>
          <w:lang w:val="en-US"/>
        </w:rPr>
        <w:t xml:space="preserve">While Intersect recognizes ERCOT’s concern that certain </w:t>
      </w:r>
      <w:r>
        <w:rPr>
          <w:rFonts w:ascii="Arial" w:hAnsi="Arial" w:cs="Arial"/>
          <w:lang w:val="en-US"/>
        </w:rPr>
        <w:t>L</w:t>
      </w:r>
      <w:r w:rsidRPr="00DC543C">
        <w:rPr>
          <w:rFonts w:ascii="Arial" w:hAnsi="Arial" w:cs="Arial"/>
          <w:lang w:val="en-US"/>
        </w:rPr>
        <w:t xml:space="preserve">arge </w:t>
      </w:r>
      <w:r>
        <w:rPr>
          <w:rFonts w:ascii="Arial" w:hAnsi="Arial" w:cs="Arial"/>
          <w:lang w:val="en-US"/>
        </w:rPr>
        <w:t>E</w:t>
      </w:r>
      <w:r w:rsidRPr="00DC543C">
        <w:rPr>
          <w:rFonts w:ascii="Arial" w:hAnsi="Arial" w:cs="Arial"/>
          <w:lang w:val="en-US"/>
        </w:rPr>
        <w:t xml:space="preserve">lectronic </w:t>
      </w:r>
      <w:r>
        <w:rPr>
          <w:rFonts w:ascii="Arial" w:hAnsi="Arial" w:cs="Arial"/>
          <w:lang w:val="en-US"/>
        </w:rPr>
        <w:t>L</w:t>
      </w:r>
      <w:r w:rsidRPr="00DC543C">
        <w:rPr>
          <w:rFonts w:ascii="Arial" w:hAnsi="Arial" w:cs="Arial"/>
          <w:lang w:val="en-US"/>
        </w:rPr>
        <w:t xml:space="preserve">oads (LELs) may trip during voltage or frequency excursions and thereby exacerbate system disturbances, NOGRR282 should be structured to address those risks without retroactively recharacterizing or re-opening projects that have already been studied, approved, and advanced under the existing framework. Accordingly, the rule should distinguish between future LELs, for which ride-through capabilities can be incorporated into design and procurement decisions, and advanced-stage projects that have already completed interconnection studies and committed capital based on prior requirements, for which retroactive imposition of new ride-through or operational standards would be </w:t>
      </w:r>
      <w:r w:rsidRPr="00DC543C">
        <w:rPr>
          <w:rFonts w:ascii="Arial" w:hAnsi="Arial" w:cs="Arial"/>
          <w:lang w:val="en-US"/>
        </w:rPr>
        <w:lastRenderedPageBreak/>
        <w:t>inconsistent with established ERCOT processes and reasonable development expectations.</w:t>
      </w:r>
    </w:p>
    <w:p w14:paraId="04974C43" w14:textId="77777777" w:rsidR="00DC543C" w:rsidRPr="00DC543C" w:rsidRDefault="00DC543C" w:rsidP="00DC543C">
      <w:pPr>
        <w:spacing w:before="240" w:after="240"/>
        <w:jc w:val="both"/>
        <w:rPr>
          <w:rFonts w:ascii="Arial" w:hAnsi="Arial"/>
          <w:b/>
          <w:bCs/>
          <w:lang w:val="en-US"/>
        </w:rPr>
      </w:pPr>
      <w:r w:rsidRPr="00DC543C">
        <w:rPr>
          <w:rFonts w:ascii="Arial" w:hAnsi="Arial"/>
          <w:b/>
          <w:bCs/>
          <w:lang w:val="en-US"/>
        </w:rPr>
        <w:t>Substantiated Large Load Projects, Study Validity, and Restudy Avoidance</w:t>
      </w:r>
    </w:p>
    <w:p w14:paraId="3B554848" w14:textId="77777777" w:rsidR="00DC543C" w:rsidRPr="00DC543C" w:rsidRDefault="00DC543C" w:rsidP="00DC543C">
      <w:pPr>
        <w:spacing w:before="120" w:after="120"/>
        <w:jc w:val="both"/>
        <w:rPr>
          <w:rFonts w:ascii="Arial" w:hAnsi="Arial"/>
          <w:lang w:val="en-US"/>
        </w:rPr>
      </w:pPr>
      <w:r w:rsidRPr="00DC543C">
        <w:rPr>
          <w:rFonts w:ascii="Arial" w:hAnsi="Arial"/>
          <w:lang w:val="en-US"/>
        </w:rPr>
        <w:t>For projects that have completed interconnection studies and satisfied applicable development milestones under ERCOT requirements in effect at the time of studies, Intersect submits that any subsequent evaluation of updated modeling data or performance assumptions should be governed by a results-based standard focused on whether such updates demonstrate a material adverse impact on system reliability. In the absence of such a showing, previously accepted studies should remain valid and actionable.</w:t>
      </w:r>
    </w:p>
    <w:p w14:paraId="51C2D6DC" w14:textId="77777777" w:rsidR="00DC543C" w:rsidRPr="00DC543C" w:rsidRDefault="00DC543C" w:rsidP="00DC543C">
      <w:pPr>
        <w:spacing w:before="120" w:after="120"/>
        <w:jc w:val="both"/>
        <w:rPr>
          <w:rFonts w:ascii="Arial" w:hAnsi="Arial"/>
          <w:lang w:val="en-US"/>
        </w:rPr>
      </w:pPr>
      <w:r w:rsidRPr="00DC543C">
        <w:rPr>
          <w:rFonts w:ascii="Arial" w:hAnsi="Arial"/>
          <w:lang w:val="en-US"/>
        </w:rPr>
        <w:t>Absent such a results-based standard, compliance with updated modeling practices (such as those set out in Planning Guide Revision Request (PGRR) 144) or the standards set out in NOGRR282 could itself trigger restudy or re-evaluation, creating a circular outcome in which projects are effectively penalized for adhering to evolving modeling requirements or for compliance with NOGRR282, rather than assessed based on their actual contribution to system reliability. In most cases, projects with completed interconnection studies and executed related agreements have already committed significant capital in reliance on the applicable standards and study assumptions in effect at the time. Reopening of studies absent a material system impact raises questions about market participants’ and financiers’ ability to rely on regulatory standards in place at the time capital is committed or deployed.</w:t>
      </w:r>
    </w:p>
    <w:p w14:paraId="3AB9948F" w14:textId="77777777" w:rsidR="00DC543C" w:rsidRPr="00DC543C" w:rsidRDefault="00DC543C" w:rsidP="00DC543C">
      <w:pPr>
        <w:spacing w:before="120" w:after="120"/>
        <w:jc w:val="both"/>
        <w:rPr>
          <w:rFonts w:ascii="Arial" w:hAnsi="Arial"/>
          <w:lang w:val="en-US"/>
        </w:rPr>
      </w:pPr>
      <w:r w:rsidRPr="00DC543C">
        <w:rPr>
          <w:rFonts w:ascii="Arial" w:hAnsi="Arial"/>
          <w:lang w:val="en-US"/>
        </w:rPr>
        <w:t xml:space="preserve">As an example, developers of projects that have satisfied the requirements of Planning Guide § 9.4 and § 9.5 but that do not meet the exemption criteria currently included in NOGRR282 (§ 2.6.4(1) and § 2.15(1)) may need to adjust project configurations to include additional or different equipment </w:t>
      </w:r>
      <w:proofErr w:type="gramStart"/>
      <w:r w:rsidRPr="00DC543C">
        <w:rPr>
          <w:rFonts w:ascii="Arial" w:hAnsi="Arial"/>
          <w:lang w:val="en-US"/>
        </w:rPr>
        <w:t>in order for</w:t>
      </w:r>
      <w:proofErr w:type="gramEnd"/>
      <w:r w:rsidRPr="00DC543C">
        <w:rPr>
          <w:rFonts w:ascii="Arial" w:hAnsi="Arial"/>
          <w:lang w:val="en-US"/>
        </w:rPr>
        <w:t xml:space="preserve"> their project to comply with ride-through requirements. For the reasons described above, these changes to project configuration should not automatically trigger a restudy or re-evaluation, which would put schedules and capital at risk, unless they would cause a material adverse impact on system reliability. </w:t>
      </w:r>
    </w:p>
    <w:p w14:paraId="7C84F53B" w14:textId="77777777" w:rsidR="00DC543C" w:rsidRPr="00DC543C" w:rsidRDefault="00DC543C" w:rsidP="00DC543C">
      <w:pPr>
        <w:spacing w:before="240" w:after="240"/>
        <w:jc w:val="both"/>
        <w:rPr>
          <w:rFonts w:ascii="Arial" w:hAnsi="Arial"/>
          <w:b/>
          <w:bCs/>
          <w:lang w:val="en-US"/>
        </w:rPr>
      </w:pPr>
      <w:r w:rsidRPr="00DC543C">
        <w:rPr>
          <w:rFonts w:ascii="Arial" w:hAnsi="Arial"/>
          <w:b/>
          <w:bCs/>
          <w:lang w:val="en-US"/>
        </w:rPr>
        <w:t>Retroactive Application and Regulatory Certainty</w:t>
      </w:r>
    </w:p>
    <w:p w14:paraId="13C0DCFC" w14:textId="77777777" w:rsidR="00DC543C" w:rsidRPr="00DC543C" w:rsidRDefault="00DC543C" w:rsidP="00DC543C">
      <w:pPr>
        <w:spacing w:before="120" w:after="120"/>
        <w:jc w:val="both"/>
        <w:rPr>
          <w:rFonts w:ascii="Arial" w:hAnsi="Arial"/>
          <w:lang w:val="en-US"/>
        </w:rPr>
      </w:pPr>
      <w:r w:rsidRPr="00DC543C">
        <w:rPr>
          <w:rFonts w:ascii="Arial" w:hAnsi="Arial"/>
          <w:lang w:val="en-US"/>
        </w:rPr>
        <w:t xml:space="preserve">The proposed implementation of NOGRR282 raises significant concerns regarding impermissible retroactive application. As drafted, the framework contemplates applying new ride-through requirements to facilities that were developed, studied, financed, and in many cases contractually committed under a prior regulatory regime. </w:t>
      </w:r>
    </w:p>
    <w:p w14:paraId="68EA6F75" w14:textId="77777777" w:rsidR="00DC543C" w:rsidRPr="00DC543C" w:rsidRDefault="00DC543C" w:rsidP="00DC543C">
      <w:pPr>
        <w:spacing w:before="120" w:after="120"/>
        <w:jc w:val="both"/>
        <w:rPr>
          <w:rFonts w:ascii="Arial" w:hAnsi="Arial"/>
          <w:lang w:val="en-US"/>
        </w:rPr>
      </w:pPr>
      <w:r w:rsidRPr="00DC543C">
        <w:rPr>
          <w:rFonts w:ascii="Arial" w:hAnsi="Arial"/>
          <w:lang w:val="en-US"/>
        </w:rPr>
        <w:t>Projects that have executed interconnection agreements, completed ERCOT-approved studies, and committed substantial capital have done so in reliance on the regulatory standards and study assumptions in effect at the time. A framework that conditions continued operation or market participation on compliance with newly imposed standards—particularly where technical infeasibility or equipment limitations exist—implicates settled expectations and raises material retroactivity concerns under Texas law and longstanding administrative principles favoring prospective rulemaking.</w:t>
      </w:r>
    </w:p>
    <w:p w14:paraId="04C2D963" w14:textId="77777777" w:rsidR="00DC543C" w:rsidRPr="00DC543C" w:rsidRDefault="00DC543C" w:rsidP="00DC543C">
      <w:pPr>
        <w:spacing w:before="120" w:after="120"/>
        <w:jc w:val="both"/>
        <w:rPr>
          <w:rFonts w:ascii="Arial" w:hAnsi="Arial"/>
          <w:lang w:val="en-US"/>
        </w:rPr>
      </w:pPr>
      <w:r w:rsidRPr="00DC543C">
        <w:rPr>
          <w:rFonts w:ascii="Arial" w:hAnsi="Arial"/>
          <w:lang w:val="en-US"/>
        </w:rPr>
        <w:lastRenderedPageBreak/>
        <w:t xml:space="preserve">Intersect submits that ERCOT’s reliability objectives should instead be achieved through prospective requirements applicable to future facilities, coupled with targeted, evidence-based evaluation of existing resources based on demonstrated performance or clearly identified system impacts—not through broad retroactive application. As drafted, NOGRR282 relies on a November 14, </w:t>
      </w:r>
      <w:proofErr w:type="gramStart"/>
      <w:r w:rsidRPr="00DC543C">
        <w:rPr>
          <w:rFonts w:ascii="Arial" w:hAnsi="Arial"/>
          <w:lang w:val="en-US"/>
        </w:rPr>
        <w:t>2025</w:t>
      </w:r>
      <w:proofErr w:type="gramEnd"/>
      <w:r w:rsidRPr="00DC543C">
        <w:rPr>
          <w:rFonts w:ascii="Arial" w:hAnsi="Arial"/>
          <w:lang w:val="en-US"/>
        </w:rPr>
        <w:t xml:space="preserve"> reference date to determine exemption eligibility, notwithstanding that the relevant interconnection framework and associated requirements under Planning Guide § 9 were not operative until after that date—on December 15, 2025. This creates a temporal mismatch that results in different treatment of similarly situated projects based on arbitrary timing distinctions. </w:t>
      </w:r>
    </w:p>
    <w:p w14:paraId="421A646F" w14:textId="77777777" w:rsidR="00DC543C" w:rsidRPr="00DC543C" w:rsidRDefault="00DC543C" w:rsidP="00DC543C">
      <w:pPr>
        <w:spacing w:before="120" w:after="120"/>
        <w:jc w:val="both"/>
        <w:rPr>
          <w:rFonts w:ascii="Arial" w:hAnsi="Arial"/>
          <w:lang w:val="en-US"/>
        </w:rPr>
      </w:pPr>
      <w:r w:rsidRPr="00DC543C">
        <w:rPr>
          <w:rFonts w:ascii="Arial" w:hAnsi="Arial"/>
          <w:lang w:val="en-US"/>
        </w:rPr>
        <w:t>In the absence of prospective application of NOGRR282, which Intersect prefers and believes to be most appropriate, it is Intersect’s position that the exemption eligibility reference date should be no earlier than December 15, 2025.</w:t>
      </w:r>
    </w:p>
    <w:p w14:paraId="098BDC61" w14:textId="77777777" w:rsidR="00DC543C" w:rsidRPr="00DC543C" w:rsidRDefault="00DC543C" w:rsidP="00DC543C">
      <w:pPr>
        <w:spacing w:before="240" w:after="240"/>
        <w:jc w:val="both"/>
        <w:rPr>
          <w:rFonts w:ascii="Arial" w:hAnsi="Arial"/>
          <w:b/>
          <w:bCs/>
          <w:lang w:val="en-US"/>
        </w:rPr>
      </w:pPr>
      <w:r w:rsidRPr="00DC543C">
        <w:rPr>
          <w:rFonts w:ascii="Arial" w:hAnsi="Arial"/>
          <w:b/>
          <w:bCs/>
          <w:lang w:val="en-US"/>
        </w:rPr>
        <w:t>Grandfathering and Transitional Treatment</w:t>
      </w:r>
    </w:p>
    <w:p w14:paraId="559237D9" w14:textId="77777777" w:rsidR="00DC543C" w:rsidRPr="00DC543C" w:rsidRDefault="00DC543C" w:rsidP="00DC543C">
      <w:pPr>
        <w:spacing w:before="120" w:after="120"/>
        <w:jc w:val="both"/>
        <w:rPr>
          <w:rFonts w:ascii="Arial" w:hAnsi="Arial"/>
          <w:lang w:val="en-US"/>
        </w:rPr>
      </w:pPr>
      <w:r w:rsidRPr="00DC543C">
        <w:rPr>
          <w:rFonts w:ascii="Arial" w:hAnsi="Arial"/>
          <w:lang w:val="en-US"/>
        </w:rPr>
        <w:t>Consistent with the foregoing, NOGRR282 should incorporate a clear, durable grandfathering framework, coupled with a defined safe harbor, for projects that have materially advanced under the existing regulatory construct. At a minimum, this should include projects that have (i) completed interconnection studies, (ii) executed interconnection agreements, and (iii) made substantial financial and procurement commitments in reliance on those approvals. For such projects, compliance with study assumptions and approved interconnection parameters should constitute a safe harbor from newly imposed ride-through requirements absent a demonstrated, project-specific reliability issue. NOGRR282 should also explicitly clarify that loads meeting the formal exemption criteria will not be curtailed due to their inability to meet the ride-through standards included in therein.</w:t>
      </w:r>
    </w:p>
    <w:p w14:paraId="65756C07" w14:textId="77777777" w:rsidR="00DC543C" w:rsidRPr="00DC543C" w:rsidRDefault="00DC543C" w:rsidP="00DC543C">
      <w:pPr>
        <w:spacing w:before="120" w:after="120"/>
        <w:jc w:val="both"/>
        <w:rPr>
          <w:rFonts w:ascii="Arial" w:hAnsi="Arial"/>
          <w:lang w:val="en-US"/>
        </w:rPr>
      </w:pPr>
      <w:r w:rsidRPr="00DC543C">
        <w:rPr>
          <w:rFonts w:ascii="Arial" w:hAnsi="Arial"/>
          <w:lang w:val="en-US"/>
        </w:rPr>
        <w:t xml:space="preserve">Additionally, transitional mechanisms are necessary for projects that are demonstrably advanced but fall outside formal exemption criteria due solely to timing. These should include reasonable compliance periods that align with engineering, procurement, and construction realities. Based on current timelines, it could reasonably take a developer 24-30 months to procure, design, and install a technical solution that enables compliance with NOGRR282. Take, for example, a project with a Q4 2027 energization date that has met the requirements of Planning Guide § 9.4 and § 9.5 but that is not exempt from the as-drafted requirements of NOGRR282. If this project placed equipment orders for its preferred technical solution to enable voltage ride through compliance immediately following NOGRR282 approval, it is highly likely such solution would not be in place until late-2028 or early-2029. This would effectively postpone the project’s energization by over 1 year, placing its approved studies at risk, and risking cancellation altogether. </w:t>
      </w:r>
    </w:p>
    <w:p w14:paraId="64BE2D78" w14:textId="77777777" w:rsidR="00DC543C" w:rsidRPr="00DC543C" w:rsidRDefault="00DC543C" w:rsidP="00DC543C">
      <w:pPr>
        <w:spacing w:before="240" w:after="240"/>
        <w:jc w:val="both"/>
        <w:rPr>
          <w:rFonts w:ascii="Arial" w:hAnsi="Arial"/>
          <w:b/>
          <w:bCs/>
          <w:lang w:val="en-US"/>
        </w:rPr>
      </w:pPr>
      <w:r w:rsidRPr="00DC543C">
        <w:rPr>
          <w:rFonts w:ascii="Arial" w:hAnsi="Arial"/>
          <w:b/>
          <w:bCs/>
          <w:lang w:val="en-US"/>
        </w:rPr>
        <w:t>Potential Ride Through Solution Currently Disallowed</w:t>
      </w:r>
    </w:p>
    <w:p w14:paraId="6EE34821" w14:textId="77777777" w:rsidR="00DC543C" w:rsidRPr="00DC543C" w:rsidRDefault="00DC543C" w:rsidP="00DC543C">
      <w:pPr>
        <w:spacing w:before="120" w:after="120"/>
        <w:jc w:val="both"/>
        <w:rPr>
          <w:rFonts w:ascii="Arial" w:hAnsi="Arial"/>
          <w:lang w:val="en-US"/>
        </w:rPr>
      </w:pPr>
      <w:r w:rsidRPr="00DC543C">
        <w:rPr>
          <w:rFonts w:ascii="Arial" w:hAnsi="Arial"/>
          <w:lang w:val="en-US"/>
        </w:rPr>
        <w:t xml:space="preserve">Behind-the-meter (BTM) battery energy storage systems (BESS) represent a technically viable solution to ride-through requirements, providing fast dynamic support during voltage depression and post-voltage recovery. However, LEL facilities commonly require a “2N” transmission redundancy to achieve high service availability standards expected for mission-critical operations. This redundancy is generally achieved via two separate </w:t>
      </w:r>
      <w:r w:rsidRPr="00DC543C">
        <w:rPr>
          <w:rFonts w:ascii="Arial" w:hAnsi="Arial"/>
          <w:lang w:val="en-US"/>
        </w:rPr>
        <w:lastRenderedPageBreak/>
        <w:t>transmission lines connecting the LEL to the points of interconnection within the Transmission Service Provider (TSP) switchyard.</w:t>
      </w:r>
    </w:p>
    <w:p w14:paraId="20531DA4" w14:textId="77777777" w:rsidR="00DC543C" w:rsidRPr="00DC543C" w:rsidRDefault="00DC543C" w:rsidP="00DC543C">
      <w:pPr>
        <w:spacing w:before="120" w:after="120"/>
        <w:jc w:val="both"/>
        <w:rPr>
          <w:rFonts w:ascii="Arial" w:hAnsi="Arial"/>
          <w:lang w:val="en-US"/>
        </w:rPr>
      </w:pPr>
      <w:r w:rsidRPr="00DC543C">
        <w:rPr>
          <w:rFonts w:ascii="Arial" w:hAnsi="Arial"/>
          <w:lang w:val="en-US"/>
        </w:rPr>
        <w:t>Intersect observes that current protocols, specifically Section 10.3.2.3, do not allow an Energy Storage Resource (ESR) to be connected behind multiple POIs. Since this proposed BESS would operate solely for load stabilization with hard controls to prevent net export to the ERCOT system and is not intended as a market resource, Intersect urgently requests that ERCOT consider alternate registration, exemption, or technical safeguards like revised metering and zero-export schemes to resolve this conflict and prevent a compliance deadlock.</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8D6833" w:rsidRPr="008D6833" w14:paraId="76DF5EC5" w14:textId="77777777" w:rsidTr="0044467D">
        <w:trPr>
          <w:trHeight w:val="350"/>
        </w:trPr>
        <w:tc>
          <w:tcPr>
            <w:tcW w:w="10440" w:type="dxa"/>
            <w:tcBorders>
              <w:bottom w:val="single" w:sz="4" w:space="0" w:color="auto"/>
            </w:tcBorders>
            <w:shd w:val="clear" w:color="auto" w:fill="FFFFFF"/>
            <w:vAlign w:val="center"/>
          </w:tcPr>
          <w:p w14:paraId="286CF428" w14:textId="58B87544" w:rsidR="008D6833" w:rsidRPr="008D6833" w:rsidRDefault="00DC543C" w:rsidP="008D6833">
            <w:pPr>
              <w:tabs>
                <w:tab w:val="center" w:pos="4320"/>
                <w:tab w:val="right" w:pos="8640"/>
              </w:tabs>
              <w:jc w:val="center"/>
              <w:rPr>
                <w:rFonts w:ascii="Arial" w:hAnsi="Arial"/>
                <w:b/>
                <w:bCs/>
                <w:lang w:val="en-US"/>
              </w:rPr>
            </w:pPr>
            <w:r w:rsidRPr="00DC543C">
              <w:rPr>
                <w:b/>
                <w:bCs/>
                <w:lang w:val="en-US"/>
              </w:rPr>
              <w:br w:type="page"/>
            </w:r>
            <w:r w:rsidR="008D6833" w:rsidRPr="008D6833">
              <w:rPr>
                <w:rFonts w:ascii="Arial" w:hAnsi="Arial"/>
                <w:b/>
                <w:bCs/>
                <w:lang w:val="en-US"/>
              </w:rPr>
              <w:t>Revised Cover Page Language</w:t>
            </w:r>
          </w:p>
        </w:tc>
      </w:tr>
    </w:tbl>
    <w:p w14:paraId="7243AD44" w14:textId="77777777" w:rsidR="008D6833" w:rsidRPr="008D6833" w:rsidRDefault="008D6833" w:rsidP="008D6833">
      <w:pPr>
        <w:spacing w:before="120" w:after="120"/>
        <w:rPr>
          <w:rFonts w:ascii="Arial" w:hAnsi="Arial"/>
          <w:lang w:val="en-US"/>
        </w:rPr>
      </w:pPr>
      <w:r w:rsidRPr="008D6833">
        <w:rPr>
          <w:rFonts w:ascii="Arial" w:hAnsi="Arial"/>
          <w:lang w:val="en-US"/>
        </w:rPr>
        <w:t>None</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8D6833" w:rsidRPr="008D6833" w14:paraId="21450150" w14:textId="77777777" w:rsidTr="0044467D">
        <w:trPr>
          <w:trHeight w:val="350"/>
        </w:trPr>
        <w:tc>
          <w:tcPr>
            <w:tcW w:w="10440" w:type="dxa"/>
            <w:tcBorders>
              <w:bottom w:val="single" w:sz="4" w:space="0" w:color="auto"/>
            </w:tcBorders>
            <w:shd w:val="clear" w:color="auto" w:fill="FFFFFF"/>
            <w:vAlign w:val="center"/>
          </w:tcPr>
          <w:p w14:paraId="295AF3BA" w14:textId="77777777" w:rsidR="008D6833" w:rsidRPr="008D6833" w:rsidRDefault="008D6833" w:rsidP="008D6833">
            <w:pPr>
              <w:tabs>
                <w:tab w:val="center" w:pos="4320"/>
                <w:tab w:val="right" w:pos="8640"/>
              </w:tabs>
              <w:jc w:val="center"/>
              <w:rPr>
                <w:rFonts w:ascii="Arial" w:hAnsi="Arial"/>
                <w:b/>
                <w:bCs/>
                <w:lang w:val="en-US"/>
              </w:rPr>
            </w:pPr>
            <w:r w:rsidRPr="008D6833">
              <w:rPr>
                <w:rFonts w:ascii="Arial" w:hAnsi="Arial"/>
                <w:b/>
                <w:bCs/>
                <w:lang w:val="en-US"/>
              </w:rPr>
              <w:t>Revised Proposed Guide Language</w:t>
            </w:r>
          </w:p>
        </w:tc>
      </w:tr>
    </w:tbl>
    <w:p w14:paraId="5432EA94" w14:textId="2A71BEF3" w:rsidR="008D6833" w:rsidRPr="008D6833" w:rsidRDefault="008D6833" w:rsidP="008D6833">
      <w:pPr>
        <w:spacing w:before="120" w:after="120"/>
        <w:rPr>
          <w:rFonts w:ascii="Arial" w:hAnsi="Arial"/>
          <w:lang w:val="en-US"/>
        </w:rPr>
      </w:pPr>
      <w:r w:rsidRPr="008D6833">
        <w:rPr>
          <w:rFonts w:ascii="Arial" w:hAnsi="Arial"/>
          <w:lang w:val="en-US"/>
        </w:rPr>
        <w:t>None</w:t>
      </w:r>
    </w:p>
    <w:sectPr w:rsidR="008D6833" w:rsidRPr="008D683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1E0AB" w14:textId="77777777" w:rsidR="008D6833" w:rsidRDefault="008D6833">
      <w:r>
        <w:separator/>
      </w:r>
    </w:p>
  </w:endnote>
  <w:endnote w:type="continuationSeparator" w:id="0">
    <w:p w14:paraId="23A09066" w14:textId="77777777" w:rsidR="008D6833" w:rsidRDefault="008D6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BA34BDC-FA46-426A-8336-32770C3DEE0E}"/>
  </w:font>
  <w:font w:name="Georgia">
    <w:panose1 w:val="02040502050405020303"/>
    <w:charset w:val="00"/>
    <w:family w:val="roman"/>
    <w:pitch w:val="variable"/>
    <w:sig w:usb0="00000287" w:usb1="00000000" w:usb2="00000000" w:usb3="00000000" w:csb0="0000009F" w:csb1="00000000"/>
    <w:embedItalic r:id="rId2" w:fontKey="{38EAE0F3-1F10-4711-93FE-1D0669632185}"/>
  </w:font>
  <w:font w:name="Verdana">
    <w:panose1 w:val="020B0604030504040204"/>
    <w:charset w:val="00"/>
    <w:family w:val="swiss"/>
    <w:pitch w:val="variable"/>
    <w:sig w:usb0="A00006FF" w:usb1="4000205B" w:usb2="00000010" w:usb3="00000000" w:csb0="0000019F" w:csb1="00000000"/>
    <w:embedBold r:id="rId3" w:fontKey="{BC84258A-F3C1-4E58-80CE-17039FC9AA1A}"/>
  </w:font>
  <w:font w:name="Calibri">
    <w:panose1 w:val="020F0502020204030204"/>
    <w:charset w:val="00"/>
    <w:family w:val="swiss"/>
    <w:pitch w:val="variable"/>
    <w:sig w:usb0="E4002EFF" w:usb1="C200247B" w:usb2="00000009" w:usb3="00000000" w:csb0="000001FF" w:csb1="00000000"/>
    <w:embedRegular r:id="rId4" w:fontKey="{BBEE909D-09E6-4CFD-9A45-ACD22F80C6C1}"/>
  </w:font>
  <w:font w:name="Cambria">
    <w:panose1 w:val="02040503050406030204"/>
    <w:charset w:val="00"/>
    <w:family w:val="roman"/>
    <w:pitch w:val="variable"/>
    <w:sig w:usb0="E00006FF" w:usb1="420024FF" w:usb2="02000000" w:usb3="00000000" w:csb0="0000019F" w:csb1="00000000"/>
    <w:embedRegular r:id="rId5" w:fontKey="{28031086-5BB1-4FAF-8178-81C5E9572F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8481D" w14:textId="77777777" w:rsidR="00666B6B" w:rsidRDefault="00666B6B">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98E61" w14:textId="61E32794" w:rsidR="00666B6B" w:rsidRDefault="008D6833">
    <w:pPr>
      <w:pBdr>
        <w:top w:val="nil"/>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282NOGRR-1</w:t>
    </w:r>
    <w:r w:rsidR="00DC543C">
      <w:rPr>
        <w:rFonts w:ascii="Arial" w:eastAsia="Arial" w:hAnsi="Arial" w:cs="Arial"/>
        <w:color w:val="000000"/>
        <w:sz w:val="18"/>
        <w:szCs w:val="18"/>
      </w:rPr>
      <w:t>9</w:t>
    </w:r>
    <w:r>
      <w:rPr>
        <w:rFonts w:ascii="Arial" w:eastAsia="Arial" w:hAnsi="Arial" w:cs="Arial"/>
        <w:color w:val="000000"/>
        <w:sz w:val="18"/>
        <w:szCs w:val="18"/>
      </w:rPr>
      <w:t xml:space="preserve"> </w:t>
    </w:r>
    <w:r w:rsidR="00DC543C">
      <w:rPr>
        <w:rFonts w:ascii="Arial" w:eastAsia="Arial" w:hAnsi="Arial" w:cs="Arial"/>
        <w:color w:val="000000"/>
        <w:sz w:val="18"/>
        <w:szCs w:val="18"/>
      </w:rPr>
      <w:t>Intersect Power</w:t>
    </w:r>
    <w:r>
      <w:rPr>
        <w:rFonts w:ascii="Arial" w:eastAsia="Arial" w:hAnsi="Arial" w:cs="Arial"/>
        <w:color w:val="000000"/>
        <w:sz w:val="18"/>
        <w:szCs w:val="18"/>
      </w:rPr>
      <w:t xml:space="preserve"> Comments 0</w:t>
    </w:r>
    <w:r w:rsidR="00DC543C">
      <w:rPr>
        <w:rFonts w:ascii="Arial" w:eastAsia="Arial" w:hAnsi="Arial" w:cs="Arial"/>
        <w:color w:val="000000"/>
        <w:sz w:val="18"/>
        <w:szCs w:val="18"/>
      </w:rPr>
      <w:t>401</w:t>
    </w:r>
    <w:r>
      <w:rPr>
        <w:rFonts w:ascii="Arial" w:eastAsia="Arial" w:hAnsi="Arial" w:cs="Arial"/>
        <w:color w:val="000000"/>
        <w:sz w:val="18"/>
        <w:szCs w:val="18"/>
      </w:rPr>
      <w:t xml:space="preserve">26 </w:t>
    </w:r>
    <w:r>
      <w:tab/>
    </w:r>
    <w:r>
      <w:tab/>
    </w:r>
    <w:r>
      <w:rPr>
        <w:rFonts w:ascii="Arial" w:eastAsia="Arial" w:hAnsi="Arial" w:cs="Arial"/>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B9074D">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B9074D">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5DB7FBEC" w14:textId="77777777" w:rsidR="00666B6B" w:rsidRDefault="008D6833">
    <w:pPr>
      <w:pBdr>
        <w:top w:val="nil"/>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08BEB" w14:textId="77777777" w:rsidR="00666B6B" w:rsidRDefault="00666B6B">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24187" w14:textId="77777777" w:rsidR="008D6833" w:rsidRDefault="008D6833">
      <w:r>
        <w:separator/>
      </w:r>
    </w:p>
  </w:footnote>
  <w:footnote w:type="continuationSeparator" w:id="0">
    <w:p w14:paraId="7983EB2F" w14:textId="77777777" w:rsidR="008D6833" w:rsidRDefault="008D6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037DC" w14:textId="77777777" w:rsidR="00666B6B" w:rsidRDefault="00666B6B">
    <w:pPr>
      <w:pBdr>
        <w:top w:val="nil"/>
        <w:left w:val="nil"/>
        <w:bottom w:val="nil"/>
        <w:right w:val="nil"/>
        <w:between w:val="nil"/>
      </w:pBdr>
      <w:tabs>
        <w:tab w:val="center" w:pos="4320"/>
        <w:tab w:val="right" w:pos="8640"/>
      </w:tabs>
      <w:ind w:hanging="2"/>
      <w:rPr>
        <w:rFonts w:ascii="Arial" w:eastAsia="Arial" w:hAnsi="Arial" w:cs="Arial"/>
        <w:b/>
        <w:bC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C0D6" w14:textId="77777777" w:rsidR="00666B6B" w:rsidRDefault="008D6833">
    <w:pPr>
      <w:pBdr>
        <w:top w:val="nil"/>
        <w:left w:val="nil"/>
        <w:bottom w:val="nil"/>
        <w:right w:val="nil"/>
        <w:between w:val="nil"/>
      </w:pBdr>
      <w:tabs>
        <w:tab w:val="center" w:pos="4320"/>
        <w:tab w:val="right" w:pos="8640"/>
      </w:tabs>
      <w:jc w:val="center"/>
      <w:rPr>
        <w:rFonts w:ascii="Arial" w:eastAsia="Arial" w:hAnsi="Arial" w:cs="Arial"/>
        <w:b/>
        <w:bCs/>
        <w:color w:val="000000"/>
        <w:sz w:val="32"/>
        <w:szCs w:val="32"/>
      </w:rPr>
    </w:pPr>
    <w:r>
      <w:rPr>
        <w:rFonts w:ascii="Arial" w:eastAsia="Arial" w:hAnsi="Arial" w:cs="Arial"/>
        <w:b/>
        <w:bCs/>
        <w:color w:val="000000"/>
        <w:sz w:val="32"/>
        <w:szCs w:val="32"/>
      </w:rPr>
      <w:t>NOGRR Comments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A996C" w14:textId="77777777" w:rsidR="00666B6B" w:rsidRDefault="00666B6B">
    <w:pPr>
      <w:pBdr>
        <w:top w:val="nil"/>
        <w:left w:val="nil"/>
        <w:bottom w:val="nil"/>
        <w:right w:val="nil"/>
        <w:between w:val="nil"/>
      </w:pBdr>
      <w:tabs>
        <w:tab w:val="center" w:pos="4320"/>
        <w:tab w:val="right" w:pos="8640"/>
      </w:tabs>
      <w:ind w:hanging="2"/>
      <w:rPr>
        <w:rFonts w:ascii="Arial" w:eastAsia="Arial" w:hAnsi="Arial" w:cs="Arial"/>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0120A0"/>
    <w:multiLevelType w:val="multilevel"/>
    <w:tmpl w:val="27F8CC28"/>
    <w:lvl w:ilvl="0">
      <w:start w:val="1"/>
      <w:numFmt w:val="decimal"/>
      <w:pStyle w:val="Heading11"/>
      <w:lvlText w:val="%1)"/>
      <w:lvlJc w:val="left"/>
      <w:pPr>
        <w:ind w:left="720" w:hanging="360"/>
      </w:pPr>
      <w:rPr>
        <w:u w:val="none"/>
      </w:rPr>
    </w:lvl>
    <w:lvl w:ilvl="1">
      <w:start w:val="1"/>
      <w:numFmt w:val="lowerLetter"/>
      <w:pStyle w:val="Heading21"/>
      <w:lvlText w:val="%2)"/>
      <w:lvlJc w:val="left"/>
      <w:pPr>
        <w:ind w:left="1440" w:hanging="360"/>
      </w:pPr>
      <w:rPr>
        <w:u w:val="none"/>
      </w:rPr>
    </w:lvl>
    <w:lvl w:ilvl="2">
      <w:start w:val="1"/>
      <w:numFmt w:val="lowerRoman"/>
      <w:pStyle w:val="Heading31"/>
      <w:lvlText w:val="%3)"/>
      <w:lvlJc w:val="right"/>
      <w:pPr>
        <w:ind w:left="2160" w:hanging="360"/>
      </w:pPr>
      <w:rPr>
        <w:u w:val="none"/>
      </w:rPr>
    </w:lvl>
    <w:lvl w:ilvl="3">
      <w:start w:val="1"/>
      <w:numFmt w:val="decimal"/>
      <w:pStyle w:val="Heading41"/>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4DD573D"/>
    <w:multiLevelType w:val="multilevel"/>
    <w:tmpl w:val="149E575C"/>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61300163">
    <w:abstractNumId w:val="0"/>
  </w:num>
  <w:num w:numId="2" w16cid:durableId="2088333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B6B"/>
    <w:rsid w:val="001A0CB0"/>
    <w:rsid w:val="00666B6B"/>
    <w:rsid w:val="00805034"/>
    <w:rsid w:val="008D6833"/>
    <w:rsid w:val="00B9074D"/>
    <w:rsid w:val="00CE4A04"/>
    <w:rsid w:val="00DC5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FDCBD"/>
  <w15:docId w15:val="{9B6B6825-AAAE-481D-9BD0-086605703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pPr>
      <w:suppressAutoHyphens/>
      <w:spacing w:before="240" w:after="60" w:line="1" w:lineRule="atLeast"/>
      <w:ind w:leftChars="-1" w:left="-1" w:hangingChars="1" w:hanging="1"/>
      <w:textDirection w:val="btLr"/>
      <w:textAlignment w:val="top"/>
      <w:outlineLvl w:val="6"/>
    </w:pPr>
    <w:rPr>
      <w:position w:val="-1"/>
      <w:szCs w:val="20"/>
      <w:lang w:val="en-US"/>
    </w:rPr>
  </w:style>
  <w:style w:type="paragraph" w:styleId="Heading8">
    <w:name w:val="heading 8"/>
    <w:basedOn w:val="Normal"/>
    <w:next w:val="Normal"/>
    <w:pPr>
      <w:suppressAutoHyphens/>
      <w:spacing w:before="240" w:after="60" w:line="1" w:lineRule="atLeast"/>
      <w:ind w:leftChars="-1" w:left="-1" w:hangingChars="1" w:hanging="1"/>
      <w:textDirection w:val="btLr"/>
      <w:textAlignment w:val="top"/>
      <w:outlineLvl w:val="7"/>
    </w:pPr>
    <w:rPr>
      <w:i/>
      <w:position w:val="-1"/>
      <w:szCs w:val="20"/>
      <w:lang w:val="en-US"/>
    </w:rPr>
  </w:style>
  <w:style w:type="paragraph" w:styleId="Heading9">
    <w:name w:val="heading 9"/>
    <w:basedOn w:val="Normal"/>
    <w:next w:val="Normal"/>
    <w:pPr>
      <w:suppressAutoHyphens/>
      <w:spacing w:before="240" w:after="60" w:line="1" w:lineRule="atLeast"/>
      <w:ind w:leftChars="-1" w:left="-1" w:hangingChars="1" w:hanging="1"/>
      <w:textDirection w:val="btLr"/>
      <w:textAlignment w:val="top"/>
      <w:outlineLvl w:val="8"/>
    </w:pPr>
    <w:rPr>
      <w:rFonts w:ascii="Arial" w:hAnsi="Arial"/>
      <w:position w:val="-1"/>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customStyle="1" w:styleId="Heading11">
    <w:name w:val="Heading 11"/>
    <w:aliases w:val="h1"/>
    <w:basedOn w:val="Normal"/>
    <w:next w:val="Normal"/>
    <w:pPr>
      <w:keepNext/>
      <w:numPr>
        <w:numId w:val="1"/>
      </w:numPr>
      <w:suppressAutoHyphens/>
      <w:spacing w:after="240" w:line="1" w:lineRule="atLeast"/>
      <w:ind w:leftChars="-1" w:left="-1" w:hangingChars="1" w:hanging="1"/>
      <w:textDirection w:val="btLr"/>
      <w:textAlignment w:val="top"/>
      <w:outlineLvl w:val="0"/>
    </w:pPr>
    <w:rPr>
      <w:b/>
      <w:caps/>
      <w:position w:val="-1"/>
      <w:szCs w:val="20"/>
      <w:lang w:val="en-US"/>
    </w:rPr>
  </w:style>
  <w:style w:type="paragraph" w:customStyle="1" w:styleId="Heading21">
    <w:name w:val="Heading 21"/>
    <w:aliases w:val="h2"/>
    <w:basedOn w:val="Normal"/>
    <w:next w:val="Normal"/>
    <w:pPr>
      <w:keepNext/>
      <w:numPr>
        <w:ilvl w:val="1"/>
        <w:numId w:val="1"/>
      </w:numPr>
      <w:suppressAutoHyphens/>
      <w:spacing w:before="240" w:after="240" w:line="1" w:lineRule="atLeast"/>
      <w:ind w:leftChars="-1" w:left="-1" w:hangingChars="1" w:hanging="1"/>
      <w:textDirection w:val="btLr"/>
      <w:textAlignment w:val="top"/>
      <w:outlineLvl w:val="1"/>
    </w:pPr>
    <w:rPr>
      <w:b/>
      <w:position w:val="-1"/>
      <w:szCs w:val="20"/>
      <w:lang w:val="en-US"/>
    </w:rPr>
  </w:style>
  <w:style w:type="paragraph" w:customStyle="1" w:styleId="Heading31">
    <w:name w:val="Heading 31"/>
    <w:aliases w:val="h3"/>
    <w:basedOn w:val="Normal"/>
    <w:next w:val="Normal"/>
    <w:pPr>
      <w:keepNext/>
      <w:numPr>
        <w:ilvl w:val="2"/>
        <w:numId w:val="1"/>
      </w:numPr>
      <w:suppressAutoHyphens/>
      <w:spacing w:before="120" w:after="120" w:line="1" w:lineRule="atLeast"/>
      <w:ind w:leftChars="-1" w:left="-1" w:hangingChars="1" w:hanging="1"/>
      <w:textDirection w:val="btLr"/>
      <w:textAlignment w:val="top"/>
      <w:outlineLvl w:val="2"/>
    </w:pPr>
    <w:rPr>
      <w:b/>
      <w:bCs/>
      <w:i/>
      <w:iCs/>
      <w:position w:val="-1"/>
      <w:szCs w:val="20"/>
      <w:lang w:val="en-US"/>
    </w:rPr>
  </w:style>
  <w:style w:type="paragraph" w:customStyle="1" w:styleId="Heading41">
    <w:name w:val="Heading 41"/>
    <w:aliases w:val="h4"/>
    <w:basedOn w:val="Normal"/>
    <w:next w:val="Normal"/>
    <w:pPr>
      <w:keepNext/>
      <w:widowControl w:val="0"/>
      <w:numPr>
        <w:ilvl w:val="3"/>
        <w:numId w:val="1"/>
      </w:numPr>
      <w:suppressAutoHyphens/>
      <w:spacing w:before="360" w:after="240" w:line="1" w:lineRule="atLeast"/>
      <w:ind w:leftChars="-1" w:left="-1" w:hangingChars="1" w:hanging="1"/>
      <w:textDirection w:val="btLr"/>
      <w:textAlignment w:val="top"/>
      <w:outlineLvl w:val="3"/>
    </w:pPr>
    <w:rPr>
      <w:b/>
      <w:bCs/>
      <w:snapToGrid w:val="0"/>
      <w:position w:val="-1"/>
      <w:szCs w:val="20"/>
      <w:lang w:val="en-US"/>
    </w:rPr>
  </w:style>
  <w:style w:type="paragraph" w:customStyle="1" w:styleId="Heading51">
    <w:name w:val="Heading 51"/>
    <w:aliases w:val="h5"/>
    <w:basedOn w:val="Normal"/>
    <w:next w:val="Normal"/>
    <w:pPr>
      <w:suppressAutoHyphens/>
      <w:spacing w:before="240" w:after="60" w:line="1" w:lineRule="atLeast"/>
      <w:ind w:leftChars="-1" w:left="-1" w:hangingChars="1" w:hanging="1"/>
      <w:textDirection w:val="btLr"/>
      <w:textAlignment w:val="top"/>
      <w:outlineLvl w:val="4"/>
    </w:pPr>
    <w:rPr>
      <w:b/>
      <w:i/>
      <w:position w:val="-1"/>
      <w:sz w:val="26"/>
      <w:szCs w:val="20"/>
      <w:lang w:val="en-US"/>
    </w:rPr>
  </w:style>
  <w:style w:type="paragraph" w:customStyle="1" w:styleId="Heading61">
    <w:name w:val="Heading 61"/>
    <w:aliases w:val="h6"/>
    <w:basedOn w:val="Normal"/>
    <w:next w:val="Normal"/>
    <w:pPr>
      <w:suppressAutoHyphens/>
      <w:spacing w:before="240" w:after="60" w:line="1" w:lineRule="atLeast"/>
      <w:ind w:leftChars="-1" w:left="-1" w:hangingChars="1" w:hanging="1"/>
      <w:textDirection w:val="btLr"/>
      <w:textAlignment w:val="top"/>
      <w:outlineLvl w:val="5"/>
    </w:pPr>
    <w:rPr>
      <w:b/>
      <w:position w:val="-1"/>
      <w:sz w:val="22"/>
      <w:szCs w:val="20"/>
      <w:lang w:val="en-US"/>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rFonts w:ascii="Arial" w:hAnsi="Arial"/>
      <w:b/>
      <w:bCs/>
      <w:position w:val="-1"/>
      <w:lang w:val="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paragraph" w:customStyle="1" w:styleId="TXUNormal">
    <w:name w:val="TXUNormal"/>
    <w:pPr>
      <w:suppressAutoHyphens/>
      <w:spacing w:after="120" w:line="1" w:lineRule="atLeast"/>
      <w:ind w:leftChars="-1" w:left="-1" w:hangingChars="1" w:hanging="1"/>
      <w:textDirection w:val="btLr"/>
      <w:textAlignment w:val="top"/>
      <w:outlineLvl w:val="0"/>
    </w:pPr>
    <w:rPr>
      <w:position w:val="-1"/>
      <w:lang w:val="en-US"/>
    </w:r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uppressAutoHyphens/>
      <w:spacing w:before="120" w:after="120" w:line="1" w:lineRule="atLeast"/>
      <w:ind w:leftChars="-1" w:left="720" w:right="720" w:hangingChars="1" w:hanging="1"/>
      <w:textDirection w:val="btLr"/>
      <w:textAlignment w:val="top"/>
      <w:outlineLvl w:val="0"/>
    </w:pPr>
    <w:rPr>
      <w:position w:val="-1"/>
      <w:szCs w:val="20"/>
      <w:lang w:val="en-US"/>
    </w:rPr>
  </w:style>
  <w:style w:type="character" w:styleId="Hyperlink">
    <w:name w:val="Hyperlink"/>
    <w:basedOn w:val="DefaultParagraphFont"/>
    <w:rPr>
      <w:color w:val="0000FF"/>
      <w:w w:val="100"/>
      <w:position w:val="-1"/>
      <w:u w:val="single"/>
      <w:effect w:val="none"/>
      <w:vertAlign w:val="baseline"/>
      <w:cs w:val="0"/>
      <w:em w:val="none"/>
    </w:rPr>
  </w:style>
  <w:style w:type="paragraph" w:styleId="BodyText">
    <w:name w:val="Body Text"/>
    <w:basedOn w:val="Normal"/>
    <w:pPr>
      <w:suppressAutoHyphens/>
      <w:spacing w:before="120" w:after="120" w:line="1" w:lineRule="atLeast"/>
      <w:ind w:leftChars="-1" w:left="-1" w:hangingChars="1" w:hanging="1"/>
      <w:textDirection w:val="btLr"/>
      <w:textAlignment w:val="top"/>
      <w:outlineLvl w:val="0"/>
    </w:pPr>
    <w:rPr>
      <w:position w:val="-1"/>
      <w:lang w:val="en-US"/>
    </w:rPr>
  </w:style>
  <w:style w:type="paragraph" w:styleId="BodyTextIndent">
    <w:name w:val="Body Text Indent"/>
    <w:basedOn w:val="Normal"/>
    <w:pPr>
      <w:suppressAutoHyphens/>
      <w:spacing w:before="120" w:after="120" w:line="1" w:lineRule="atLeast"/>
      <w:ind w:leftChars="-1" w:left="720" w:hangingChars="1" w:hanging="1"/>
      <w:textDirection w:val="btLr"/>
      <w:textAlignment w:val="top"/>
      <w:outlineLvl w:val="0"/>
    </w:pPr>
    <w:rPr>
      <w:position w:val="-1"/>
      <w:lang w:val="en-US"/>
    </w:rPr>
  </w:style>
  <w:style w:type="paragraph" w:customStyle="1" w:styleId="Bullet">
    <w:name w:val="Bullet"/>
    <w:basedOn w:val="Normal"/>
    <w:pPr>
      <w:numPr>
        <w:numId w:val="2"/>
      </w:numPr>
      <w:tabs>
        <w:tab w:val="clear" w:pos="720"/>
        <w:tab w:val="num" w:pos="1080"/>
      </w:tabs>
      <w:suppressAutoHyphens/>
      <w:spacing w:before="60" w:after="120" w:line="1" w:lineRule="atLeast"/>
      <w:ind w:leftChars="-1" w:left="-1" w:hangingChars="1" w:hanging="1"/>
      <w:textDirection w:val="btLr"/>
      <w:textAlignment w:val="top"/>
      <w:outlineLvl w:val="0"/>
    </w:pPr>
    <w:rPr>
      <w:position w:val="-1"/>
      <w:szCs w:val="20"/>
      <w:lang w:val="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paragraph" w:customStyle="1" w:styleId="NormalArial">
    <w:name w:val="Normal+Arial"/>
    <w:basedOn w:val="Normal"/>
    <w:pPr>
      <w:suppressAutoHyphens/>
      <w:spacing w:line="1" w:lineRule="atLeast"/>
      <w:ind w:leftChars="-1" w:left="-1" w:hangingChars="1" w:hanging="1"/>
      <w:textDirection w:val="btLr"/>
      <w:textAlignment w:val="top"/>
      <w:outlineLvl w:val="0"/>
    </w:pPr>
    <w:rPr>
      <w:rFonts w:ascii="Arial" w:hAnsi="Arial"/>
      <w:position w:val="-1"/>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sz w:val="20"/>
      <w:szCs w:val="20"/>
      <w:lang w:val="en-US"/>
    </w:rPr>
  </w:style>
  <w:style w:type="paragraph" w:styleId="CommentSubject">
    <w:name w:val="annotation subject"/>
    <w:basedOn w:val="CommentText"/>
    <w:next w:val="CommentText"/>
    <w:rPr>
      <w:b/>
      <w:b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UnresolvedMention">
    <w:name w:val="Unresolved Mention"/>
    <w:basedOn w:val="DefaultParagraphFont"/>
    <w:uiPriority w:val="99"/>
    <w:semiHidden/>
    <w:unhideWhenUsed/>
    <w:rsid w:val="00331912"/>
    <w:rPr>
      <w:color w:val="605E5C"/>
      <w:shd w:val="clear" w:color="auto" w:fill="E1DFDD"/>
    </w:rPr>
  </w:style>
  <w:style w:type="paragraph" w:styleId="ListParagraph">
    <w:name w:val="List Paragraph"/>
    <w:basedOn w:val="Normal"/>
    <w:uiPriority w:val="34"/>
    <w:qFormat/>
    <w:rsid w:val="007C1338"/>
    <w:pPr>
      <w:ind w:left="720"/>
      <w:contextualSpacing/>
    </w:pPr>
  </w:style>
  <w:style w:type="paragraph" w:styleId="Revision">
    <w:name w:val="Revision"/>
    <w:hidden/>
    <w:uiPriority w:val="99"/>
    <w:semiHidden/>
    <w:rsid w:val="00293013"/>
  </w:style>
  <w:style w:type="paragraph" w:styleId="FootnoteText">
    <w:name w:val="footnote text"/>
    <w:basedOn w:val="Normal"/>
    <w:link w:val="FootnoteTextChar"/>
    <w:uiPriority w:val="99"/>
    <w:semiHidden/>
    <w:unhideWhenUsed/>
    <w:rsid w:val="009F360F"/>
    <w:rPr>
      <w:sz w:val="20"/>
      <w:szCs w:val="20"/>
    </w:rPr>
  </w:style>
  <w:style w:type="character" w:customStyle="1" w:styleId="FootnoteTextChar">
    <w:name w:val="Footnote Text Char"/>
    <w:basedOn w:val="DefaultParagraphFont"/>
    <w:link w:val="FootnoteText"/>
    <w:uiPriority w:val="99"/>
    <w:semiHidden/>
    <w:rsid w:val="009F360F"/>
    <w:rPr>
      <w:sz w:val="20"/>
      <w:szCs w:val="20"/>
    </w:rPr>
  </w:style>
  <w:style w:type="character" w:styleId="FootnoteReference">
    <w:name w:val="footnote reference"/>
    <w:basedOn w:val="DefaultParagraphFont"/>
    <w:uiPriority w:val="99"/>
    <w:semiHidden/>
    <w:unhideWhenUsed/>
    <w:rsid w:val="009F360F"/>
    <w:rPr>
      <w:vertAlign w:val="superscript"/>
    </w:rPr>
  </w:style>
  <w:style w:type="character" w:styleId="FollowedHyperlink">
    <w:name w:val="FollowedHyperlink"/>
    <w:basedOn w:val="DefaultParagraphFont"/>
    <w:uiPriority w:val="99"/>
    <w:semiHidden/>
    <w:unhideWhenUsed/>
    <w:rsid w:val="00FB5AD1"/>
    <w:rPr>
      <w:color w:val="800080" w:themeColor="followedHyperlink"/>
      <w:u w:val="single"/>
    </w:rPr>
  </w:style>
  <w:style w:type="table" w:customStyle="1" w:styleId="TableNormal00">
    <w:name w:val="TableNormal0"/>
    <w:rsid w:val="00E93D91"/>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rcot.com/mktrules/issues/NOGRR282"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eal.kinkenon@intersect.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xDbCohogSc/bKrDLCe0VY3M8SQ==">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1324</Words>
  <Characters>8493</Characters>
  <Application>Microsoft Office Word</Application>
  <DocSecurity>0</DocSecurity>
  <Lines>163</Lines>
  <Paragraphs>49</Paragraphs>
  <ScaleCrop>false</ScaleCrop>
  <Company>ERCOT</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ERCOT/if</dc:creator>
  <cp:lastModifiedBy>ERCOT</cp:lastModifiedBy>
  <cp:revision>3</cp:revision>
  <dcterms:created xsi:type="dcterms:W3CDTF">2026-04-01T14:24:00Z</dcterms:created>
  <dcterms:modified xsi:type="dcterms:W3CDTF">2026-04-01T14:33:00Z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2025-12-04T13:03:29Z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e664732c-0659-4a1c-b43a-eeedd944d589</vt:lpwstr>
  </property>
  <property fmtid="{D5CDD505-2E9C-101B-9397-08002B2CF9AE}" pid="8" name="MSIP_Label_7084cbda-52b8-46fb-a7b7-cb5bd465ed85_ContentBits">
    <vt:lpwstr>0</vt:lpwstr>
  </property>
  <property fmtid="{D5CDD505-2E9C-101B-9397-08002B2CF9AE}" pid="9" name="MSIP_Label_7084cbda-52b8-46fb-a7b7-cb5bd465ed85_Tag">
    <vt:lpwstr>10, 3, 0, 1</vt:lpwstr>
  </property>
</Properties>
</file>