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8076BF" w14:paraId="602D455F" w14:textId="77777777">
        <w:tc>
          <w:tcPr>
            <w:tcW w:w="1620" w:type="dxa"/>
            <w:tcBorders>
              <w:bottom w:val="single" w:sz="4" w:space="0" w:color="auto"/>
            </w:tcBorders>
            <w:shd w:val="clear" w:color="auto" w:fill="FFFFFF"/>
            <w:vAlign w:val="center"/>
          </w:tcPr>
          <w:p w14:paraId="7458B390" w14:textId="77777777" w:rsidR="008076BF" w:rsidRDefault="008076BF" w:rsidP="008076BF">
            <w:pPr>
              <w:pStyle w:val="Header"/>
              <w:rPr>
                <w:rFonts w:ascii="Verdana" w:hAnsi="Verdana"/>
                <w:sz w:val="22"/>
              </w:rPr>
            </w:pPr>
            <w:r>
              <w:t>PGRR Number</w:t>
            </w:r>
          </w:p>
        </w:tc>
        <w:tc>
          <w:tcPr>
            <w:tcW w:w="1260" w:type="dxa"/>
            <w:tcBorders>
              <w:bottom w:val="single" w:sz="4" w:space="0" w:color="auto"/>
            </w:tcBorders>
            <w:vAlign w:val="center"/>
          </w:tcPr>
          <w:p w14:paraId="09EDA3C3" w14:textId="55EDBF81" w:rsidR="008076BF" w:rsidRDefault="00D02D38" w:rsidP="008076BF">
            <w:pPr>
              <w:pStyle w:val="Header"/>
            </w:pPr>
            <w:hyperlink r:id="rId7" w:history="1">
              <w:r w:rsidRPr="00F65EE8">
                <w:rPr>
                  <w:rStyle w:val="Hyperlink"/>
                </w:rPr>
                <w:t>144</w:t>
              </w:r>
            </w:hyperlink>
          </w:p>
        </w:tc>
        <w:tc>
          <w:tcPr>
            <w:tcW w:w="1440" w:type="dxa"/>
            <w:tcBorders>
              <w:bottom w:val="single" w:sz="4" w:space="0" w:color="auto"/>
            </w:tcBorders>
            <w:shd w:val="clear" w:color="auto" w:fill="FFFFFF"/>
            <w:vAlign w:val="center"/>
          </w:tcPr>
          <w:p w14:paraId="7CB01A78" w14:textId="6A98870B" w:rsidR="008076BF" w:rsidRDefault="008076BF" w:rsidP="008076BF">
            <w:pPr>
              <w:pStyle w:val="Header"/>
            </w:pPr>
            <w:r>
              <w:t>PGRR Title</w:t>
            </w:r>
          </w:p>
        </w:tc>
        <w:tc>
          <w:tcPr>
            <w:tcW w:w="6120" w:type="dxa"/>
            <w:tcBorders>
              <w:bottom w:val="single" w:sz="4" w:space="0" w:color="auto"/>
            </w:tcBorders>
            <w:vAlign w:val="center"/>
          </w:tcPr>
          <w:p w14:paraId="0AF47B5D" w14:textId="7A47D281" w:rsidR="008076BF" w:rsidRDefault="00FC013C" w:rsidP="008076BF">
            <w:pPr>
              <w:pStyle w:val="Header"/>
            </w:pPr>
            <w:r w:rsidRPr="00FC013C">
              <w:t>Dynamic Model Submission and Review Requirements for Large Loads including Large Electronic Loads</w:t>
            </w:r>
          </w:p>
        </w:tc>
      </w:tr>
    </w:tbl>
    <w:p w14:paraId="66D37548"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778F5D1F"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59474C08"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1F3CB8EF" w14:textId="578400DB" w:rsidR="00152993" w:rsidRDefault="008076BF">
            <w:pPr>
              <w:pStyle w:val="NormalArial"/>
            </w:pPr>
            <w:r>
              <w:t xml:space="preserve">March </w:t>
            </w:r>
            <w:r w:rsidR="00CD1D74">
              <w:t>30</w:t>
            </w:r>
            <w:r>
              <w:t>, 2026</w:t>
            </w:r>
          </w:p>
        </w:tc>
      </w:tr>
    </w:tbl>
    <w:p w14:paraId="51F46639"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09D14F84" w14:textId="77777777">
        <w:trPr>
          <w:trHeight w:val="440"/>
        </w:trPr>
        <w:tc>
          <w:tcPr>
            <w:tcW w:w="10440" w:type="dxa"/>
            <w:gridSpan w:val="2"/>
            <w:tcBorders>
              <w:top w:val="single" w:sz="4" w:space="0" w:color="auto"/>
            </w:tcBorders>
            <w:shd w:val="clear" w:color="auto" w:fill="FFFFFF"/>
            <w:vAlign w:val="center"/>
          </w:tcPr>
          <w:p w14:paraId="7FD78334" w14:textId="77777777" w:rsidR="00152993" w:rsidRDefault="00152993">
            <w:pPr>
              <w:pStyle w:val="Header"/>
              <w:jc w:val="center"/>
            </w:pPr>
            <w:r>
              <w:t>Submitter’s Information</w:t>
            </w:r>
          </w:p>
        </w:tc>
      </w:tr>
      <w:tr w:rsidR="00CD1D74" w14:paraId="52079DAC" w14:textId="77777777" w:rsidTr="00CD1D74">
        <w:trPr>
          <w:trHeight w:val="350"/>
        </w:trPr>
        <w:tc>
          <w:tcPr>
            <w:tcW w:w="2880" w:type="dxa"/>
            <w:shd w:val="clear" w:color="auto" w:fill="FFFFFF"/>
            <w:vAlign w:val="center"/>
          </w:tcPr>
          <w:p w14:paraId="3DE4248A" w14:textId="77777777" w:rsidR="00CD1D74" w:rsidRPr="00EC55B3" w:rsidRDefault="00CD1D74" w:rsidP="00CD1D74">
            <w:pPr>
              <w:pStyle w:val="Header"/>
            </w:pPr>
            <w:r w:rsidRPr="00EC55B3">
              <w:t>Name</w:t>
            </w:r>
          </w:p>
        </w:tc>
        <w:tc>
          <w:tcPr>
            <w:tcW w:w="7560" w:type="dxa"/>
            <w:vAlign w:val="center"/>
          </w:tcPr>
          <w:p w14:paraId="745A94B3" w14:textId="7CA88C30" w:rsidR="00CD1D74" w:rsidRDefault="00CD1D74" w:rsidP="00CD1D74">
            <w:pPr>
              <w:pStyle w:val="NormalArial"/>
            </w:pPr>
            <w:r w:rsidRPr="0003430C">
              <w:t xml:space="preserve">Cameron </w:t>
            </w:r>
            <w:proofErr w:type="spellStart"/>
            <w:r w:rsidRPr="0003430C">
              <w:t>Poursoltan</w:t>
            </w:r>
            <w:proofErr w:type="spellEnd"/>
          </w:p>
        </w:tc>
      </w:tr>
      <w:tr w:rsidR="00CD1D74" w14:paraId="5203A315" w14:textId="77777777" w:rsidTr="00CD1D74">
        <w:trPr>
          <w:trHeight w:val="350"/>
        </w:trPr>
        <w:tc>
          <w:tcPr>
            <w:tcW w:w="2880" w:type="dxa"/>
            <w:shd w:val="clear" w:color="auto" w:fill="FFFFFF"/>
            <w:vAlign w:val="center"/>
          </w:tcPr>
          <w:p w14:paraId="0938B910" w14:textId="77777777" w:rsidR="00CD1D74" w:rsidRPr="00EC55B3" w:rsidRDefault="00CD1D74" w:rsidP="00CD1D74">
            <w:pPr>
              <w:pStyle w:val="Header"/>
            </w:pPr>
            <w:r w:rsidRPr="00EC55B3">
              <w:t>E-mail Address</w:t>
            </w:r>
          </w:p>
        </w:tc>
        <w:tc>
          <w:tcPr>
            <w:tcW w:w="7560" w:type="dxa"/>
            <w:vAlign w:val="center"/>
          </w:tcPr>
          <w:p w14:paraId="60204BAA" w14:textId="28FA8AA7" w:rsidR="00CD1D74" w:rsidRDefault="00CD1D74" w:rsidP="00CD1D74">
            <w:pPr>
              <w:pStyle w:val="NormalArial"/>
            </w:pPr>
            <w:hyperlink r:id="rId8" w:history="1">
              <w:r w:rsidRPr="009A0F48">
                <w:rPr>
                  <w:rStyle w:val="Hyperlink"/>
                </w:rPr>
                <w:t>Cameron@datacentercoalition.org</w:t>
              </w:r>
            </w:hyperlink>
          </w:p>
        </w:tc>
      </w:tr>
      <w:tr w:rsidR="00CD1D74" w14:paraId="10768D46" w14:textId="77777777" w:rsidTr="00CD1D74">
        <w:trPr>
          <w:trHeight w:val="350"/>
        </w:trPr>
        <w:tc>
          <w:tcPr>
            <w:tcW w:w="2880" w:type="dxa"/>
            <w:shd w:val="clear" w:color="auto" w:fill="FFFFFF"/>
            <w:vAlign w:val="center"/>
          </w:tcPr>
          <w:p w14:paraId="70942CCD" w14:textId="77777777" w:rsidR="00CD1D74" w:rsidRPr="00EC55B3" w:rsidRDefault="00CD1D74" w:rsidP="00CD1D74">
            <w:pPr>
              <w:pStyle w:val="Header"/>
            </w:pPr>
            <w:r w:rsidRPr="00EC55B3">
              <w:t>Company</w:t>
            </w:r>
          </w:p>
        </w:tc>
        <w:tc>
          <w:tcPr>
            <w:tcW w:w="7560" w:type="dxa"/>
            <w:vAlign w:val="center"/>
          </w:tcPr>
          <w:p w14:paraId="7F879BF2" w14:textId="74FAC295" w:rsidR="00CD1D74" w:rsidRDefault="00CD1D74" w:rsidP="00CD1D74">
            <w:pPr>
              <w:pStyle w:val="NormalArial"/>
            </w:pPr>
            <w:r w:rsidRPr="0003430C">
              <w:t>Data Center Coalition (DCC)</w:t>
            </w:r>
          </w:p>
        </w:tc>
      </w:tr>
      <w:tr w:rsidR="00CD1D74" w14:paraId="622D8542" w14:textId="77777777" w:rsidTr="00CD1D74">
        <w:trPr>
          <w:trHeight w:val="350"/>
        </w:trPr>
        <w:tc>
          <w:tcPr>
            <w:tcW w:w="2880" w:type="dxa"/>
            <w:tcBorders>
              <w:bottom w:val="single" w:sz="4" w:space="0" w:color="auto"/>
            </w:tcBorders>
            <w:shd w:val="clear" w:color="auto" w:fill="FFFFFF"/>
            <w:vAlign w:val="center"/>
          </w:tcPr>
          <w:p w14:paraId="2F1681BC" w14:textId="77777777" w:rsidR="00CD1D74" w:rsidRPr="00EC55B3" w:rsidRDefault="00CD1D74" w:rsidP="00CD1D74">
            <w:pPr>
              <w:pStyle w:val="Header"/>
            </w:pPr>
            <w:r w:rsidRPr="00EC55B3">
              <w:t>Phone Number</w:t>
            </w:r>
          </w:p>
        </w:tc>
        <w:tc>
          <w:tcPr>
            <w:tcW w:w="7560" w:type="dxa"/>
            <w:tcBorders>
              <w:bottom w:val="single" w:sz="4" w:space="0" w:color="auto"/>
            </w:tcBorders>
            <w:vAlign w:val="center"/>
          </w:tcPr>
          <w:p w14:paraId="0D7BD1D5" w14:textId="6E1BBDB2" w:rsidR="00CD1D74" w:rsidRDefault="00CD1D74" w:rsidP="00CD1D74">
            <w:pPr>
              <w:pStyle w:val="NormalArial"/>
            </w:pPr>
            <w:r w:rsidRPr="0003430C">
              <w:t xml:space="preserve"> </w:t>
            </w:r>
          </w:p>
        </w:tc>
      </w:tr>
      <w:tr w:rsidR="00CD1D74" w14:paraId="3D997D09" w14:textId="77777777" w:rsidTr="00CD1D74">
        <w:trPr>
          <w:trHeight w:val="350"/>
        </w:trPr>
        <w:tc>
          <w:tcPr>
            <w:tcW w:w="2880" w:type="dxa"/>
            <w:shd w:val="clear" w:color="auto" w:fill="FFFFFF"/>
            <w:vAlign w:val="center"/>
          </w:tcPr>
          <w:p w14:paraId="075E2D9D" w14:textId="77777777" w:rsidR="00CD1D74" w:rsidRPr="00EC55B3" w:rsidRDefault="00CD1D74" w:rsidP="00CD1D74">
            <w:pPr>
              <w:pStyle w:val="Header"/>
            </w:pPr>
            <w:r>
              <w:t>Cell</w:t>
            </w:r>
            <w:r w:rsidRPr="00EC55B3">
              <w:t xml:space="preserve"> Number</w:t>
            </w:r>
          </w:p>
        </w:tc>
        <w:tc>
          <w:tcPr>
            <w:tcW w:w="7560" w:type="dxa"/>
            <w:vAlign w:val="center"/>
          </w:tcPr>
          <w:p w14:paraId="4308A472" w14:textId="642B1B96" w:rsidR="00CD1D74" w:rsidRDefault="00CD1D74" w:rsidP="00CD1D74">
            <w:pPr>
              <w:pStyle w:val="NormalArial"/>
            </w:pPr>
            <w:r w:rsidRPr="0003430C">
              <w:t>713</w:t>
            </w:r>
            <w:r>
              <w:t>-</w:t>
            </w:r>
            <w:r w:rsidRPr="0003430C">
              <w:t>894-9933</w:t>
            </w:r>
          </w:p>
        </w:tc>
      </w:tr>
      <w:tr w:rsidR="00CD1D74" w14:paraId="218C930B" w14:textId="77777777" w:rsidTr="00CD1D74">
        <w:trPr>
          <w:trHeight w:val="350"/>
        </w:trPr>
        <w:tc>
          <w:tcPr>
            <w:tcW w:w="2880" w:type="dxa"/>
            <w:tcBorders>
              <w:bottom w:val="single" w:sz="4" w:space="0" w:color="auto"/>
            </w:tcBorders>
            <w:shd w:val="clear" w:color="auto" w:fill="FFFFFF"/>
            <w:vAlign w:val="center"/>
          </w:tcPr>
          <w:p w14:paraId="445E9105" w14:textId="77777777" w:rsidR="00CD1D74" w:rsidRPr="00EC55B3" w:rsidDel="00075A94" w:rsidRDefault="00CD1D74" w:rsidP="00CD1D74">
            <w:pPr>
              <w:pStyle w:val="Header"/>
            </w:pPr>
            <w:r>
              <w:t>Market Segment</w:t>
            </w:r>
          </w:p>
        </w:tc>
        <w:tc>
          <w:tcPr>
            <w:tcW w:w="7560" w:type="dxa"/>
            <w:tcBorders>
              <w:bottom w:val="single" w:sz="4" w:space="0" w:color="auto"/>
            </w:tcBorders>
            <w:vAlign w:val="center"/>
          </w:tcPr>
          <w:p w14:paraId="7AEE42FB" w14:textId="5A2A4B64" w:rsidR="00CD1D74" w:rsidRDefault="00CD1D74" w:rsidP="00CD1D74">
            <w:pPr>
              <w:pStyle w:val="NormalArial"/>
            </w:pPr>
            <w:r w:rsidRPr="0003430C">
              <w:t>Industrial Consumer</w:t>
            </w:r>
          </w:p>
        </w:tc>
      </w:tr>
    </w:tbl>
    <w:p w14:paraId="5EE762D1"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F038EC" w14:paraId="7DC04052" w14:textId="77777777" w:rsidTr="00F038EC">
        <w:trPr>
          <w:trHeight w:val="422"/>
          <w:jc w:val="center"/>
        </w:trPr>
        <w:tc>
          <w:tcPr>
            <w:tcW w:w="10440" w:type="dxa"/>
            <w:vAlign w:val="center"/>
          </w:tcPr>
          <w:p w14:paraId="6DC6C6A9" w14:textId="77777777" w:rsidR="00075A94" w:rsidRPr="00075A94" w:rsidRDefault="00075A94" w:rsidP="00F038EC">
            <w:pPr>
              <w:pStyle w:val="Header"/>
              <w:jc w:val="center"/>
            </w:pPr>
            <w:r w:rsidRPr="00075A94">
              <w:t>Comments</w:t>
            </w:r>
          </w:p>
        </w:tc>
      </w:tr>
    </w:tbl>
    <w:p w14:paraId="3E1B8728" w14:textId="3415ABCA" w:rsidR="00CD1D74" w:rsidRDefault="00CD1D74" w:rsidP="00CD1D74">
      <w:pPr>
        <w:pStyle w:val="NormalArial"/>
        <w:spacing w:before="120" w:after="120"/>
        <w:jc w:val="both"/>
      </w:pPr>
      <w:r>
        <w:t>The Data Center Coalition (DCC) is the national membershi</w:t>
      </w:r>
      <w:r w:rsidRPr="00CD1D74">
        <w:t xml:space="preserve">p </w:t>
      </w:r>
      <w:r w:rsidRPr="00CD1D74">
        <w:rPr>
          <w:rFonts w:eastAsia="Arial" w:cs="Arial"/>
          <w:lang w:val="en"/>
        </w:rPr>
        <w:t>association</w:t>
      </w:r>
      <w:r w:rsidRPr="00CD1D74">
        <w:rPr>
          <w:rFonts w:eastAsia="Arial" w:cs="Arial"/>
          <w:vertAlign w:val="superscript"/>
          <w:lang w:val="en"/>
        </w:rPr>
        <w:footnoteReference w:id="1"/>
      </w:r>
      <w:r w:rsidRPr="00CD1D74">
        <w:rPr>
          <w:rFonts w:eastAsia="Arial" w:cs="Arial"/>
          <w:lang w:val="en"/>
        </w:rPr>
        <w:t xml:space="preserve"> </w:t>
      </w:r>
      <w:r w:rsidRPr="00CD1D74">
        <w:t>for the</w:t>
      </w:r>
      <w:r>
        <w:t xml:space="preserve"> data center industry, representing leading data center owners and operators who maintain data center infrastructure across the country and globe, as well as companies that lease large amounts of data center capacity. DCC empowers and champions the data center community through public policy advocacy, thought leadership, stakeholder outreach, and community engagement. A vast majority of DCC member companies have teams, operations and infrastructure in the Lone Star State, and eleven companies are proudly headquartered within its borders. </w:t>
      </w:r>
    </w:p>
    <w:p w14:paraId="0B824E3D" w14:textId="74CC187A" w:rsidR="00CD1D74" w:rsidRDefault="00CD1D74" w:rsidP="00CD1D74">
      <w:pPr>
        <w:pStyle w:val="NormalArial"/>
        <w:spacing w:before="120" w:after="120"/>
        <w:jc w:val="both"/>
      </w:pPr>
      <w:r>
        <w:t xml:space="preserve">DCC urges ERCOT to further evaluate and refine </w:t>
      </w:r>
      <w:r>
        <w:t>Nodal Operating Guide Revision Request (</w:t>
      </w:r>
      <w:r>
        <w:t>NOGRR</w:t>
      </w:r>
      <w:r>
        <w:t>)</w:t>
      </w:r>
      <w:r>
        <w:t xml:space="preserve"> 282</w:t>
      </w:r>
      <w:r>
        <w:t xml:space="preserve">, </w:t>
      </w:r>
      <w:r w:rsidRPr="00CD1D74">
        <w:t>Board Priority - Large Electronic Load Ride-Through Requirements</w:t>
      </w:r>
      <w:r>
        <w:t>,</w:t>
      </w:r>
      <w:r>
        <w:t xml:space="preserve"> before advancing </w:t>
      </w:r>
      <w:r>
        <w:t>Planning Guide Revision Request (</w:t>
      </w:r>
      <w:r>
        <w:t>PGRR</w:t>
      </w:r>
      <w:r>
        <w:t>)</w:t>
      </w:r>
      <w:r>
        <w:t xml:space="preserve"> 144. Both proposals would benefit from additional analysis and stakeholder engagement prior to moving forward. NOGRR282 has not yet been finalized and continues to raise substantive questions that warrant further consideration. Nevertheless, the modeling and assumptions underpinning PGRR144 are heavily dependent on the requirements contemplated in NOGRR282. Advancing PGRR144 before NOGRR282 is finalized and sufficiently refined risks creating uncertainty and misalignment for </w:t>
      </w:r>
      <w:r>
        <w:t>M</w:t>
      </w:r>
      <w:r>
        <w:t xml:space="preserve">arket </w:t>
      </w:r>
      <w:r>
        <w:t>P</w:t>
      </w:r>
      <w:r>
        <w:t>articipants. Accordingly, DCC encourages ERCOT to take the necessary time to fully evaluate the combined implications of these proposals to ensure that companies can meaningfully and effectively comply. Given the significant challenges PGRR 144 presents for the data center industry, DCC offers the following comments.</w:t>
      </w:r>
    </w:p>
    <w:p w14:paraId="2100411F" w14:textId="77777777" w:rsidR="00CD1D74" w:rsidRPr="00CD1D74" w:rsidRDefault="00CD1D74" w:rsidP="00CD1D74">
      <w:pPr>
        <w:pStyle w:val="NormalArial"/>
        <w:spacing w:before="120" w:after="120"/>
        <w:jc w:val="both"/>
        <w:rPr>
          <w:b/>
          <w:bCs/>
        </w:rPr>
      </w:pPr>
      <w:r w:rsidRPr="00CD1D74">
        <w:rPr>
          <w:b/>
          <w:bCs/>
        </w:rPr>
        <w:t>Model Validation Challenges:</w:t>
      </w:r>
    </w:p>
    <w:p w14:paraId="21CEF644" w14:textId="697F29D8" w:rsidR="00CD1D74" w:rsidRDefault="00CD1D74" w:rsidP="00CD1D74">
      <w:pPr>
        <w:pStyle w:val="NormalArial"/>
        <w:spacing w:before="120" w:after="120"/>
        <w:jc w:val="both"/>
      </w:pPr>
      <w:r>
        <w:lastRenderedPageBreak/>
        <w:t xml:space="preserve">Validating and scaling up </w:t>
      </w:r>
      <w:r>
        <w:t>Large Electronic Load (</w:t>
      </w:r>
      <w:r>
        <w:t>LEL</w:t>
      </w:r>
      <w:r>
        <w:t>)</w:t>
      </w:r>
      <w:r>
        <w:t xml:space="preserve"> models often </w:t>
      </w:r>
      <w:proofErr w:type="gramStart"/>
      <w:r>
        <w:t>requires</w:t>
      </w:r>
      <w:proofErr w:type="gramEnd"/>
      <w:r>
        <w:t xml:space="preserve"> complex tests and scenarios. Typically, the hardware and firmware of those components, due to be installed in a couple of years, are in different stages of development and not finalized. PSCAD model development and validation is difficult for power shelf and mechanical variable frequency drive (VFD) manufacturers that are not familiar with PSCAD tools. Members of the DCC have been working with power shelf vendors for over 6 months with minimal progress. These vendors lack experience with PSCAD/EMT simulations which has slowed development of their power shelf transient models. Simulating VFD ride-through behavior is particularly challenging as it depends on rotating equipment inertia and control power supplies. Given that DCC members use VFDs from various manufacturers each with their own proprietary controls, pursuing PSCAD models from each vendor is impractical and will likely lead to incorrect data from vendors.</w:t>
      </w:r>
    </w:p>
    <w:p w14:paraId="1BCA446E" w14:textId="77777777" w:rsidR="00CD1D74" w:rsidRDefault="00CD1D74" w:rsidP="00CD1D74">
      <w:pPr>
        <w:pStyle w:val="NormalArial"/>
        <w:spacing w:before="120" w:after="120"/>
        <w:jc w:val="both"/>
      </w:pPr>
      <w:r>
        <w:t>Additionally, some PSCAD models developed by component vendors including power shelf technologies and VFDs involve intellectual property which creates challenges when trying to share with utilities or ERCOT.</w:t>
      </w:r>
    </w:p>
    <w:p w14:paraId="39AFEC81" w14:textId="77777777" w:rsidR="00CD1D74" w:rsidRDefault="00CD1D74" w:rsidP="00CD1D74">
      <w:pPr>
        <w:pStyle w:val="NormalArial"/>
        <w:spacing w:before="120" w:after="120"/>
        <w:jc w:val="both"/>
      </w:pPr>
      <w:r>
        <w:t xml:space="preserve">We request that ERCOT allow large loads with a realistic timeframe such as 1-2 years to develop accurate PSCAD models with component vendors and original equipment manufacturers (OEMs). In the interim, we propose providing time-series data of active power vs. time using default fault ride-through settings, backed by field measurements, test data and equipment specifications until PSCAD models are developed, tested, and validated.  </w:t>
      </w:r>
    </w:p>
    <w:p w14:paraId="2D10E1B6" w14:textId="77777777" w:rsidR="00CD1D74" w:rsidRDefault="00CD1D74" w:rsidP="00CD1D74">
      <w:pPr>
        <w:pStyle w:val="NormalArial"/>
        <w:spacing w:before="120" w:after="120"/>
        <w:jc w:val="both"/>
      </w:pPr>
      <w:r>
        <w:t xml:space="preserve">Specifically, we suggest adding the following comment or </w:t>
      </w:r>
      <w:proofErr w:type="gramStart"/>
      <w:r>
        <w:t>similar to</w:t>
      </w:r>
      <w:proofErr w:type="gramEnd"/>
      <w:r>
        <w:t xml:space="preserve"> the Dynamics Working Group Procedure Section 3.1.5.16 Large Load Model Quality Test section: “</w:t>
      </w:r>
      <w:r w:rsidRPr="00CD1D74">
        <w:rPr>
          <w:i/>
          <w:iCs/>
        </w:rPr>
        <w:t>If specific equipment original equipment manufacturers (OEM) PSCAD models are not available for components within the large load facility, measured field or test data that can be incorporated into a model can be provided</w:t>
      </w:r>
      <w:r>
        <w:t>.”</w:t>
      </w:r>
    </w:p>
    <w:p w14:paraId="7BAFDC94" w14:textId="77777777" w:rsidR="00CD1D74" w:rsidRPr="00CD1D74" w:rsidRDefault="00CD1D74" w:rsidP="00CD1D74">
      <w:pPr>
        <w:pStyle w:val="NormalArial"/>
        <w:spacing w:before="120" w:after="120"/>
        <w:jc w:val="both"/>
        <w:rPr>
          <w:b/>
          <w:bCs/>
        </w:rPr>
      </w:pPr>
      <w:r w:rsidRPr="00CD1D74">
        <w:rPr>
          <w:b/>
          <w:bCs/>
        </w:rPr>
        <w:t>Clarification for Model Quality Testing Curves:</w:t>
      </w:r>
    </w:p>
    <w:p w14:paraId="24AE1553" w14:textId="77777777" w:rsidR="00CD1D74" w:rsidRDefault="00CD1D74" w:rsidP="00CD1D74">
      <w:pPr>
        <w:pStyle w:val="NormalArial"/>
        <w:spacing w:before="120" w:after="120"/>
        <w:jc w:val="both"/>
      </w:pPr>
      <w:r>
        <w:t>In some cases, the proposed language from the NOGRR 282 referenced in the proposed revision to the Dynamics Working Group Procedure Section 3.1.5.16 Large Load Model Quality Test allows for different “Acceptable Load Real Power” behavior compared to the example curves. For example, the proposed NOGRR 282 language stating “</w:t>
      </w:r>
      <w:r w:rsidRPr="00CD1D74">
        <w:rPr>
          <w:i/>
          <w:iCs/>
        </w:rPr>
        <w:t xml:space="preserve">For voltages between 0.5 </w:t>
      </w:r>
      <w:proofErr w:type="spellStart"/>
      <w:r w:rsidRPr="00CD1D74">
        <w:rPr>
          <w:i/>
          <w:iCs/>
        </w:rPr>
        <w:t>pu</w:t>
      </w:r>
      <w:proofErr w:type="spellEnd"/>
      <w:r w:rsidRPr="00CD1D74">
        <w:rPr>
          <w:i/>
          <w:iCs/>
        </w:rPr>
        <w:t xml:space="preserve"> and 0.9 </w:t>
      </w:r>
      <w:proofErr w:type="spellStart"/>
      <w:r w:rsidRPr="00CD1D74">
        <w:rPr>
          <w:i/>
          <w:iCs/>
        </w:rPr>
        <w:t>pu</w:t>
      </w:r>
      <w:proofErr w:type="spellEnd"/>
      <w:r w:rsidRPr="00CD1D74">
        <w:rPr>
          <w:i/>
          <w:iCs/>
        </w:rPr>
        <w:t>, the LEL shall continue consuming active power from the grid but may reduce consumption proportional to the lower voltage. In addition, the load shall return to 90% consumption within 2 seconds of the voltage at the POIB returning to above 0.90 per-unit</w:t>
      </w:r>
      <w:r>
        <w:t>.” and the 100 MW linear load ramp shown in the “Deep Fault” region shortly after 15 seconds and return to 100% of load at 17 seconds may be performed differently in terms of the load ramp (linear vs. steps) and load can return to 0.90 per-unit of load or 90% of load.</w:t>
      </w:r>
    </w:p>
    <w:p w14:paraId="4574D8DC" w14:textId="77777777" w:rsidR="00CD1D74" w:rsidRDefault="00CD1D74" w:rsidP="00CD1D74">
      <w:pPr>
        <w:pStyle w:val="NormalArial"/>
        <w:spacing w:before="120" w:after="120"/>
        <w:jc w:val="both"/>
      </w:pPr>
      <w:r>
        <w:t xml:space="preserve">Another example is the “Shallow Fault” region and load activity at 12.5 seconds. Based on the proposed NOGR 282 language above, a voltage below 0.9 </w:t>
      </w:r>
      <w:proofErr w:type="spellStart"/>
      <w:r>
        <w:t>pu</w:t>
      </w:r>
      <w:proofErr w:type="spellEnd"/>
      <w:r>
        <w:t xml:space="preserve"> may result in a reduction of voltage for up to 2 seconds that returns to 0.90 </w:t>
      </w:r>
      <w:proofErr w:type="gramStart"/>
      <w:r>
        <w:t>per-unit</w:t>
      </w:r>
      <w:proofErr w:type="gramEnd"/>
      <w:r>
        <w:t xml:space="preserve"> of load (returning </w:t>
      </w:r>
      <w:r>
        <w:lastRenderedPageBreak/>
        <w:t xml:space="preserve">load to 90% by 14.5 seconds). We assume these curves are intended to be examples and we request that ERCOT confirm that a proposed model quality test would be based on NOGRR 282 requirements and not on example curves, or alternatively that clear language </w:t>
      </w:r>
      <w:proofErr w:type="gramStart"/>
      <w:r>
        <w:t>explain</w:t>
      </w:r>
      <w:proofErr w:type="gramEnd"/>
      <w:r>
        <w:t xml:space="preserve"> what the process would be if test behavior matches the proposed NOGRR 282 language but does not exactly match example curves.</w:t>
      </w:r>
    </w:p>
    <w:p w14:paraId="131B1D56" w14:textId="6B943562" w:rsidR="00FC013C" w:rsidRPr="00590165" w:rsidRDefault="00CD1D74" w:rsidP="00590165">
      <w:pPr>
        <w:pStyle w:val="NormalArial"/>
        <w:spacing w:before="120" w:after="120"/>
        <w:jc w:val="both"/>
      </w:pPr>
      <w:r>
        <w:t xml:space="preserve">We recommend language be added that suggests the following curves from the proposed revision to the Dynamics Working Group Procedure Section 3.1.5.16 Large Load Model Quality Test are examples of preferred behavior </w:t>
      </w:r>
      <w:proofErr w:type="gramStart"/>
      <w:r>
        <w:t>and that</w:t>
      </w:r>
      <w:proofErr w:type="gramEnd"/>
      <w:r>
        <w:t xml:space="preserve"> a satisfactory test result would be expected if models meet the requirements of NOGRR282 as opposed to exactly matching the example curves. Specifically, we suggest adding the following comment or similar: “</w:t>
      </w:r>
      <w:r w:rsidRPr="00CD1D74">
        <w:rPr>
          <w:i/>
          <w:iCs/>
        </w:rPr>
        <w:t>These curves are examples of preferred performance, and the exact voltage ride-through results may vary but must meet the requirements of Section 2.15 of the Nodal Operating Guide</w:t>
      </w:r>
      <w:r>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146F5ABF" w14:textId="77777777" w:rsidTr="00366799">
        <w:trPr>
          <w:trHeight w:val="350"/>
        </w:trPr>
        <w:tc>
          <w:tcPr>
            <w:tcW w:w="10440" w:type="dxa"/>
            <w:tcBorders>
              <w:bottom w:val="single" w:sz="4" w:space="0" w:color="auto"/>
            </w:tcBorders>
            <w:shd w:val="clear" w:color="auto" w:fill="FFFFFF"/>
            <w:vAlign w:val="center"/>
          </w:tcPr>
          <w:p w14:paraId="2946992F" w14:textId="77777777" w:rsidR="00FF5E88" w:rsidRDefault="00FF5E88" w:rsidP="00366799">
            <w:pPr>
              <w:pStyle w:val="Header"/>
              <w:jc w:val="center"/>
            </w:pPr>
            <w:r>
              <w:t>Revised Cover Page Language</w:t>
            </w:r>
          </w:p>
        </w:tc>
      </w:tr>
    </w:tbl>
    <w:p w14:paraId="0AAD970A" w14:textId="044E6CF9" w:rsidR="00152993" w:rsidRDefault="008076BF" w:rsidP="008076BF">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06814B3" w14:textId="77777777">
        <w:trPr>
          <w:trHeight w:val="350"/>
        </w:trPr>
        <w:tc>
          <w:tcPr>
            <w:tcW w:w="10440" w:type="dxa"/>
            <w:tcBorders>
              <w:bottom w:val="single" w:sz="4" w:space="0" w:color="auto"/>
            </w:tcBorders>
            <w:shd w:val="clear" w:color="auto" w:fill="FFFFFF"/>
            <w:vAlign w:val="center"/>
          </w:tcPr>
          <w:p w14:paraId="40881A5C" w14:textId="77777777" w:rsidR="00152993" w:rsidRDefault="00152993">
            <w:pPr>
              <w:pStyle w:val="Header"/>
              <w:jc w:val="center"/>
            </w:pPr>
            <w:r>
              <w:t xml:space="preserve">Revised Proposed </w:t>
            </w:r>
            <w:r w:rsidR="00C158EE">
              <w:t xml:space="preserve">Guide </w:t>
            </w:r>
            <w:r>
              <w:t>Language</w:t>
            </w:r>
          </w:p>
        </w:tc>
      </w:tr>
    </w:tbl>
    <w:p w14:paraId="71C4F4A4" w14:textId="2ECC62D6" w:rsidR="00782167" w:rsidRPr="00CD1D74" w:rsidRDefault="00CD1D74" w:rsidP="00CD1D74">
      <w:pPr>
        <w:pStyle w:val="NormalArial"/>
        <w:spacing w:before="120" w:after="120"/>
      </w:pPr>
      <w:r>
        <w:t>None</w:t>
      </w:r>
    </w:p>
    <w:sectPr w:rsidR="00782167" w:rsidRPr="00CD1D74" w:rsidSect="0074209E">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0534F" w14:textId="77777777" w:rsidR="006F5A38" w:rsidRDefault="006F5A38">
      <w:r>
        <w:separator/>
      </w:r>
    </w:p>
  </w:endnote>
  <w:endnote w:type="continuationSeparator" w:id="0">
    <w:p w14:paraId="6082E02E" w14:textId="77777777" w:rsidR="006F5A38" w:rsidRDefault="006F5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EDE4" w14:textId="3B08DAC9" w:rsidR="003D0994" w:rsidRDefault="008076BF" w:rsidP="0074209E">
    <w:pPr>
      <w:pStyle w:val="Footer"/>
      <w:tabs>
        <w:tab w:val="clear" w:pos="4320"/>
        <w:tab w:val="clear" w:pos="8640"/>
        <w:tab w:val="right" w:pos="9360"/>
      </w:tabs>
      <w:rPr>
        <w:rFonts w:ascii="Arial" w:hAnsi="Arial"/>
        <w:sz w:val="18"/>
      </w:rPr>
    </w:pPr>
    <w:r>
      <w:rPr>
        <w:rFonts w:ascii="Arial" w:hAnsi="Arial"/>
        <w:sz w:val="18"/>
      </w:rPr>
      <w:t>14</w:t>
    </w:r>
    <w:r w:rsidR="000C4F7F">
      <w:rPr>
        <w:rFonts w:ascii="Arial" w:hAnsi="Arial"/>
        <w:sz w:val="18"/>
      </w:rPr>
      <w:t>4</w:t>
    </w:r>
    <w:r w:rsidR="00170E84">
      <w:rPr>
        <w:rFonts w:ascii="Arial" w:hAnsi="Arial"/>
        <w:sz w:val="18"/>
      </w:rPr>
      <w:t>P</w:t>
    </w:r>
    <w:r w:rsidR="00C158EE">
      <w:rPr>
        <w:rFonts w:ascii="Arial" w:hAnsi="Arial"/>
        <w:sz w:val="18"/>
      </w:rPr>
      <w:t>GRR</w:t>
    </w:r>
    <w:r>
      <w:rPr>
        <w:rFonts w:ascii="Arial" w:hAnsi="Arial"/>
        <w:sz w:val="18"/>
      </w:rPr>
      <w:t>-0</w:t>
    </w:r>
    <w:r w:rsidR="00CD1D74">
      <w:rPr>
        <w:rFonts w:ascii="Arial" w:hAnsi="Arial"/>
        <w:sz w:val="18"/>
      </w:rPr>
      <w:t>7</w:t>
    </w:r>
    <w:r>
      <w:rPr>
        <w:rFonts w:ascii="Arial" w:hAnsi="Arial"/>
        <w:sz w:val="18"/>
      </w:rPr>
      <w:t xml:space="preserve"> </w:t>
    </w:r>
    <w:r w:rsidR="00CD1D74">
      <w:rPr>
        <w:rFonts w:ascii="Arial" w:hAnsi="Arial"/>
        <w:sz w:val="18"/>
      </w:rPr>
      <w:t>DCC</w:t>
    </w:r>
    <w:r w:rsidR="00C158EE">
      <w:rPr>
        <w:rFonts w:ascii="Arial" w:hAnsi="Arial"/>
        <w:sz w:val="18"/>
      </w:rPr>
      <w:t xml:space="preserve"> </w:t>
    </w:r>
    <w:r w:rsidR="007269C4">
      <w:rPr>
        <w:rFonts w:ascii="Arial" w:hAnsi="Arial"/>
        <w:sz w:val="18"/>
      </w:rPr>
      <w:t>Comment</w:t>
    </w:r>
    <w:r>
      <w:rPr>
        <w:rFonts w:ascii="Arial" w:hAnsi="Arial"/>
        <w:sz w:val="18"/>
      </w:rPr>
      <w:t>s</w:t>
    </w:r>
    <w:r w:rsidR="007269C4">
      <w:rPr>
        <w:rFonts w:ascii="Arial" w:hAnsi="Arial"/>
        <w:sz w:val="18"/>
      </w:rPr>
      <w:t xml:space="preserve"> </w:t>
    </w:r>
    <w:r>
      <w:rPr>
        <w:rFonts w:ascii="Arial" w:hAnsi="Arial"/>
        <w:sz w:val="18"/>
      </w:rPr>
      <w:t>03</w:t>
    </w:r>
    <w:r w:rsidR="00CD1D74">
      <w:rPr>
        <w:rFonts w:ascii="Arial" w:hAnsi="Arial"/>
        <w:sz w:val="18"/>
      </w:rPr>
      <w:t>30</w:t>
    </w:r>
    <w:r>
      <w:rPr>
        <w:rFonts w:ascii="Arial" w:hAnsi="Arial"/>
        <w:sz w:val="18"/>
      </w:rPr>
      <w:t>26</w:t>
    </w:r>
    <w:r w:rsidR="007269C4">
      <w:rPr>
        <w:rFonts w:ascii="Arial" w:hAnsi="Arial"/>
        <w:sz w:val="18"/>
      </w:rPr>
      <w:t xml:space="preserve">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5EBD11D4"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1915E" w14:textId="77777777" w:rsidR="006F5A38" w:rsidRDefault="006F5A38">
      <w:r>
        <w:separator/>
      </w:r>
    </w:p>
  </w:footnote>
  <w:footnote w:type="continuationSeparator" w:id="0">
    <w:p w14:paraId="51C91293" w14:textId="77777777" w:rsidR="006F5A38" w:rsidRDefault="006F5A38">
      <w:r>
        <w:continuationSeparator/>
      </w:r>
    </w:p>
  </w:footnote>
  <w:footnote w:id="1">
    <w:p w14:paraId="3E6C348E" w14:textId="77777777" w:rsidR="00CD1D74" w:rsidRPr="00CD1D74" w:rsidRDefault="00CD1D74" w:rsidP="00CD1D74">
      <w:pPr>
        <w:rPr>
          <w:rFonts w:ascii="Arial" w:hAnsi="Arial" w:cs="Arial"/>
          <w:sz w:val="18"/>
          <w:szCs w:val="18"/>
        </w:rPr>
      </w:pPr>
      <w:r w:rsidRPr="00CD1D74">
        <w:rPr>
          <w:rFonts w:ascii="Arial" w:hAnsi="Arial" w:cs="Arial"/>
          <w:sz w:val="18"/>
          <w:szCs w:val="18"/>
          <w:vertAlign w:val="superscript"/>
        </w:rPr>
        <w:footnoteRef/>
      </w:r>
      <w:r w:rsidRPr="00CD1D74">
        <w:rPr>
          <w:rFonts w:ascii="Arial" w:hAnsi="Arial" w:cs="Arial"/>
          <w:sz w:val="18"/>
          <w:szCs w:val="18"/>
        </w:rPr>
        <w:t xml:space="preserve"> The Data Center Coalition is a membership organization of leading data center owners and operators. Public testimony and written comments submitted by DCC do not necessarily reflect the views of each individual DCC member. A list of current DCC Members is accessible at </w:t>
      </w:r>
      <w:hyperlink r:id="rId1">
        <w:r w:rsidRPr="00CD1D74">
          <w:rPr>
            <w:rFonts w:ascii="Arial" w:hAnsi="Arial" w:cs="Arial"/>
            <w:color w:val="1155CC"/>
            <w:sz w:val="18"/>
            <w:szCs w:val="18"/>
            <w:u w:val="single"/>
          </w:rPr>
          <w:t>https://www.datacentercoalition.org/members</w:t>
        </w:r>
      </w:hyperlink>
      <w:r w:rsidRPr="00CD1D74">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E281" w14:textId="3CEFB6D5" w:rsidR="003D0994" w:rsidRPr="00EE32B1" w:rsidRDefault="00170E84" w:rsidP="00EE32B1">
    <w:pPr>
      <w:pStyle w:val="Header"/>
      <w:jc w:val="center"/>
      <w:rPr>
        <w:sz w:val="32"/>
      </w:rPr>
    </w:pPr>
    <w:r>
      <w:rPr>
        <w:sz w:val="32"/>
      </w:rPr>
      <w:t>P</w:t>
    </w:r>
    <w:r w:rsidR="00C158EE">
      <w:rPr>
        <w:sz w:val="32"/>
      </w:rPr>
      <w:t xml:space="preserve">GRR </w:t>
    </w:r>
    <w:r w:rsidR="003D0994">
      <w:rPr>
        <w:sz w:val="32"/>
      </w:rPr>
      <w:t>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203659F"/>
    <w:multiLevelType w:val="hybridMultilevel"/>
    <w:tmpl w:val="7CBE0046"/>
    <w:lvl w:ilvl="0" w:tplc="B832CD58">
      <w:start w:val="1"/>
      <w:numFmt w:val="bullet"/>
      <w:lvlText w:val="-"/>
      <w:lvlJc w:val="left"/>
      <w:pPr>
        <w:tabs>
          <w:tab w:val="num" w:pos="720"/>
        </w:tabs>
        <w:ind w:left="720" w:hanging="360"/>
      </w:pPr>
      <w:rPr>
        <w:rFonts w:ascii="Arial" w:hAnsi="Arial" w:hint="default"/>
      </w:rPr>
    </w:lvl>
    <w:lvl w:ilvl="1" w:tplc="2A3A4122" w:tentative="1">
      <w:start w:val="1"/>
      <w:numFmt w:val="bullet"/>
      <w:lvlText w:val="-"/>
      <w:lvlJc w:val="left"/>
      <w:pPr>
        <w:tabs>
          <w:tab w:val="num" w:pos="1440"/>
        </w:tabs>
        <w:ind w:left="1440" w:hanging="360"/>
      </w:pPr>
      <w:rPr>
        <w:rFonts w:ascii="Arial" w:hAnsi="Arial" w:hint="default"/>
      </w:rPr>
    </w:lvl>
    <w:lvl w:ilvl="2" w:tplc="3814D15E">
      <w:start w:val="1"/>
      <w:numFmt w:val="bullet"/>
      <w:lvlText w:val="-"/>
      <w:lvlJc w:val="left"/>
      <w:pPr>
        <w:tabs>
          <w:tab w:val="num" w:pos="2160"/>
        </w:tabs>
        <w:ind w:left="2160" w:hanging="360"/>
      </w:pPr>
      <w:rPr>
        <w:rFonts w:ascii="Arial" w:hAnsi="Arial" w:hint="default"/>
      </w:rPr>
    </w:lvl>
    <w:lvl w:ilvl="3" w:tplc="9AC272AA" w:tentative="1">
      <w:start w:val="1"/>
      <w:numFmt w:val="bullet"/>
      <w:lvlText w:val="-"/>
      <w:lvlJc w:val="left"/>
      <w:pPr>
        <w:tabs>
          <w:tab w:val="num" w:pos="2880"/>
        </w:tabs>
        <w:ind w:left="2880" w:hanging="360"/>
      </w:pPr>
      <w:rPr>
        <w:rFonts w:ascii="Arial" w:hAnsi="Arial" w:hint="default"/>
      </w:rPr>
    </w:lvl>
    <w:lvl w:ilvl="4" w:tplc="4FD6291E" w:tentative="1">
      <w:start w:val="1"/>
      <w:numFmt w:val="bullet"/>
      <w:lvlText w:val="-"/>
      <w:lvlJc w:val="left"/>
      <w:pPr>
        <w:tabs>
          <w:tab w:val="num" w:pos="3600"/>
        </w:tabs>
        <w:ind w:left="3600" w:hanging="360"/>
      </w:pPr>
      <w:rPr>
        <w:rFonts w:ascii="Arial" w:hAnsi="Arial" w:hint="default"/>
      </w:rPr>
    </w:lvl>
    <w:lvl w:ilvl="5" w:tplc="E0969CF4" w:tentative="1">
      <w:start w:val="1"/>
      <w:numFmt w:val="bullet"/>
      <w:lvlText w:val="-"/>
      <w:lvlJc w:val="left"/>
      <w:pPr>
        <w:tabs>
          <w:tab w:val="num" w:pos="4320"/>
        </w:tabs>
        <w:ind w:left="4320" w:hanging="360"/>
      </w:pPr>
      <w:rPr>
        <w:rFonts w:ascii="Arial" w:hAnsi="Arial" w:hint="default"/>
      </w:rPr>
    </w:lvl>
    <w:lvl w:ilvl="6" w:tplc="C62E5F78" w:tentative="1">
      <w:start w:val="1"/>
      <w:numFmt w:val="bullet"/>
      <w:lvlText w:val="-"/>
      <w:lvlJc w:val="left"/>
      <w:pPr>
        <w:tabs>
          <w:tab w:val="num" w:pos="5040"/>
        </w:tabs>
        <w:ind w:left="5040" w:hanging="360"/>
      </w:pPr>
      <w:rPr>
        <w:rFonts w:ascii="Arial" w:hAnsi="Arial" w:hint="default"/>
      </w:rPr>
    </w:lvl>
    <w:lvl w:ilvl="7" w:tplc="DD9E7F22" w:tentative="1">
      <w:start w:val="1"/>
      <w:numFmt w:val="bullet"/>
      <w:lvlText w:val="-"/>
      <w:lvlJc w:val="left"/>
      <w:pPr>
        <w:tabs>
          <w:tab w:val="num" w:pos="5760"/>
        </w:tabs>
        <w:ind w:left="5760" w:hanging="360"/>
      </w:pPr>
      <w:rPr>
        <w:rFonts w:ascii="Arial" w:hAnsi="Arial" w:hint="default"/>
      </w:rPr>
    </w:lvl>
    <w:lvl w:ilvl="8" w:tplc="D09C997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num w:numId="1" w16cid:durableId="278031682">
    <w:abstractNumId w:val="0"/>
  </w:num>
  <w:num w:numId="2" w16cid:durableId="1421099503">
    <w:abstractNumId w:val="18"/>
  </w:num>
  <w:num w:numId="3" w16cid:durableId="2101876533">
    <w:abstractNumId w:val="1"/>
  </w:num>
  <w:num w:numId="4" w16cid:durableId="2090686666">
    <w:abstractNumId w:val="8"/>
  </w:num>
  <w:num w:numId="5" w16cid:durableId="437800973">
    <w:abstractNumId w:val="14"/>
  </w:num>
  <w:num w:numId="6" w16cid:durableId="700282402">
    <w:abstractNumId w:val="16"/>
  </w:num>
  <w:num w:numId="7" w16cid:durableId="1309476948">
    <w:abstractNumId w:val="17"/>
  </w:num>
  <w:num w:numId="8" w16cid:durableId="550963706">
    <w:abstractNumId w:val="9"/>
  </w:num>
  <w:num w:numId="9" w16cid:durableId="1284192548">
    <w:abstractNumId w:val="15"/>
  </w:num>
  <w:num w:numId="10" w16cid:durableId="856843399">
    <w:abstractNumId w:val="3"/>
  </w:num>
  <w:num w:numId="11" w16cid:durableId="1171601898">
    <w:abstractNumId w:val="6"/>
  </w:num>
  <w:num w:numId="12" w16cid:durableId="190920732">
    <w:abstractNumId w:val="4"/>
  </w:num>
  <w:num w:numId="13" w16cid:durableId="519398895">
    <w:abstractNumId w:val="19"/>
  </w:num>
  <w:num w:numId="14" w16cid:durableId="935097043">
    <w:abstractNumId w:val="7"/>
  </w:num>
  <w:num w:numId="15" w16cid:durableId="2064131136">
    <w:abstractNumId w:val="11"/>
  </w:num>
  <w:num w:numId="16" w16cid:durableId="1268149142">
    <w:abstractNumId w:val="10"/>
  </w:num>
  <w:num w:numId="17" w16cid:durableId="81950189">
    <w:abstractNumId w:val="5"/>
  </w:num>
  <w:num w:numId="18" w16cid:durableId="2050251956">
    <w:abstractNumId w:val="13"/>
  </w:num>
  <w:num w:numId="19" w16cid:durableId="460730629">
    <w:abstractNumId w:val="12"/>
  </w:num>
  <w:num w:numId="20" w16cid:durableId="2147353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37668"/>
    <w:rsid w:val="00075A94"/>
    <w:rsid w:val="000C4F7F"/>
    <w:rsid w:val="00132855"/>
    <w:rsid w:val="00145D0D"/>
    <w:rsid w:val="00150529"/>
    <w:rsid w:val="00152993"/>
    <w:rsid w:val="0015543E"/>
    <w:rsid w:val="00160786"/>
    <w:rsid w:val="00170297"/>
    <w:rsid w:val="00170E84"/>
    <w:rsid w:val="001A227D"/>
    <w:rsid w:val="001C00E9"/>
    <w:rsid w:val="001E2032"/>
    <w:rsid w:val="001E3B47"/>
    <w:rsid w:val="00224855"/>
    <w:rsid w:val="00237F13"/>
    <w:rsid w:val="002771E6"/>
    <w:rsid w:val="00277E74"/>
    <w:rsid w:val="002A0C7A"/>
    <w:rsid w:val="002B5D7A"/>
    <w:rsid w:val="003010C0"/>
    <w:rsid w:val="00332A97"/>
    <w:rsid w:val="00350C00"/>
    <w:rsid w:val="00361927"/>
    <w:rsid w:val="00363097"/>
    <w:rsid w:val="003634D8"/>
    <w:rsid w:val="00366113"/>
    <w:rsid w:val="00366799"/>
    <w:rsid w:val="00397868"/>
    <w:rsid w:val="003C270C"/>
    <w:rsid w:val="003C405A"/>
    <w:rsid w:val="003D0994"/>
    <w:rsid w:val="003E7D74"/>
    <w:rsid w:val="003F4710"/>
    <w:rsid w:val="00423824"/>
    <w:rsid w:val="0043567D"/>
    <w:rsid w:val="00457F2A"/>
    <w:rsid w:val="004A4380"/>
    <w:rsid w:val="004B7B90"/>
    <w:rsid w:val="004E2C19"/>
    <w:rsid w:val="00516971"/>
    <w:rsid w:val="00574250"/>
    <w:rsid w:val="00590165"/>
    <w:rsid w:val="005D284C"/>
    <w:rsid w:val="005D7EC9"/>
    <w:rsid w:val="00615035"/>
    <w:rsid w:val="0062042B"/>
    <w:rsid w:val="00633E23"/>
    <w:rsid w:val="00673B94"/>
    <w:rsid w:val="0067507B"/>
    <w:rsid w:val="00680AC6"/>
    <w:rsid w:val="006835D8"/>
    <w:rsid w:val="006C316E"/>
    <w:rsid w:val="006D0F7C"/>
    <w:rsid w:val="006E05E0"/>
    <w:rsid w:val="006E0A1C"/>
    <w:rsid w:val="006F5A38"/>
    <w:rsid w:val="007230AB"/>
    <w:rsid w:val="007269C4"/>
    <w:rsid w:val="00734EAF"/>
    <w:rsid w:val="0074209E"/>
    <w:rsid w:val="00782167"/>
    <w:rsid w:val="007A7113"/>
    <w:rsid w:val="007D3CDD"/>
    <w:rsid w:val="007F105C"/>
    <w:rsid w:val="007F2CA8"/>
    <w:rsid w:val="007F7161"/>
    <w:rsid w:val="008076BF"/>
    <w:rsid w:val="00823E4A"/>
    <w:rsid w:val="0085559E"/>
    <w:rsid w:val="0088168A"/>
    <w:rsid w:val="00896B1B"/>
    <w:rsid w:val="008E559E"/>
    <w:rsid w:val="008F5ECE"/>
    <w:rsid w:val="00916080"/>
    <w:rsid w:val="00921A68"/>
    <w:rsid w:val="0093575A"/>
    <w:rsid w:val="009467B2"/>
    <w:rsid w:val="00952FA8"/>
    <w:rsid w:val="00960706"/>
    <w:rsid w:val="009708B4"/>
    <w:rsid w:val="0097171E"/>
    <w:rsid w:val="0098189C"/>
    <w:rsid w:val="009E180E"/>
    <w:rsid w:val="00A015C4"/>
    <w:rsid w:val="00A15172"/>
    <w:rsid w:val="00A414D2"/>
    <w:rsid w:val="00A45F54"/>
    <w:rsid w:val="00A51C5D"/>
    <w:rsid w:val="00A73B34"/>
    <w:rsid w:val="00A87EEC"/>
    <w:rsid w:val="00A95981"/>
    <w:rsid w:val="00AC2A11"/>
    <w:rsid w:val="00AC7AAC"/>
    <w:rsid w:val="00AF2017"/>
    <w:rsid w:val="00B00F68"/>
    <w:rsid w:val="00B4409E"/>
    <w:rsid w:val="00B845F9"/>
    <w:rsid w:val="00C00311"/>
    <w:rsid w:val="00C00540"/>
    <w:rsid w:val="00C0598D"/>
    <w:rsid w:val="00C11956"/>
    <w:rsid w:val="00C158EE"/>
    <w:rsid w:val="00C22875"/>
    <w:rsid w:val="00C36FA0"/>
    <w:rsid w:val="00C602E5"/>
    <w:rsid w:val="00C748FD"/>
    <w:rsid w:val="00C806BB"/>
    <w:rsid w:val="00CB1582"/>
    <w:rsid w:val="00CD1D74"/>
    <w:rsid w:val="00D02D38"/>
    <w:rsid w:val="00D24DCF"/>
    <w:rsid w:val="00D25392"/>
    <w:rsid w:val="00D2645F"/>
    <w:rsid w:val="00D4046E"/>
    <w:rsid w:val="00D6130C"/>
    <w:rsid w:val="00D62676"/>
    <w:rsid w:val="00DA18C8"/>
    <w:rsid w:val="00DB0063"/>
    <w:rsid w:val="00DC46CB"/>
    <w:rsid w:val="00DD4739"/>
    <w:rsid w:val="00DE53FF"/>
    <w:rsid w:val="00DE5F33"/>
    <w:rsid w:val="00E07B54"/>
    <w:rsid w:val="00E11F78"/>
    <w:rsid w:val="00E57E75"/>
    <w:rsid w:val="00E621E1"/>
    <w:rsid w:val="00E674AE"/>
    <w:rsid w:val="00EC55B3"/>
    <w:rsid w:val="00ED470A"/>
    <w:rsid w:val="00EE32B1"/>
    <w:rsid w:val="00F038EC"/>
    <w:rsid w:val="00F65EE8"/>
    <w:rsid w:val="00F80E3A"/>
    <w:rsid w:val="00F9399D"/>
    <w:rsid w:val="00F96FB2"/>
    <w:rsid w:val="00FA414F"/>
    <w:rsid w:val="00FB51D8"/>
    <w:rsid w:val="00FC013C"/>
    <w:rsid w:val="00FD08E8"/>
    <w:rsid w:val="00FE5B3D"/>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46801"/>
  <w15:chartTrackingRefBased/>
  <w15:docId w15:val="{A9F22D1A-C7C2-4272-8BEB-53626578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table" w:customStyle="1" w:styleId="BoxedLanguage">
    <w:name w:val="Boxed Language"/>
    <w:basedOn w:val="TableNormal"/>
    <w:rsid w:val="0098189C"/>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98189C"/>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98189C"/>
    <w:rPr>
      <w:sz w:val="18"/>
      <w:szCs w:val="20"/>
    </w:rPr>
  </w:style>
  <w:style w:type="character" w:customStyle="1" w:styleId="FootnoteTextChar">
    <w:name w:val="Footnote Text Char"/>
    <w:basedOn w:val="DefaultParagraphFont"/>
    <w:link w:val="FootnoteText"/>
    <w:rsid w:val="0098189C"/>
    <w:rPr>
      <w:sz w:val="18"/>
    </w:rPr>
  </w:style>
  <w:style w:type="paragraph" w:customStyle="1" w:styleId="Formula">
    <w:name w:val="Formula"/>
    <w:basedOn w:val="Normal"/>
    <w:autoRedefine/>
    <w:rsid w:val="0098189C"/>
    <w:pPr>
      <w:tabs>
        <w:tab w:val="left" w:pos="2340"/>
        <w:tab w:val="left" w:pos="3420"/>
      </w:tabs>
      <w:spacing w:after="240"/>
      <w:ind w:left="3420" w:hanging="2700"/>
    </w:pPr>
    <w:rPr>
      <w:bCs/>
    </w:rPr>
  </w:style>
  <w:style w:type="paragraph" w:customStyle="1" w:styleId="FormulaBold">
    <w:name w:val="Formula Bold"/>
    <w:basedOn w:val="Normal"/>
    <w:autoRedefine/>
    <w:rsid w:val="0098189C"/>
    <w:pPr>
      <w:tabs>
        <w:tab w:val="left" w:pos="2340"/>
        <w:tab w:val="left" w:pos="3420"/>
      </w:tabs>
      <w:spacing w:after="240"/>
      <w:ind w:left="3420" w:hanging="2700"/>
    </w:pPr>
    <w:rPr>
      <w:b/>
      <w:bCs/>
    </w:rPr>
  </w:style>
  <w:style w:type="table" w:customStyle="1" w:styleId="FormulaVariableTable">
    <w:name w:val="Formula Variable Table"/>
    <w:basedOn w:val="TableNormal"/>
    <w:rsid w:val="0098189C"/>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98189C"/>
    <w:pPr>
      <w:numPr>
        <w:ilvl w:val="0"/>
        <w:numId w:val="0"/>
      </w:numPr>
      <w:tabs>
        <w:tab w:val="left" w:pos="900"/>
      </w:tabs>
      <w:ind w:left="900" w:hanging="900"/>
    </w:pPr>
  </w:style>
  <w:style w:type="paragraph" w:customStyle="1" w:styleId="H3">
    <w:name w:val="H3"/>
    <w:basedOn w:val="Heading3"/>
    <w:next w:val="BodyText"/>
    <w:link w:val="H3Char"/>
    <w:rsid w:val="0098189C"/>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98189C"/>
    <w:pPr>
      <w:numPr>
        <w:ilvl w:val="0"/>
        <w:numId w:val="0"/>
      </w:numPr>
      <w:tabs>
        <w:tab w:val="left" w:pos="1260"/>
      </w:tabs>
      <w:spacing w:before="240"/>
      <w:ind w:left="1260" w:hanging="1260"/>
    </w:pPr>
  </w:style>
  <w:style w:type="paragraph" w:customStyle="1" w:styleId="H5">
    <w:name w:val="H5"/>
    <w:basedOn w:val="Heading5"/>
    <w:next w:val="BodyText"/>
    <w:rsid w:val="0098189C"/>
    <w:pPr>
      <w:keepNext/>
      <w:tabs>
        <w:tab w:val="left" w:pos="1620"/>
      </w:tabs>
      <w:spacing w:after="240"/>
      <w:ind w:left="1620" w:hanging="1620"/>
    </w:pPr>
    <w:rPr>
      <w:bCs/>
      <w:iCs/>
      <w:sz w:val="24"/>
      <w:szCs w:val="26"/>
    </w:rPr>
  </w:style>
  <w:style w:type="paragraph" w:customStyle="1" w:styleId="H6">
    <w:name w:val="H6"/>
    <w:basedOn w:val="Heading6"/>
    <w:next w:val="BodyText"/>
    <w:rsid w:val="0098189C"/>
    <w:pPr>
      <w:keepNext/>
      <w:tabs>
        <w:tab w:val="left" w:pos="1800"/>
      </w:tabs>
      <w:spacing w:after="240"/>
      <w:ind w:left="1800" w:hanging="1800"/>
    </w:pPr>
    <w:rPr>
      <w:bCs/>
      <w:sz w:val="24"/>
      <w:szCs w:val="22"/>
    </w:rPr>
  </w:style>
  <w:style w:type="paragraph" w:customStyle="1" w:styleId="H7">
    <w:name w:val="H7"/>
    <w:basedOn w:val="Heading7"/>
    <w:next w:val="BodyText"/>
    <w:rsid w:val="0098189C"/>
    <w:pPr>
      <w:keepNext/>
      <w:tabs>
        <w:tab w:val="left" w:pos="1980"/>
      </w:tabs>
      <w:spacing w:after="240"/>
      <w:ind w:left="1980" w:hanging="1980"/>
    </w:pPr>
    <w:rPr>
      <w:b/>
      <w:i/>
      <w:szCs w:val="24"/>
    </w:rPr>
  </w:style>
  <w:style w:type="paragraph" w:customStyle="1" w:styleId="H8">
    <w:name w:val="H8"/>
    <w:basedOn w:val="Heading8"/>
    <w:next w:val="BodyText"/>
    <w:rsid w:val="0098189C"/>
    <w:pPr>
      <w:keepNext/>
      <w:tabs>
        <w:tab w:val="left" w:pos="2160"/>
      </w:tabs>
      <w:spacing w:after="240"/>
      <w:ind w:left="2160" w:hanging="2160"/>
    </w:pPr>
    <w:rPr>
      <w:b/>
      <w:i w:val="0"/>
      <w:iCs/>
      <w:szCs w:val="24"/>
    </w:rPr>
  </w:style>
  <w:style w:type="paragraph" w:customStyle="1" w:styleId="H9">
    <w:name w:val="H9"/>
    <w:basedOn w:val="Heading9"/>
    <w:next w:val="BodyText"/>
    <w:rsid w:val="0098189C"/>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98189C"/>
    <w:pPr>
      <w:keepNext/>
      <w:spacing w:before="240" w:after="240"/>
    </w:pPr>
    <w:rPr>
      <w:b/>
      <w:iCs/>
      <w:szCs w:val="20"/>
    </w:rPr>
  </w:style>
  <w:style w:type="paragraph" w:customStyle="1" w:styleId="Instructions">
    <w:name w:val="Instructions"/>
    <w:basedOn w:val="BodyText"/>
    <w:rsid w:val="0098189C"/>
    <w:pPr>
      <w:spacing w:before="0" w:after="240"/>
    </w:pPr>
    <w:rPr>
      <w:b/>
      <w:i/>
      <w:iCs/>
    </w:rPr>
  </w:style>
  <w:style w:type="paragraph" w:styleId="List">
    <w:name w:val="List"/>
    <w:aliases w:val=" Char2 Char Char Char Char, Char2 Char, Char1,Char1,Char2 Char Char Char Char,Char2 Char"/>
    <w:basedOn w:val="Normal"/>
    <w:link w:val="ListChar"/>
    <w:rsid w:val="0098189C"/>
    <w:pPr>
      <w:spacing w:after="240"/>
      <w:ind w:left="720" w:hanging="720"/>
    </w:pPr>
    <w:rPr>
      <w:szCs w:val="20"/>
    </w:rPr>
  </w:style>
  <w:style w:type="paragraph" w:styleId="List2">
    <w:name w:val="List 2"/>
    <w:basedOn w:val="Normal"/>
    <w:rsid w:val="0098189C"/>
    <w:pPr>
      <w:spacing w:after="240"/>
      <w:ind w:left="1440" w:hanging="720"/>
    </w:pPr>
    <w:rPr>
      <w:szCs w:val="20"/>
    </w:rPr>
  </w:style>
  <w:style w:type="paragraph" w:styleId="List3">
    <w:name w:val="List 3"/>
    <w:basedOn w:val="Normal"/>
    <w:rsid w:val="0098189C"/>
    <w:pPr>
      <w:spacing w:after="240"/>
      <w:ind w:left="2160" w:hanging="720"/>
    </w:pPr>
    <w:rPr>
      <w:szCs w:val="20"/>
    </w:rPr>
  </w:style>
  <w:style w:type="paragraph" w:customStyle="1" w:styleId="ListIntroduction">
    <w:name w:val="List Introduction"/>
    <w:basedOn w:val="BodyText"/>
    <w:rsid w:val="0098189C"/>
    <w:pPr>
      <w:keepNext/>
      <w:spacing w:before="0" w:after="240"/>
    </w:pPr>
    <w:rPr>
      <w:iCs/>
      <w:szCs w:val="20"/>
    </w:rPr>
  </w:style>
  <w:style w:type="paragraph" w:customStyle="1" w:styleId="ListSub">
    <w:name w:val="List Sub"/>
    <w:basedOn w:val="List"/>
    <w:rsid w:val="0098189C"/>
    <w:pPr>
      <w:ind w:firstLine="0"/>
    </w:pPr>
  </w:style>
  <w:style w:type="character" w:styleId="PageNumber">
    <w:name w:val="page number"/>
    <w:basedOn w:val="DefaultParagraphFont"/>
    <w:rsid w:val="0098189C"/>
  </w:style>
  <w:style w:type="paragraph" w:customStyle="1" w:styleId="Spaceafterbox">
    <w:name w:val="Space after box"/>
    <w:basedOn w:val="Normal"/>
    <w:rsid w:val="0098189C"/>
    <w:rPr>
      <w:szCs w:val="20"/>
    </w:rPr>
  </w:style>
  <w:style w:type="paragraph" w:customStyle="1" w:styleId="TableBody">
    <w:name w:val="Table Body"/>
    <w:basedOn w:val="BodyText"/>
    <w:rsid w:val="0098189C"/>
    <w:pPr>
      <w:spacing w:before="0" w:after="60"/>
    </w:pPr>
    <w:rPr>
      <w:iCs/>
      <w:sz w:val="20"/>
      <w:szCs w:val="20"/>
    </w:rPr>
  </w:style>
  <w:style w:type="paragraph" w:customStyle="1" w:styleId="TableBullet">
    <w:name w:val="Table Bullet"/>
    <w:basedOn w:val="TableBody"/>
    <w:rsid w:val="0098189C"/>
    <w:pPr>
      <w:numPr>
        <w:numId w:val="4"/>
      </w:numPr>
      <w:ind w:left="0" w:firstLine="0"/>
    </w:pPr>
  </w:style>
  <w:style w:type="paragraph" w:customStyle="1" w:styleId="TableHead">
    <w:name w:val="Table Head"/>
    <w:basedOn w:val="BodyText"/>
    <w:rsid w:val="0098189C"/>
    <w:pPr>
      <w:spacing w:before="0" w:after="240"/>
    </w:pPr>
    <w:rPr>
      <w:b/>
      <w:iCs/>
      <w:sz w:val="20"/>
      <w:szCs w:val="20"/>
    </w:rPr>
  </w:style>
  <w:style w:type="paragraph" w:styleId="TOC1">
    <w:name w:val="toc 1"/>
    <w:basedOn w:val="Normal"/>
    <w:next w:val="Normal"/>
    <w:autoRedefine/>
    <w:rsid w:val="0098189C"/>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98189C"/>
    <w:pPr>
      <w:tabs>
        <w:tab w:val="left" w:pos="1260"/>
        <w:tab w:val="right" w:leader="dot" w:pos="9360"/>
      </w:tabs>
      <w:ind w:left="1260" w:right="720" w:hanging="720"/>
    </w:pPr>
    <w:rPr>
      <w:sz w:val="20"/>
      <w:szCs w:val="20"/>
    </w:rPr>
  </w:style>
  <w:style w:type="paragraph" w:styleId="TOC3">
    <w:name w:val="toc 3"/>
    <w:basedOn w:val="Normal"/>
    <w:next w:val="Normal"/>
    <w:autoRedefine/>
    <w:rsid w:val="0098189C"/>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98189C"/>
    <w:pPr>
      <w:tabs>
        <w:tab w:val="left" w:pos="2700"/>
        <w:tab w:val="right" w:leader="dot" w:pos="9360"/>
      </w:tabs>
      <w:ind w:left="2700" w:right="720" w:hanging="1080"/>
    </w:pPr>
    <w:rPr>
      <w:sz w:val="18"/>
      <w:szCs w:val="18"/>
    </w:rPr>
  </w:style>
  <w:style w:type="paragraph" w:styleId="TOC5">
    <w:name w:val="toc 5"/>
    <w:basedOn w:val="Normal"/>
    <w:next w:val="Normal"/>
    <w:autoRedefine/>
    <w:rsid w:val="0098189C"/>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98189C"/>
    <w:pPr>
      <w:tabs>
        <w:tab w:val="left" w:pos="4500"/>
        <w:tab w:val="right" w:leader="dot" w:pos="9360"/>
      </w:tabs>
      <w:ind w:left="4500" w:right="720" w:hanging="1440"/>
    </w:pPr>
    <w:rPr>
      <w:sz w:val="18"/>
      <w:szCs w:val="18"/>
    </w:rPr>
  </w:style>
  <w:style w:type="paragraph" w:styleId="TOC7">
    <w:name w:val="toc 7"/>
    <w:basedOn w:val="Normal"/>
    <w:next w:val="Normal"/>
    <w:autoRedefine/>
    <w:rsid w:val="0098189C"/>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98189C"/>
    <w:pPr>
      <w:ind w:left="1680"/>
    </w:pPr>
    <w:rPr>
      <w:sz w:val="18"/>
      <w:szCs w:val="18"/>
    </w:rPr>
  </w:style>
  <w:style w:type="paragraph" w:styleId="TOC9">
    <w:name w:val="toc 9"/>
    <w:basedOn w:val="Normal"/>
    <w:next w:val="Normal"/>
    <w:autoRedefine/>
    <w:rsid w:val="0098189C"/>
    <w:pPr>
      <w:ind w:left="1920"/>
    </w:pPr>
    <w:rPr>
      <w:sz w:val="18"/>
      <w:szCs w:val="18"/>
    </w:rPr>
  </w:style>
  <w:style w:type="paragraph" w:customStyle="1" w:styleId="VariableDefinition">
    <w:name w:val="Variable Definition"/>
    <w:basedOn w:val="BodyTextIndent"/>
    <w:rsid w:val="0098189C"/>
    <w:pPr>
      <w:tabs>
        <w:tab w:val="left" w:pos="2160"/>
      </w:tabs>
      <w:spacing w:before="0" w:after="240"/>
      <w:ind w:left="2160" w:hanging="1440"/>
      <w:contextualSpacing/>
    </w:pPr>
    <w:rPr>
      <w:iCs/>
      <w:szCs w:val="20"/>
    </w:rPr>
  </w:style>
  <w:style w:type="table" w:customStyle="1" w:styleId="VariableTable">
    <w:name w:val="Variable Table"/>
    <w:basedOn w:val="TableNormal"/>
    <w:rsid w:val="0098189C"/>
    <w:tblPr/>
  </w:style>
  <w:style w:type="character" w:customStyle="1" w:styleId="NormalArialChar">
    <w:name w:val="Normal+Arial Char"/>
    <w:link w:val="NormalArial"/>
    <w:rsid w:val="0098189C"/>
    <w:rPr>
      <w:rFonts w:ascii="Arial" w:hAnsi="Arial"/>
      <w:sz w:val="24"/>
      <w:szCs w:val="24"/>
    </w:rPr>
  </w:style>
  <w:style w:type="character" w:styleId="FollowedHyperlink">
    <w:name w:val="FollowedHyperlink"/>
    <w:rsid w:val="0098189C"/>
    <w:rPr>
      <w:color w:val="800080"/>
      <w:u w:val="single"/>
    </w:rPr>
  </w:style>
  <w:style w:type="paragraph" w:styleId="NormalWeb">
    <w:name w:val="Normal (Web)"/>
    <w:basedOn w:val="Normal"/>
    <w:uiPriority w:val="99"/>
    <w:unhideWhenUsed/>
    <w:rsid w:val="0098189C"/>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98189C"/>
    <w:rPr>
      <w:sz w:val="24"/>
    </w:rPr>
  </w:style>
  <w:style w:type="paragraph" w:styleId="Revision">
    <w:name w:val="Revision"/>
    <w:hidden/>
    <w:uiPriority w:val="99"/>
    <w:semiHidden/>
    <w:rsid w:val="0098189C"/>
    <w:rPr>
      <w:sz w:val="24"/>
      <w:szCs w:val="24"/>
    </w:rPr>
  </w:style>
  <w:style w:type="character" w:customStyle="1" w:styleId="H2Char">
    <w:name w:val="H2 Char"/>
    <w:link w:val="H2"/>
    <w:rsid w:val="0098189C"/>
    <w:rPr>
      <w:b/>
      <w:sz w:val="24"/>
    </w:rPr>
  </w:style>
  <w:style w:type="character" w:customStyle="1" w:styleId="CommentTextChar">
    <w:name w:val="Comment Text Char"/>
    <w:basedOn w:val="DefaultParagraphFont"/>
    <w:link w:val="CommentText"/>
    <w:semiHidden/>
    <w:rsid w:val="0098189C"/>
  </w:style>
  <w:style w:type="character" w:styleId="UnresolvedMention">
    <w:name w:val="Unresolved Mention"/>
    <w:basedOn w:val="DefaultParagraphFont"/>
    <w:uiPriority w:val="99"/>
    <w:unhideWhenUsed/>
    <w:rsid w:val="0098189C"/>
    <w:rPr>
      <w:color w:val="605E5C"/>
      <w:shd w:val="clear" w:color="auto" w:fill="E1DFDD"/>
    </w:rPr>
  </w:style>
  <w:style w:type="character" w:styleId="Mention">
    <w:name w:val="Mention"/>
    <w:basedOn w:val="DefaultParagraphFont"/>
    <w:uiPriority w:val="99"/>
    <w:unhideWhenUsed/>
    <w:rsid w:val="0098189C"/>
    <w:rPr>
      <w:color w:val="2B579A"/>
      <w:shd w:val="clear" w:color="auto" w:fill="E1DFDD"/>
    </w:rPr>
  </w:style>
  <w:style w:type="paragraph" w:styleId="ListParagraph">
    <w:name w:val="List Paragraph"/>
    <w:basedOn w:val="Normal"/>
    <w:uiPriority w:val="34"/>
    <w:qFormat/>
    <w:rsid w:val="0098189C"/>
    <w:pPr>
      <w:ind w:left="720"/>
      <w:contextualSpacing/>
    </w:pPr>
  </w:style>
  <w:style w:type="character" w:customStyle="1" w:styleId="H3Char">
    <w:name w:val="H3 Char"/>
    <w:link w:val="H3"/>
    <w:rsid w:val="0098189C"/>
    <w:rPr>
      <w:b/>
      <w:bCs/>
      <w:i/>
      <w:sz w:val="24"/>
    </w:rPr>
  </w:style>
  <w:style w:type="paragraph" w:customStyle="1" w:styleId="BodyTextNumbered">
    <w:name w:val="Body Text Numbered"/>
    <w:basedOn w:val="BodyText"/>
    <w:link w:val="BodyTextNumberedChar1"/>
    <w:rsid w:val="0098189C"/>
    <w:pPr>
      <w:spacing w:before="0" w:after="240"/>
      <w:ind w:left="720" w:hanging="720"/>
    </w:pPr>
    <w:rPr>
      <w:iCs/>
      <w:szCs w:val="20"/>
      <w:lang w:val="x-none" w:eastAsia="x-none"/>
    </w:rPr>
  </w:style>
  <w:style w:type="character" w:customStyle="1" w:styleId="BodyTextNumberedChar1">
    <w:name w:val="Body Text Numbered Char1"/>
    <w:link w:val="BodyTextNumbered"/>
    <w:rsid w:val="0098189C"/>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0528">
      <w:bodyDiv w:val="1"/>
      <w:marLeft w:val="0"/>
      <w:marRight w:val="0"/>
      <w:marTop w:val="0"/>
      <w:marBottom w:val="0"/>
      <w:divBdr>
        <w:top w:val="none" w:sz="0" w:space="0" w:color="auto"/>
        <w:left w:val="none" w:sz="0" w:space="0" w:color="auto"/>
        <w:bottom w:val="none" w:sz="0" w:space="0" w:color="auto"/>
        <w:right w:val="none" w:sz="0" w:space="0" w:color="auto"/>
      </w:divBdr>
    </w:div>
    <w:div w:id="231892564">
      <w:bodyDiv w:val="1"/>
      <w:marLeft w:val="0"/>
      <w:marRight w:val="0"/>
      <w:marTop w:val="0"/>
      <w:marBottom w:val="0"/>
      <w:divBdr>
        <w:top w:val="none" w:sz="0" w:space="0" w:color="auto"/>
        <w:left w:val="none" w:sz="0" w:space="0" w:color="auto"/>
        <w:bottom w:val="none" w:sz="0" w:space="0" w:color="auto"/>
        <w:right w:val="none" w:sz="0" w:space="0" w:color="auto"/>
      </w:divBdr>
    </w:div>
    <w:div w:id="659315487">
      <w:bodyDiv w:val="1"/>
      <w:marLeft w:val="0"/>
      <w:marRight w:val="0"/>
      <w:marTop w:val="0"/>
      <w:marBottom w:val="0"/>
      <w:divBdr>
        <w:top w:val="none" w:sz="0" w:space="0" w:color="auto"/>
        <w:left w:val="none" w:sz="0" w:space="0" w:color="auto"/>
        <w:bottom w:val="none" w:sz="0" w:space="0" w:color="auto"/>
        <w:right w:val="none" w:sz="0" w:space="0" w:color="auto"/>
      </w:divBdr>
    </w:div>
    <w:div w:id="695890595">
      <w:bodyDiv w:val="1"/>
      <w:marLeft w:val="0"/>
      <w:marRight w:val="0"/>
      <w:marTop w:val="0"/>
      <w:marBottom w:val="0"/>
      <w:divBdr>
        <w:top w:val="none" w:sz="0" w:space="0" w:color="auto"/>
        <w:left w:val="none" w:sz="0" w:space="0" w:color="auto"/>
        <w:bottom w:val="none" w:sz="0" w:space="0" w:color="auto"/>
        <w:right w:val="none" w:sz="0" w:space="0" w:color="auto"/>
      </w:divBdr>
    </w:div>
    <w:div w:id="831795542">
      <w:bodyDiv w:val="1"/>
      <w:marLeft w:val="0"/>
      <w:marRight w:val="0"/>
      <w:marTop w:val="0"/>
      <w:marBottom w:val="0"/>
      <w:divBdr>
        <w:top w:val="none" w:sz="0" w:space="0" w:color="auto"/>
        <w:left w:val="none" w:sz="0" w:space="0" w:color="auto"/>
        <w:bottom w:val="none" w:sz="0" w:space="0" w:color="auto"/>
        <w:right w:val="none" w:sz="0" w:space="0" w:color="auto"/>
      </w:divBdr>
    </w:div>
    <w:div w:id="1008675826">
      <w:bodyDiv w:val="1"/>
      <w:marLeft w:val="0"/>
      <w:marRight w:val="0"/>
      <w:marTop w:val="0"/>
      <w:marBottom w:val="0"/>
      <w:divBdr>
        <w:top w:val="none" w:sz="0" w:space="0" w:color="auto"/>
        <w:left w:val="none" w:sz="0" w:space="0" w:color="auto"/>
        <w:bottom w:val="none" w:sz="0" w:space="0" w:color="auto"/>
        <w:right w:val="none" w:sz="0" w:space="0" w:color="auto"/>
      </w:divBdr>
    </w:div>
    <w:div w:id="1082533749">
      <w:bodyDiv w:val="1"/>
      <w:marLeft w:val="0"/>
      <w:marRight w:val="0"/>
      <w:marTop w:val="0"/>
      <w:marBottom w:val="0"/>
      <w:divBdr>
        <w:top w:val="none" w:sz="0" w:space="0" w:color="auto"/>
        <w:left w:val="none" w:sz="0" w:space="0" w:color="auto"/>
        <w:bottom w:val="none" w:sz="0" w:space="0" w:color="auto"/>
        <w:right w:val="none" w:sz="0" w:space="0" w:color="auto"/>
      </w:divBdr>
      <w:divsChild>
        <w:div w:id="949318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006139">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453013117">
      <w:bodyDiv w:val="1"/>
      <w:marLeft w:val="0"/>
      <w:marRight w:val="0"/>
      <w:marTop w:val="0"/>
      <w:marBottom w:val="0"/>
      <w:divBdr>
        <w:top w:val="none" w:sz="0" w:space="0" w:color="auto"/>
        <w:left w:val="none" w:sz="0" w:space="0" w:color="auto"/>
        <w:bottom w:val="none" w:sz="0" w:space="0" w:color="auto"/>
        <w:right w:val="none" w:sz="0" w:space="0" w:color="auto"/>
      </w:divBdr>
    </w:div>
    <w:div w:id="1511331634">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591234124">
      <w:bodyDiv w:val="1"/>
      <w:marLeft w:val="0"/>
      <w:marRight w:val="0"/>
      <w:marTop w:val="0"/>
      <w:marBottom w:val="0"/>
      <w:divBdr>
        <w:top w:val="none" w:sz="0" w:space="0" w:color="auto"/>
        <w:left w:val="none" w:sz="0" w:space="0" w:color="auto"/>
        <w:bottom w:val="none" w:sz="0" w:space="0" w:color="auto"/>
        <w:right w:val="none" w:sz="0" w:space="0" w:color="auto"/>
      </w:divBdr>
      <w:divsChild>
        <w:div w:id="1969704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928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eron@datacentercoalition.org" TargetMode="External"/><Relationship Id="rId3" Type="http://schemas.openxmlformats.org/officeDocument/2006/relationships/settings" Target="settings.xml"/><Relationship Id="rId7" Type="http://schemas.openxmlformats.org/officeDocument/2006/relationships/hyperlink" Target="https://www.ercot.com/mktrules/issues/PGRR14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datacentercoalition.org/me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945</Words>
  <Characters>5520</Characters>
  <Application>Microsoft Office Word</Application>
  <DocSecurity>0</DocSecurity>
  <Lines>145</Lines>
  <Paragraphs>55</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032726</cp:lastModifiedBy>
  <cp:revision>3</cp:revision>
  <cp:lastPrinted>2001-06-20T16:28:00Z</cp:lastPrinted>
  <dcterms:created xsi:type="dcterms:W3CDTF">2026-03-30T21:22:00Z</dcterms:created>
  <dcterms:modified xsi:type="dcterms:W3CDTF">2026-03-30T21:37:00Z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2026-03-05T22:21:42Z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443c863b-2182-4958-995d-39fbf727035a</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