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0796423C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00E716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CADFD0E" w14:textId="4A05790E" w:rsidR="00152993" w:rsidRDefault="00695331" w:rsidP="009047C0">
            <w:pPr>
              <w:pStyle w:val="Header"/>
              <w:jc w:val="center"/>
            </w:pPr>
            <w:hyperlink r:id="rId11" w:history="1">
              <w:r w:rsidR="00E928BC" w:rsidRPr="00695331">
                <w:rPr>
                  <w:rStyle w:val="Hyperlink"/>
                </w:rPr>
                <w:t>1315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D1AF32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4C3AD1FA" w14:textId="1D0DA569" w:rsidR="00152993" w:rsidRDefault="004B19C9" w:rsidP="009047C0">
            <w:pPr>
              <w:pStyle w:val="Header"/>
              <w:spacing w:before="120" w:after="120"/>
            </w:pPr>
            <w:r w:rsidRPr="004B19C9">
              <w:t>Changes to Process of Evaluating the Potential Needs for Additional Capacity</w:t>
            </w:r>
          </w:p>
        </w:tc>
      </w:tr>
      <w:tr w:rsidR="00152993" w14:paraId="63C29445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77A62E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2EF6E5" w14:textId="77777777" w:rsidR="00152993" w:rsidRDefault="00152993">
            <w:pPr>
              <w:pStyle w:val="NormalArial"/>
            </w:pPr>
          </w:p>
        </w:tc>
      </w:tr>
      <w:tr w:rsidR="00152993" w14:paraId="0457272D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62E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17C1" w14:textId="26F0A2FB" w:rsidR="00152993" w:rsidRDefault="004B19C9">
            <w:pPr>
              <w:pStyle w:val="NormalArial"/>
            </w:pPr>
            <w:r w:rsidRPr="00967550">
              <w:t xml:space="preserve">March </w:t>
            </w:r>
            <w:r w:rsidR="00967550" w:rsidRPr="00AD47DB">
              <w:t>24</w:t>
            </w:r>
            <w:r w:rsidRPr="00967550">
              <w:t>, 2026</w:t>
            </w:r>
          </w:p>
        </w:tc>
      </w:tr>
      <w:tr w:rsidR="00152993" w14:paraId="28798132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869795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1E561" w14:textId="77777777" w:rsidR="00152993" w:rsidRDefault="00152993">
            <w:pPr>
              <w:pStyle w:val="NormalArial"/>
            </w:pPr>
          </w:p>
        </w:tc>
      </w:tr>
      <w:tr w:rsidR="00152993" w14:paraId="31385822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5E3587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1396DF1A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5999CCE4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7C563E09" w14:textId="4BE27E81" w:rsidR="00152993" w:rsidRDefault="004B19C9">
            <w:pPr>
              <w:pStyle w:val="NormalArial"/>
            </w:pPr>
            <w:r>
              <w:t>Michael Reinisch</w:t>
            </w:r>
          </w:p>
        </w:tc>
      </w:tr>
      <w:tr w:rsidR="00152993" w14:paraId="3F8063BB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1DF9976E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0B33062B" w14:textId="631E1801" w:rsidR="00152993" w:rsidRDefault="00695331">
            <w:pPr>
              <w:pStyle w:val="NormalArial"/>
            </w:pPr>
            <w:hyperlink r:id="rId12" w:history="1">
              <w:r w:rsidRPr="007D4B66">
                <w:rPr>
                  <w:rStyle w:val="Hyperlink"/>
                </w:rPr>
                <w:t>mreinisch@potomaceconomics.com</w:t>
              </w:r>
            </w:hyperlink>
            <w:r>
              <w:t xml:space="preserve"> </w:t>
            </w:r>
          </w:p>
        </w:tc>
      </w:tr>
      <w:tr w:rsidR="00152993" w14:paraId="5A62F01A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B7EDB0B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0CA6143C" w14:textId="22C47133" w:rsidR="00152993" w:rsidRDefault="004032C0">
            <w:pPr>
              <w:pStyle w:val="NormalArial"/>
            </w:pPr>
            <w:r>
              <w:t>Potomac Economics</w:t>
            </w:r>
          </w:p>
        </w:tc>
      </w:tr>
      <w:tr w:rsidR="00152993" w14:paraId="76DB17F9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A1F907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0DB4462" w14:textId="77777777" w:rsidR="00152993" w:rsidRDefault="00152993">
            <w:pPr>
              <w:pStyle w:val="NormalArial"/>
            </w:pPr>
          </w:p>
        </w:tc>
      </w:tr>
      <w:tr w:rsidR="00152993" w14:paraId="7146BD81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4E33AA63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gridSpan w:val="2"/>
            <w:vAlign w:val="center"/>
          </w:tcPr>
          <w:p w14:paraId="2F1C71CE" w14:textId="77777777" w:rsidR="00152993" w:rsidRDefault="00152993">
            <w:pPr>
              <w:pStyle w:val="NormalArial"/>
            </w:pPr>
          </w:p>
        </w:tc>
      </w:tr>
      <w:tr w:rsidR="00075A94" w14:paraId="7919F9BF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1E0FD9E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6F6E64B2" w14:textId="4677A29F" w:rsidR="00075A94" w:rsidRDefault="004032C0">
            <w:pPr>
              <w:pStyle w:val="NormalArial"/>
            </w:pPr>
            <w:r>
              <w:t>Independent Market Monitor</w:t>
            </w:r>
          </w:p>
        </w:tc>
      </w:tr>
    </w:tbl>
    <w:p w14:paraId="748F029A" w14:textId="77777777" w:rsidR="00152993" w:rsidRDefault="00152993">
      <w:pPr>
        <w:pStyle w:val="NormalArial"/>
      </w:pPr>
    </w:p>
    <w:p w14:paraId="2D63D5A4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4841B3A6" w14:textId="77777777" w:rsidTr="00B5080A">
        <w:trPr>
          <w:trHeight w:val="422"/>
          <w:jc w:val="center"/>
        </w:trPr>
        <w:tc>
          <w:tcPr>
            <w:tcW w:w="10440" w:type="dxa"/>
            <w:vAlign w:val="center"/>
          </w:tcPr>
          <w:p w14:paraId="6A07CC9E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1B95B083" w14:textId="77777777" w:rsidR="00152993" w:rsidRDefault="00152993">
      <w:pPr>
        <w:pStyle w:val="NormalArial"/>
      </w:pPr>
    </w:p>
    <w:p w14:paraId="58A156D3" w14:textId="7D1B1C0B" w:rsidR="00BD7258" w:rsidRDefault="004B19C9" w:rsidP="00BD7258">
      <w:pPr>
        <w:pStyle w:val="NormalArial"/>
      </w:pPr>
      <w:r>
        <w:t xml:space="preserve">The IMM appreciates the opportunity to </w:t>
      </w:r>
      <w:r w:rsidR="006E2C0F">
        <w:t xml:space="preserve">comment on </w:t>
      </w:r>
      <w:r w:rsidR="00695331">
        <w:t>Nodal Protocol Revision Request (</w:t>
      </w:r>
      <w:r w:rsidR="006E2C0F">
        <w:t>NPRR</w:t>
      </w:r>
      <w:r w:rsidR="00695331">
        <w:t>)</w:t>
      </w:r>
      <w:r w:rsidR="006E2C0F">
        <w:t xml:space="preserve"> 1315</w:t>
      </w:r>
      <w:r w:rsidR="00B03701">
        <w:t xml:space="preserve"> and ERCOT’s proposed changes to the way that contracts for capacity</w:t>
      </w:r>
      <w:r w:rsidR="00C201D3">
        <w:t xml:space="preserve"> (C4C)</w:t>
      </w:r>
      <w:r w:rsidR="00B03701">
        <w:t xml:space="preserve"> take place. </w:t>
      </w:r>
      <w:r w:rsidR="00695331">
        <w:t xml:space="preserve"> </w:t>
      </w:r>
      <w:r w:rsidR="00B843E0">
        <w:t xml:space="preserve">Our initial </w:t>
      </w:r>
      <w:r w:rsidR="00167679">
        <w:t>concerns with NPRR1315 spanned a large range of issues</w:t>
      </w:r>
      <w:r w:rsidR="00F73568">
        <w:t>, b</w:t>
      </w:r>
      <w:r w:rsidR="003401D7">
        <w:t xml:space="preserve">ut ERCOT’s comments posted on March 9, </w:t>
      </w:r>
      <w:proofErr w:type="gramStart"/>
      <w:r w:rsidR="003401D7">
        <w:t>2026,</w:t>
      </w:r>
      <w:proofErr w:type="gramEnd"/>
      <w:r w:rsidR="003401D7">
        <w:t xml:space="preserve"> addressed most </w:t>
      </w:r>
      <w:r w:rsidR="000745F3">
        <w:t xml:space="preserve">of our concerns. </w:t>
      </w:r>
      <w:r w:rsidR="00695331">
        <w:t xml:space="preserve"> </w:t>
      </w:r>
      <w:r w:rsidR="005F705E">
        <w:t>Below, we</w:t>
      </w:r>
      <w:r w:rsidR="00FC7132">
        <w:t xml:space="preserve"> list these concerns and how </w:t>
      </w:r>
      <w:r w:rsidR="002858F9">
        <w:t xml:space="preserve">they are now addressed and then describe our remaining concerns. </w:t>
      </w:r>
    </w:p>
    <w:p w14:paraId="1563B324" w14:textId="77777777" w:rsidR="002858F9" w:rsidRDefault="002858F9" w:rsidP="00BD7258">
      <w:pPr>
        <w:pStyle w:val="NormalArial"/>
      </w:pPr>
    </w:p>
    <w:p w14:paraId="17C3ED72" w14:textId="100A06F2" w:rsidR="002858F9" w:rsidRPr="006F0EDC" w:rsidRDefault="005C7E8E" w:rsidP="00F056D3">
      <w:pPr>
        <w:pStyle w:val="NormalArial"/>
        <w:spacing w:after="120"/>
        <w:rPr>
          <w:b/>
          <w:bCs/>
          <w:u w:val="single"/>
        </w:rPr>
      </w:pPr>
      <w:r>
        <w:rPr>
          <w:b/>
          <w:bCs/>
          <w:u w:val="single"/>
        </w:rPr>
        <w:t>Addressed</w:t>
      </w:r>
      <w:r w:rsidR="006F0EDC" w:rsidRPr="006F0EDC">
        <w:rPr>
          <w:b/>
          <w:bCs/>
          <w:u w:val="single"/>
        </w:rPr>
        <w:t xml:space="preserve"> Concerns</w:t>
      </w:r>
    </w:p>
    <w:p w14:paraId="62065F07" w14:textId="33CEBBE2" w:rsidR="006F0EDC" w:rsidRDefault="00A07321" w:rsidP="00394B27">
      <w:pPr>
        <w:pStyle w:val="NormalArial"/>
        <w:spacing w:after="120"/>
      </w:pPr>
      <w:r w:rsidRPr="008726C5">
        <w:rPr>
          <w:b/>
          <w:bCs/>
        </w:rPr>
        <w:t>Incentive Factor</w:t>
      </w:r>
      <w:r>
        <w:t xml:space="preserve"> –</w:t>
      </w:r>
      <w:r w:rsidR="0058545B">
        <w:t xml:space="preserve"> In the initial proposal, any incentive factor would have been possible. </w:t>
      </w:r>
      <w:r w:rsidR="00695331">
        <w:t xml:space="preserve"> </w:t>
      </w:r>
      <w:r w:rsidR="0058545B">
        <w:t>We</w:t>
      </w:r>
      <w:r w:rsidR="00AF0064">
        <w:t xml:space="preserve"> support the removal of that language and that the incentive factor </w:t>
      </w:r>
      <w:r w:rsidR="008726C5">
        <w:t xml:space="preserve">be </w:t>
      </w:r>
      <w:r w:rsidR="00F36640">
        <w:t xml:space="preserve">set </w:t>
      </w:r>
      <w:r w:rsidR="008726C5">
        <w:t xml:space="preserve">equal to that in </w:t>
      </w:r>
      <w:r w:rsidR="00695331">
        <w:t>Reliability Must-Run (</w:t>
      </w:r>
      <w:r w:rsidR="008726C5">
        <w:t>RMR</w:t>
      </w:r>
      <w:r w:rsidR="00695331">
        <w:t>)</w:t>
      </w:r>
      <w:r w:rsidR="008726C5">
        <w:t xml:space="preserve"> contracts (i.e. 10%). </w:t>
      </w:r>
    </w:p>
    <w:p w14:paraId="3B058543" w14:textId="7848F2CC" w:rsidR="008726C5" w:rsidRDefault="000356E2" w:rsidP="00394B27">
      <w:pPr>
        <w:pStyle w:val="NormalArial"/>
        <w:spacing w:after="120"/>
      </w:pPr>
      <w:r w:rsidRPr="00F45663">
        <w:rPr>
          <w:b/>
          <w:bCs/>
        </w:rPr>
        <w:t>Study Period</w:t>
      </w:r>
      <w:r w:rsidR="00F45663">
        <w:rPr>
          <w:b/>
          <w:bCs/>
        </w:rPr>
        <w:t xml:space="preserve"> </w:t>
      </w:r>
      <w:r w:rsidR="00F45663">
        <w:t xml:space="preserve">– The most recent comments have </w:t>
      </w:r>
      <w:r w:rsidR="006C1856">
        <w:t>specified that the two-year study period would apply to addressing local constraint issues only</w:t>
      </w:r>
      <w:r w:rsidR="004A546C">
        <w:t xml:space="preserve">. </w:t>
      </w:r>
      <w:r w:rsidR="00695331">
        <w:t xml:space="preserve"> </w:t>
      </w:r>
      <w:r w:rsidR="004A546C">
        <w:t xml:space="preserve">We support that the study period should not be extended </w:t>
      </w:r>
      <w:r w:rsidR="001F3320">
        <w:t xml:space="preserve">to address system-wide capacity issues. </w:t>
      </w:r>
      <w:r w:rsidR="00695331">
        <w:t xml:space="preserve"> </w:t>
      </w:r>
      <w:r w:rsidR="00615252">
        <w:t xml:space="preserve">We </w:t>
      </w:r>
      <w:proofErr w:type="gramStart"/>
      <w:r w:rsidR="00615252">
        <w:t>ma</w:t>
      </w:r>
      <w:r w:rsidR="007E0D66">
        <w:t>k</w:t>
      </w:r>
      <w:r w:rsidR="00615252">
        <w:t>e</w:t>
      </w:r>
      <w:proofErr w:type="gramEnd"/>
      <w:r w:rsidR="00615252">
        <w:t xml:space="preserve"> additional comments </w:t>
      </w:r>
      <w:r w:rsidR="00A143CC">
        <w:t>on</w:t>
      </w:r>
      <w:r w:rsidR="00615252">
        <w:t xml:space="preserve"> </w:t>
      </w:r>
      <w:r w:rsidR="007E0D66">
        <w:t xml:space="preserve">the system-wide </w:t>
      </w:r>
      <w:r w:rsidR="005E0AA1">
        <w:t xml:space="preserve">capacity issue in the next section. </w:t>
      </w:r>
    </w:p>
    <w:p w14:paraId="35A11F04" w14:textId="1F6A0CA2" w:rsidR="00211757" w:rsidRDefault="005E0AA1" w:rsidP="00394B27">
      <w:pPr>
        <w:pStyle w:val="NormalArial"/>
        <w:spacing w:after="120"/>
      </w:pPr>
      <w:r>
        <w:rPr>
          <w:b/>
          <w:bCs/>
        </w:rPr>
        <w:t xml:space="preserve">Eligible </w:t>
      </w:r>
      <w:r w:rsidR="00A143CC">
        <w:rPr>
          <w:b/>
          <w:bCs/>
        </w:rPr>
        <w:t>Resources</w:t>
      </w:r>
      <w:r>
        <w:rPr>
          <w:b/>
          <w:bCs/>
        </w:rPr>
        <w:t xml:space="preserve"> </w:t>
      </w:r>
      <w:r>
        <w:t xml:space="preserve">– </w:t>
      </w:r>
      <w:r w:rsidR="00B47AA5">
        <w:t>We support that the eligible resources</w:t>
      </w:r>
      <w:r w:rsidR="00EA5790">
        <w:t xml:space="preserve"> to be contracted for capacity may only include resources </w:t>
      </w:r>
      <w:r w:rsidR="00687AE9">
        <w:t xml:space="preserve">that currently do not have a market incentive to </w:t>
      </w:r>
      <w:r w:rsidR="008072D5">
        <w:t>be</w:t>
      </w:r>
      <w:r w:rsidR="00991E3C">
        <w:t xml:space="preserve"> operational or available </w:t>
      </w:r>
      <w:r w:rsidR="00211757">
        <w:t xml:space="preserve">during the period where capacity is needed. </w:t>
      </w:r>
      <w:r w:rsidR="00695331">
        <w:t xml:space="preserve"> </w:t>
      </w:r>
      <w:r w:rsidR="00211757">
        <w:t xml:space="preserve">We believe that ERCOT’s March 9 comments </w:t>
      </w:r>
      <w:r w:rsidR="0055678B">
        <w:t xml:space="preserve">narrowed down the list of eligible entities to a reasonable set. </w:t>
      </w:r>
    </w:p>
    <w:p w14:paraId="058E11A3" w14:textId="77777777" w:rsidR="0055678B" w:rsidRDefault="0055678B" w:rsidP="0055678B">
      <w:pPr>
        <w:pStyle w:val="NormalArial"/>
        <w:rPr>
          <w:b/>
          <w:bCs/>
        </w:rPr>
      </w:pPr>
    </w:p>
    <w:p w14:paraId="25B71FC6" w14:textId="77777777" w:rsidR="00EE4A42" w:rsidRDefault="00EE4A42">
      <w:pPr>
        <w:rPr>
          <w:rFonts w:ascii="Arial" w:hAnsi="Arial"/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4246498" w14:textId="0E2B1451" w:rsidR="0055678B" w:rsidRPr="0055678B" w:rsidRDefault="0055678B" w:rsidP="00394B27">
      <w:pPr>
        <w:pStyle w:val="NormalArial"/>
        <w:keepNext/>
        <w:spacing w:after="120"/>
        <w:rPr>
          <w:u w:val="single"/>
        </w:rPr>
      </w:pPr>
      <w:r w:rsidRPr="0055678B">
        <w:rPr>
          <w:b/>
          <w:bCs/>
          <w:u w:val="single"/>
        </w:rPr>
        <w:lastRenderedPageBreak/>
        <w:t>Remaining Concerns</w:t>
      </w:r>
    </w:p>
    <w:p w14:paraId="25FBEDAD" w14:textId="74D49721" w:rsidR="00F61DE5" w:rsidRDefault="00F258A6" w:rsidP="00F056D3">
      <w:pPr>
        <w:pStyle w:val="NormalArial"/>
        <w:spacing w:after="120"/>
      </w:pPr>
      <w:r w:rsidRPr="008013C4">
        <w:rPr>
          <w:b/>
          <w:bCs/>
        </w:rPr>
        <w:t>No S</w:t>
      </w:r>
      <w:r w:rsidR="008013C4" w:rsidRPr="008013C4">
        <w:rPr>
          <w:b/>
          <w:bCs/>
        </w:rPr>
        <w:t>ystem-Wide Application</w:t>
      </w:r>
      <w:r w:rsidR="008013C4">
        <w:t xml:space="preserve"> – </w:t>
      </w:r>
      <w:r w:rsidR="00C201D3">
        <w:t>The current paradigm</w:t>
      </w:r>
      <w:r w:rsidR="00AB43DA">
        <w:t xml:space="preserve"> does not restrict ERCOT to use the C4C process to address a </w:t>
      </w:r>
      <w:r w:rsidR="00D90B36">
        <w:t xml:space="preserve">particular set of circumstances, as long as the </w:t>
      </w:r>
      <w:r w:rsidR="00106155">
        <w:t xml:space="preserve">study, determination of an emergency condition, </w:t>
      </w:r>
      <w:r w:rsidR="00695331">
        <w:t>“Request for Proposal” (</w:t>
      </w:r>
      <w:r w:rsidR="00106155">
        <w:t>RFP</w:t>
      </w:r>
      <w:r w:rsidR="00695331">
        <w:t>)</w:t>
      </w:r>
      <w:r w:rsidR="00106155">
        <w:t xml:space="preserve"> process, and </w:t>
      </w:r>
      <w:r w:rsidR="007D1244">
        <w:t xml:space="preserve">award take place within </w:t>
      </w:r>
      <w:r w:rsidR="00563CBB">
        <w:t xml:space="preserve">the current narrow timeframe. </w:t>
      </w:r>
      <w:r w:rsidR="00695331">
        <w:t xml:space="preserve"> </w:t>
      </w:r>
      <w:r w:rsidR="00563CBB">
        <w:t>W</w:t>
      </w:r>
      <w:r w:rsidR="00DB375F">
        <w:t xml:space="preserve">hile we understand that the study horizon </w:t>
      </w:r>
      <w:r w:rsidR="0089645D">
        <w:t xml:space="preserve">to address a </w:t>
      </w:r>
      <w:r w:rsidR="00F80ADD">
        <w:t xml:space="preserve">local constraint should be expanded to </w:t>
      </w:r>
      <w:r w:rsidR="00914549">
        <w:t>allow fo</w:t>
      </w:r>
      <w:r w:rsidR="00753FEC">
        <w:t>r resource owners to make the appropriate investments</w:t>
      </w:r>
      <w:r w:rsidR="00F056D3">
        <w:t xml:space="preserve">, </w:t>
      </w:r>
      <w:r w:rsidR="00B909FC">
        <w:t>the C4C construct</w:t>
      </w:r>
      <w:r w:rsidR="00394B27">
        <w:t xml:space="preserve"> should never be </w:t>
      </w:r>
      <w:r w:rsidR="00B909FC">
        <w:t>used to address a system-wide capacity</w:t>
      </w:r>
      <w:r w:rsidR="00FA50E4">
        <w:t xml:space="preserve"> concern. </w:t>
      </w:r>
    </w:p>
    <w:p w14:paraId="220322B0" w14:textId="2F4194FA" w:rsidR="00C4442C" w:rsidRPr="00C4442C" w:rsidRDefault="00C4442C" w:rsidP="00C4442C">
      <w:pPr>
        <w:pStyle w:val="NormalArial"/>
        <w:spacing w:after="120"/>
      </w:pPr>
      <w:r w:rsidRPr="00C4442C">
        <w:t>ERCOT should use market price signals as the sole tool for addressing system</w:t>
      </w:r>
      <w:r w:rsidRPr="00C4442C">
        <w:noBreakHyphen/>
        <w:t>wide capacity needs because out</w:t>
      </w:r>
      <w:r w:rsidRPr="00C4442C">
        <w:noBreakHyphen/>
        <w:t>of</w:t>
      </w:r>
      <w:r w:rsidRPr="00C4442C">
        <w:noBreakHyphen/>
        <w:t xml:space="preserve">market contracts distort those signals and discourage private investment in new generation. </w:t>
      </w:r>
      <w:r w:rsidR="00695331">
        <w:t xml:space="preserve"> </w:t>
      </w:r>
      <w:r w:rsidRPr="00C4442C">
        <w:t>Local reliability issues may require out</w:t>
      </w:r>
      <w:r w:rsidRPr="00C4442C">
        <w:noBreakHyphen/>
        <w:t>of</w:t>
      </w:r>
      <w:r w:rsidRPr="00C4442C">
        <w:noBreakHyphen/>
        <w:t xml:space="preserve">market actions due to </w:t>
      </w:r>
      <w:r w:rsidR="00FA0A9B">
        <w:t xml:space="preserve">the narrowness of the solution set and </w:t>
      </w:r>
      <w:r w:rsidRPr="00C4442C">
        <w:t>challenges with siting and the possibility of major transmission upgrades</w:t>
      </w:r>
      <w:r w:rsidR="00FA0A9B">
        <w:t>.</w:t>
      </w:r>
      <w:r w:rsidRPr="00C4442C">
        <w:t xml:space="preserve"> </w:t>
      </w:r>
      <w:r w:rsidR="00695331">
        <w:t xml:space="preserve"> </w:t>
      </w:r>
      <w:r w:rsidR="00FA0A9B">
        <w:t>However,</w:t>
      </w:r>
      <w:r w:rsidRPr="00C4442C">
        <w:t xml:space="preserve"> these local conditions do not justify similar actions for system</w:t>
      </w:r>
      <w:r w:rsidRPr="00C4442C">
        <w:noBreakHyphen/>
        <w:t xml:space="preserve">wide needs. </w:t>
      </w:r>
      <w:r w:rsidR="00695331">
        <w:t xml:space="preserve"> </w:t>
      </w:r>
      <w:r w:rsidRPr="00C4442C">
        <w:t>If ERCOT begins contracting for system</w:t>
      </w:r>
      <w:r w:rsidRPr="00C4442C">
        <w:noBreakHyphen/>
        <w:t xml:space="preserve">wide capacity, the resulting suppression of market prices will reduce revenues for new merchant projects. </w:t>
      </w:r>
      <w:r w:rsidR="00695331">
        <w:t xml:space="preserve"> </w:t>
      </w:r>
      <w:r w:rsidRPr="00C4442C">
        <w:t xml:space="preserve">This will also create strong incentives for developers to compete for contracts instead of relying on market signals, which weakens the ability of the ERCOT market to produce new </w:t>
      </w:r>
      <w:proofErr w:type="gramStart"/>
      <w:r w:rsidRPr="00C4442C">
        <w:t>capacity</w:t>
      </w:r>
      <w:proofErr w:type="gramEnd"/>
      <w:r w:rsidRPr="00C4442C">
        <w:t>.</w:t>
      </w:r>
    </w:p>
    <w:p w14:paraId="70505C4E" w14:textId="2250A8E5" w:rsidR="00BD7258" w:rsidRDefault="003600BB" w:rsidP="005C7E8E">
      <w:pPr>
        <w:pStyle w:val="NormalArial"/>
        <w:spacing w:after="120"/>
      </w:pPr>
      <w:r w:rsidRPr="003600BB">
        <w:rPr>
          <w:b/>
          <w:bCs/>
        </w:rPr>
        <w:t>Define “Emergency Condition”</w:t>
      </w:r>
      <w:r>
        <w:t xml:space="preserve"> – </w:t>
      </w:r>
      <w:r w:rsidR="00077480">
        <w:t>The term “Emergency Condition”</w:t>
      </w:r>
      <w:r w:rsidR="000F5833">
        <w:t xml:space="preserve"> is</w:t>
      </w:r>
      <w:r w:rsidR="00802225">
        <w:t xml:space="preserve"> loosely defined </w:t>
      </w:r>
      <w:r w:rsidR="004A770D">
        <w:t xml:space="preserve">in the Protocols </w:t>
      </w:r>
      <w:r w:rsidR="000F7B38">
        <w:t xml:space="preserve">and therefore could be applied in a very lose fashion. </w:t>
      </w:r>
      <w:r w:rsidR="00695331">
        <w:t xml:space="preserve"> </w:t>
      </w:r>
      <w:r w:rsidR="00D2132C">
        <w:t xml:space="preserve">In other words, ERCOT could determine that under the most extreme conditions there may be a deficiency and </w:t>
      </w:r>
      <w:r w:rsidR="003121AC">
        <w:t xml:space="preserve">undertake procurement to resolve this outlier possibility. </w:t>
      </w:r>
      <w:r w:rsidR="00695331">
        <w:t xml:space="preserve"> </w:t>
      </w:r>
      <w:r w:rsidR="00366A3F">
        <w:t xml:space="preserve">The term itself is not introduced through this NPRR and predates </w:t>
      </w:r>
      <w:r w:rsidR="00D84D28">
        <w:t xml:space="preserve">it by some time. </w:t>
      </w:r>
      <w:r w:rsidR="00695331">
        <w:t xml:space="preserve"> </w:t>
      </w:r>
      <w:r w:rsidR="006E53B8">
        <w:t xml:space="preserve">While this flexibility is warranted for short-turnaround </w:t>
      </w:r>
      <w:r w:rsidR="00B47761">
        <w:t xml:space="preserve">process </w:t>
      </w:r>
      <w:r w:rsidR="008C1FDC">
        <w:t>that</w:t>
      </w:r>
      <w:r w:rsidR="00B47761">
        <w:t xml:space="preserve"> is limited to “this season and the next season,” </w:t>
      </w:r>
      <w:r w:rsidR="00D0216F">
        <w:t xml:space="preserve">we strongly recommend </w:t>
      </w:r>
      <w:r w:rsidR="00F443C4">
        <w:t xml:space="preserve">the term </w:t>
      </w:r>
      <w:r w:rsidR="00277656">
        <w:t>receive a definition that is grounded in</w:t>
      </w:r>
      <w:r w:rsidR="00294CED">
        <w:t xml:space="preserve"> the</w:t>
      </w:r>
      <w:r w:rsidR="00277656">
        <w:t xml:space="preserve"> loss-</w:t>
      </w:r>
      <w:r w:rsidR="00294CED">
        <w:t>of-load probability</w:t>
      </w:r>
      <w:r w:rsidR="0099576D">
        <w:t xml:space="preserve"> or some other reliability metric</w:t>
      </w:r>
      <w:r w:rsidR="00294CED">
        <w:t xml:space="preserve"> for the </w:t>
      </w:r>
      <w:r w:rsidR="00F258A6">
        <w:t xml:space="preserve">local constraint issue that the C4C should aim to address. </w:t>
      </w:r>
      <w:r w:rsidR="00695331">
        <w:t xml:space="preserve"> </w:t>
      </w:r>
      <w:r w:rsidR="00886E86">
        <w:t xml:space="preserve">One such set of criteria </w:t>
      </w:r>
      <w:r w:rsidR="00702E92">
        <w:t xml:space="preserve">could be those of the </w:t>
      </w:r>
      <w:r w:rsidR="00127760">
        <w:t>R</w:t>
      </w:r>
      <w:r w:rsidR="00702E92">
        <w:t xml:space="preserve">eliability </w:t>
      </w:r>
      <w:r w:rsidR="00127760">
        <w:t>S</w:t>
      </w:r>
      <w:r w:rsidR="00702E92">
        <w:t>tandard</w:t>
      </w:r>
      <w:r w:rsidR="00127760">
        <w:t xml:space="preserve"> approved by the </w:t>
      </w:r>
      <w:r w:rsidR="009047C0">
        <w:t>Public Utility Commission of Texas (</w:t>
      </w:r>
      <w:r w:rsidR="00127760">
        <w:t>PUCT</w:t>
      </w:r>
      <w:r w:rsidR="009047C0">
        <w:t>)</w:t>
      </w:r>
      <w:r w:rsidR="0078031A">
        <w:t xml:space="preserve">. </w:t>
      </w:r>
      <w:r w:rsidR="009047C0">
        <w:t xml:space="preserve"> </w:t>
      </w:r>
      <w:r w:rsidR="0078031A">
        <w:t xml:space="preserve">For deterministic analysis, use </w:t>
      </w:r>
      <w:r w:rsidR="00034656">
        <w:t xml:space="preserve">a </w:t>
      </w:r>
      <w:r w:rsidR="002058BA">
        <w:t xml:space="preserve">maximum </w:t>
      </w:r>
      <w:r w:rsidR="00034656">
        <w:t>loss of load event</w:t>
      </w:r>
      <w:r w:rsidR="002058BA">
        <w:t xml:space="preserve"> duration of</w:t>
      </w:r>
      <w:r w:rsidR="00034656">
        <w:t xml:space="preserve"> 12 hours</w:t>
      </w:r>
      <w:r w:rsidR="001C44E2">
        <w:t xml:space="preserve"> </w:t>
      </w:r>
      <w:r w:rsidR="00F861B5">
        <w:t xml:space="preserve">where the </w:t>
      </w:r>
      <w:r w:rsidR="00061553">
        <w:t xml:space="preserve">expected magnitude of load shed does not exceed </w:t>
      </w:r>
      <w:r w:rsidR="006E0896">
        <w:t xml:space="preserve">the maximum number of megawatts that can be rotated within the region that is experiencing a local constraint. </w:t>
      </w:r>
      <w:r w:rsidR="009047C0">
        <w:t xml:space="preserve"> </w:t>
      </w:r>
      <w:r w:rsidR="00FC6C14">
        <w:t xml:space="preserve">An alternative is to evaluate </w:t>
      </w:r>
      <w:r w:rsidR="00DC1066">
        <w:t>standard</w:t>
      </w:r>
      <w:r w:rsidR="00FC6C14">
        <w:t xml:space="preserve"> EUE criteria and apply that to </w:t>
      </w:r>
      <w:r w:rsidR="0049474F">
        <w:t>the trigger for an emergency.</w:t>
      </w:r>
    </w:p>
    <w:p w14:paraId="7BE7B3E5" w14:textId="20B8E4D6" w:rsidR="001D53BE" w:rsidRDefault="001D53BE" w:rsidP="005C7E8E">
      <w:pPr>
        <w:pStyle w:val="NormalArial"/>
        <w:spacing w:after="120"/>
      </w:pPr>
      <w:r w:rsidRPr="001D53BE">
        <w:t xml:space="preserve">This need for definition is even more apparent given ERCOT’s increasing </w:t>
      </w:r>
      <w:r w:rsidR="00262C94">
        <w:t xml:space="preserve">use of </w:t>
      </w:r>
      <w:r w:rsidR="009A0187">
        <w:t xml:space="preserve">the C4C construct </w:t>
      </w:r>
      <w:r w:rsidRPr="001D53BE">
        <w:t xml:space="preserve">in recent years. </w:t>
      </w:r>
      <w:r w:rsidR="009047C0">
        <w:t xml:space="preserve"> </w:t>
      </w:r>
      <w:r w:rsidR="00607A0C">
        <w:t>Prior to 2023,</w:t>
      </w:r>
      <w:r w:rsidRPr="001D53BE">
        <w:t xml:space="preserve"> ERCOT used it only once in the summer of 2011</w:t>
      </w:r>
      <w:r w:rsidR="00607A0C">
        <w:t xml:space="preserve">; </w:t>
      </w:r>
      <w:r w:rsidRPr="001D53BE">
        <w:t>since 2023</w:t>
      </w:r>
      <w:r w:rsidR="00607A0C">
        <w:t>,</w:t>
      </w:r>
      <w:r w:rsidRPr="001D53BE">
        <w:t xml:space="preserve"> </w:t>
      </w:r>
      <w:r w:rsidR="00873A7B">
        <w:t xml:space="preserve">RFPs have been issued </w:t>
      </w:r>
      <w:r w:rsidRPr="001D53BE">
        <w:t xml:space="preserve">four additional times. </w:t>
      </w:r>
      <w:r w:rsidR="009047C0">
        <w:t xml:space="preserve"> </w:t>
      </w:r>
      <w:r w:rsidRPr="001D53BE">
        <w:t>If ERCOT is to continue using this construct more frequently, then objective parameters should be established to guide when and how it is applied.</w:t>
      </w:r>
    </w:p>
    <w:p w14:paraId="4A5451F2" w14:textId="0B6C1031" w:rsidR="006518F1" w:rsidRDefault="006518F1" w:rsidP="005C7E8E">
      <w:pPr>
        <w:pStyle w:val="NormalArial"/>
        <w:spacing w:after="120"/>
      </w:pPr>
      <w:r w:rsidRPr="00724BF0">
        <w:rPr>
          <w:b/>
          <w:bCs/>
        </w:rPr>
        <w:t>Forecast</w:t>
      </w:r>
      <w:r w:rsidR="00177334" w:rsidRPr="00724BF0">
        <w:rPr>
          <w:b/>
          <w:bCs/>
        </w:rPr>
        <w:t>ing Conditions</w:t>
      </w:r>
      <w:r w:rsidR="00724BF0">
        <w:t xml:space="preserve"> – </w:t>
      </w:r>
      <w:r w:rsidR="00873A7B">
        <w:t xml:space="preserve">Beyond </w:t>
      </w:r>
      <w:r w:rsidR="00245716">
        <w:t xml:space="preserve">defining what the C4C construct should address, </w:t>
      </w:r>
      <w:r w:rsidR="003F7F1D">
        <w:t xml:space="preserve">there also needs to be specificity how we arrive at </w:t>
      </w:r>
      <w:r w:rsidR="001052CB">
        <w:t>the</w:t>
      </w:r>
      <w:r w:rsidR="003F7F1D">
        <w:t xml:space="preserve"> conclusion that an Emergency Condition will arise. </w:t>
      </w:r>
      <w:r w:rsidR="009047C0">
        <w:t xml:space="preserve"> </w:t>
      </w:r>
      <w:r w:rsidR="001052CB">
        <w:t xml:space="preserve">The most impactful </w:t>
      </w:r>
      <w:r w:rsidR="00D85177">
        <w:t xml:space="preserve">tools to that end </w:t>
      </w:r>
      <w:r w:rsidR="00DE06F6">
        <w:t>are the load and generation forecasts</w:t>
      </w:r>
      <w:r w:rsidR="00793847">
        <w:t xml:space="preserve"> with full transparency of underlying data and the model used to generate the forecast</w:t>
      </w:r>
      <w:r w:rsidR="00DE06F6">
        <w:t xml:space="preserve">. </w:t>
      </w:r>
      <w:r w:rsidR="009047C0">
        <w:t xml:space="preserve"> </w:t>
      </w:r>
      <w:r w:rsidR="00781081">
        <w:t xml:space="preserve">Intuitively, ERCOT would use </w:t>
      </w:r>
      <w:r w:rsidR="00FE3FA8">
        <w:t xml:space="preserve">both the load and generation forecasts </w:t>
      </w:r>
      <w:r w:rsidR="00880363">
        <w:t xml:space="preserve">from the </w:t>
      </w:r>
      <w:r w:rsidR="009047C0" w:rsidRPr="009047C0">
        <w:t>Report on Capacity, Demand and Reserves in the ERCOT Region</w:t>
      </w:r>
      <w:r w:rsidR="009047C0">
        <w:t xml:space="preserve"> (</w:t>
      </w:r>
      <w:r w:rsidR="00880363">
        <w:t>CDR</w:t>
      </w:r>
      <w:r w:rsidR="009047C0">
        <w:t>)</w:t>
      </w:r>
      <w:r w:rsidR="00880363">
        <w:t xml:space="preserve"> to support </w:t>
      </w:r>
      <w:r w:rsidR="00880363">
        <w:lastRenderedPageBreak/>
        <w:t>their conclusions</w:t>
      </w:r>
      <w:r w:rsidR="007D5914">
        <w:t xml:space="preserve">, but </w:t>
      </w:r>
      <w:r w:rsidR="0037197A">
        <w:t xml:space="preserve">unfortunately, the CDR report has </w:t>
      </w:r>
      <w:r w:rsidR="00193460">
        <w:t xml:space="preserve">several drawbacks that </w:t>
      </w:r>
      <w:r w:rsidR="00A515C0">
        <w:t>make</w:t>
      </w:r>
      <w:r w:rsidR="005552BE">
        <w:t xml:space="preserve"> it unsuitable to forecast a realistic </w:t>
      </w:r>
      <w:r w:rsidR="00896214">
        <w:t>model of</w:t>
      </w:r>
      <w:r w:rsidR="00161632">
        <w:t xml:space="preserve"> how much</w:t>
      </w:r>
      <w:r w:rsidR="003F52A0">
        <w:t xml:space="preserve"> generation will be available during and how loads respond to such a scenario. </w:t>
      </w:r>
      <w:r w:rsidR="009047C0">
        <w:t xml:space="preserve"> </w:t>
      </w:r>
      <w:r w:rsidR="003F52A0">
        <w:t>We</w:t>
      </w:r>
      <w:r w:rsidR="00A515C0">
        <w:t xml:space="preserve"> reiterate </w:t>
      </w:r>
      <w:r w:rsidR="00971395">
        <w:t xml:space="preserve">below </w:t>
      </w:r>
      <w:r w:rsidR="00A515C0">
        <w:t>some of our commentary from our 2024 State of the Market report</w:t>
      </w:r>
      <w:r w:rsidR="0093710B">
        <w:t xml:space="preserve"> regarding the CDR report. </w:t>
      </w:r>
    </w:p>
    <w:p w14:paraId="5D461022" w14:textId="2C7483CF" w:rsidR="00A515C0" w:rsidRDefault="0093710B" w:rsidP="007308A8">
      <w:pPr>
        <w:pStyle w:val="NormalArial"/>
        <w:numPr>
          <w:ilvl w:val="0"/>
          <w:numId w:val="8"/>
        </w:numPr>
        <w:spacing w:after="120"/>
      </w:pPr>
      <w:r>
        <w:rPr>
          <w:b/>
          <w:bCs/>
        </w:rPr>
        <w:t>It</w:t>
      </w:r>
      <w:r w:rsidR="005C52C2">
        <w:rPr>
          <w:b/>
          <w:bCs/>
        </w:rPr>
        <w:t xml:space="preserve"> </w:t>
      </w:r>
      <w:r w:rsidR="00B605D0">
        <w:rPr>
          <w:b/>
          <w:bCs/>
        </w:rPr>
        <w:t>e</w:t>
      </w:r>
      <w:r w:rsidR="007308A8" w:rsidRPr="00665EF7">
        <w:rPr>
          <w:b/>
          <w:bCs/>
        </w:rPr>
        <w:t>xcludes most demand response resources</w:t>
      </w:r>
      <w:r w:rsidR="007308A8">
        <w:t xml:space="preserve">: </w:t>
      </w:r>
      <w:r w:rsidR="00665EF7" w:rsidRPr="00665EF7">
        <w:t>The CDR report does not account for the contribution of demand response capacity outside of Emergency Response Service (ERS).</w:t>
      </w:r>
      <w:r w:rsidR="0088789E">
        <w:t xml:space="preserve"> </w:t>
      </w:r>
      <w:r w:rsidR="009047C0">
        <w:t xml:space="preserve"> </w:t>
      </w:r>
      <w:r w:rsidR="009F5D59">
        <w:t xml:space="preserve">According to the </w:t>
      </w:r>
      <w:r w:rsidR="00CE42E5">
        <w:t xml:space="preserve">Annual Report on ERCOT Demand Response published in January 2026, there are </w:t>
      </w:r>
      <w:r w:rsidR="008E7DB4">
        <w:t>10,550 MW of NCLRs and 915 MW</w:t>
      </w:r>
      <w:r w:rsidR="00AF606B">
        <w:t xml:space="preserve"> </w:t>
      </w:r>
      <w:r w:rsidR="0042506C">
        <w:t xml:space="preserve">of CLRs that would reduce their load to a fraction of their peak demand during an Emergency Condition. </w:t>
      </w:r>
    </w:p>
    <w:p w14:paraId="48E2546A" w14:textId="412C2C6B" w:rsidR="003912DE" w:rsidRDefault="003912DE" w:rsidP="007308A8">
      <w:pPr>
        <w:pStyle w:val="NormalArial"/>
        <w:numPr>
          <w:ilvl w:val="0"/>
          <w:numId w:val="8"/>
        </w:numPr>
        <w:spacing w:after="120"/>
      </w:pPr>
      <w:r>
        <w:rPr>
          <w:b/>
          <w:bCs/>
        </w:rPr>
        <w:t>It still inflates load growth</w:t>
      </w:r>
      <w:r w:rsidRPr="003912DE">
        <w:t>:</w:t>
      </w:r>
      <w:r>
        <w:t xml:space="preserve"> </w:t>
      </w:r>
      <w:r w:rsidR="008713AE">
        <w:t xml:space="preserve">While the recent rulemaking </w:t>
      </w:r>
      <w:r w:rsidR="00A013F1">
        <w:t xml:space="preserve">on </w:t>
      </w:r>
      <w:r w:rsidR="008713AE">
        <w:t xml:space="preserve">Large Load Forecasting Criteria </w:t>
      </w:r>
      <w:r w:rsidR="002E3613">
        <w:t xml:space="preserve">has put reasonable guard rails in place to </w:t>
      </w:r>
      <w:r w:rsidR="007A7D12">
        <w:t>forecast large loads,</w:t>
      </w:r>
      <w:r w:rsidR="00B61DDF">
        <w:t xml:space="preserve"> (1)</w:t>
      </w:r>
      <w:r w:rsidR="007A7D12">
        <w:t xml:space="preserve"> these criteria only apply to loads</w:t>
      </w:r>
      <w:r w:rsidR="003A06DE">
        <w:t xml:space="preserve"> with a peak demand of 75 MW or greater</w:t>
      </w:r>
      <w:r w:rsidR="00B61DDF">
        <w:t>, and (2)</w:t>
      </w:r>
      <w:r w:rsidR="00B056C1">
        <w:t xml:space="preserve"> there are a significant number of MW of load that are approved to energize but have not followed their </w:t>
      </w:r>
      <w:proofErr w:type="gramStart"/>
      <w:r w:rsidR="00B056C1">
        <w:t>load ramp</w:t>
      </w:r>
      <w:proofErr w:type="gramEnd"/>
      <w:r w:rsidR="00B056C1">
        <w:t xml:space="preserve"> schedule. </w:t>
      </w:r>
      <w:r w:rsidR="009047C0">
        <w:t xml:space="preserve"> </w:t>
      </w:r>
      <w:r w:rsidR="00B056C1">
        <w:t>ERCOT has made this point in both thei</w:t>
      </w:r>
      <w:r w:rsidR="00756F06">
        <w:t>r recent report to the Large Load Working Group</w:t>
      </w:r>
      <w:r w:rsidR="00756F06">
        <w:rPr>
          <w:rStyle w:val="FootnoteReference"/>
        </w:rPr>
        <w:footnoteReference w:id="1"/>
      </w:r>
      <w:r w:rsidR="00756F06">
        <w:t xml:space="preserve"> </w:t>
      </w:r>
      <w:r w:rsidR="009047C0">
        <w:t xml:space="preserve">(LLWG) </w:t>
      </w:r>
      <w:r w:rsidR="00756F06">
        <w:t>as well as in their presentation to the Board of Directors</w:t>
      </w:r>
      <w:r w:rsidR="00AC0049">
        <w:rPr>
          <w:rStyle w:val="FootnoteReference"/>
        </w:rPr>
        <w:footnoteReference w:id="2"/>
      </w:r>
      <w:r w:rsidR="00756F06">
        <w:t xml:space="preserve"> last year</w:t>
      </w:r>
      <w:r w:rsidR="00AC0049">
        <w:t xml:space="preserve"> in April</w:t>
      </w:r>
      <w:r w:rsidR="00756F06">
        <w:t xml:space="preserve">. </w:t>
      </w:r>
      <w:r w:rsidR="009047C0">
        <w:t xml:space="preserve"> </w:t>
      </w:r>
      <w:r w:rsidR="006E03A1">
        <w:t xml:space="preserve">A </w:t>
      </w:r>
      <w:r w:rsidR="003B1CCF">
        <w:t xml:space="preserve">study of an </w:t>
      </w:r>
      <w:r w:rsidR="0075636B">
        <w:t>E</w:t>
      </w:r>
      <w:r w:rsidR="00C23095">
        <w:t>mergency Condition</w:t>
      </w:r>
      <w:r w:rsidR="003B1CCF">
        <w:t xml:space="preserve"> should take this into account. </w:t>
      </w:r>
    </w:p>
    <w:p w14:paraId="176F0717" w14:textId="2488CBF4" w:rsidR="0063149D" w:rsidRPr="003146B6" w:rsidRDefault="0093710B" w:rsidP="007308A8">
      <w:pPr>
        <w:pStyle w:val="NormalArial"/>
        <w:numPr>
          <w:ilvl w:val="0"/>
          <w:numId w:val="8"/>
        </w:numPr>
        <w:spacing w:after="120"/>
        <w:rPr>
          <w:b/>
          <w:bCs/>
        </w:rPr>
      </w:pPr>
      <w:r>
        <w:rPr>
          <w:b/>
          <w:bCs/>
        </w:rPr>
        <w:t xml:space="preserve">It </w:t>
      </w:r>
      <w:r w:rsidR="00C9496B">
        <w:rPr>
          <w:b/>
          <w:bCs/>
        </w:rPr>
        <w:t xml:space="preserve">relies on planning data: </w:t>
      </w:r>
      <w:r w:rsidR="00C9496B">
        <w:t>Planning data is submitted by market participants</w:t>
      </w:r>
      <w:r w:rsidR="00DB134F">
        <w:t xml:space="preserve"> and may be incomplete or inaccurate, as it relies on voluntary self-reporting by the developer</w:t>
      </w:r>
      <w:r w:rsidR="00A101FC">
        <w:t xml:space="preserve">. </w:t>
      </w:r>
      <w:r w:rsidR="009047C0">
        <w:t xml:space="preserve"> </w:t>
      </w:r>
      <w:r w:rsidR="00A101FC">
        <w:t xml:space="preserve">Without tighter controls to </w:t>
      </w:r>
      <w:r w:rsidR="000224E7">
        <w:t xml:space="preserve">support the fidelity of this planning data, </w:t>
      </w:r>
      <w:r w:rsidR="002802D4">
        <w:t xml:space="preserve">the generation forecast may misrepresent future conditions. </w:t>
      </w:r>
    </w:p>
    <w:p w14:paraId="55F21CFD" w14:textId="482FF768" w:rsidR="00BD7258" w:rsidRDefault="00B639F1" w:rsidP="00BD7258">
      <w:pPr>
        <w:pStyle w:val="NormalArial"/>
      </w:pPr>
      <w:r>
        <w:t xml:space="preserve">If ERCOT </w:t>
      </w:r>
      <w:r w:rsidR="000C7634">
        <w:t xml:space="preserve">intends to use a different forecast to arrive at the conclusion that </w:t>
      </w:r>
      <w:r w:rsidR="00DC56E7">
        <w:t>an</w:t>
      </w:r>
      <w:r w:rsidR="000C7634">
        <w:t xml:space="preserve"> Emergency Condition is forecasted to take place</w:t>
      </w:r>
      <w:r w:rsidR="00F6137F">
        <w:t xml:space="preserve">, we encourage them to define it. </w:t>
      </w:r>
      <w:r w:rsidR="009047C0">
        <w:t xml:space="preserve"> </w:t>
      </w:r>
      <w:r w:rsidR="00F6137F">
        <w:t xml:space="preserve">We understand that </w:t>
      </w:r>
      <w:r w:rsidR="00B0700C">
        <w:t>any issuance of an RFP is subject to the PUC’s approval</w:t>
      </w:r>
      <w:r w:rsidR="00DC56E7">
        <w:t xml:space="preserve"> </w:t>
      </w:r>
      <w:r w:rsidR="003F2E2F">
        <w:t xml:space="preserve">of the analysis that went into coming to that conclusion. </w:t>
      </w:r>
      <w:r w:rsidR="009047C0">
        <w:t xml:space="preserve"> </w:t>
      </w:r>
      <w:r w:rsidR="003F2E2F">
        <w:t xml:space="preserve">Still, this process would be more robust </w:t>
      </w:r>
      <w:r w:rsidR="00BB1E81">
        <w:t xml:space="preserve">if </w:t>
      </w:r>
      <w:r w:rsidR="00115E89">
        <w:t xml:space="preserve">a </w:t>
      </w:r>
      <w:r w:rsidR="00DA259E">
        <w:t xml:space="preserve">sensible forecast was determined </w:t>
      </w:r>
      <w:r w:rsidR="00134822">
        <w:t>ahead</w:t>
      </w:r>
      <w:r w:rsidR="0013654F">
        <w:t xml:space="preserve"> of time. </w:t>
      </w:r>
    </w:p>
    <w:p w14:paraId="52AA24D7" w14:textId="77777777" w:rsidR="00B639F1" w:rsidRDefault="00B639F1" w:rsidP="00BD7258">
      <w:pPr>
        <w:pStyle w:val="NormalArial"/>
      </w:pPr>
    </w:p>
    <w:p w14:paraId="60A0C3AC" w14:textId="77777777" w:rsidR="00377AA5" w:rsidRDefault="00377AA5" w:rsidP="00BD7258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BD7258" w14:paraId="25CA7DC8" w14:textId="77777777" w:rsidTr="00B5080A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A01E568" w14:textId="77777777" w:rsidR="00BD7258" w:rsidRDefault="00BD7258" w:rsidP="00B5080A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3E3CB58E" w14:textId="77777777" w:rsidR="00E07B54" w:rsidRDefault="00E07B54">
      <w:pPr>
        <w:pStyle w:val="NormalArial"/>
      </w:pPr>
    </w:p>
    <w:p w14:paraId="066A1906" w14:textId="3F54E44C" w:rsidR="00695331" w:rsidRDefault="00695331">
      <w:pPr>
        <w:pStyle w:val="NormalArial"/>
      </w:pPr>
      <w:r>
        <w:t>None</w:t>
      </w:r>
    </w:p>
    <w:p w14:paraId="3139E4B6" w14:textId="77777777" w:rsidR="00BD7258" w:rsidRDefault="00BD7258">
      <w:pPr>
        <w:pStyle w:val="NormalArial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152993" w14:paraId="6A275234" w14:textId="77777777"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507DFF4" w14:textId="77777777" w:rsidR="00152993" w:rsidRDefault="00152993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1443C140" w14:textId="3AA96EE6" w:rsidR="00152993" w:rsidRPr="009047C0" w:rsidRDefault="00695331">
      <w:pPr>
        <w:pStyle w:val="BodyText"/>
        <w:rPr>
          <w:rFonts w:ascii="Arial" w:hAnsi="Arial" w:cs="Arial"/>
        </w:rPr>
      </w:pPr>
      <w:r w:rsidRPr="009047C0">
        <w:rPr>
          <w:rFonts w:ascii="Arial" w:hAnsi="Arial" w:cs="Arial"/>
        </w:rPr>
        <w:t>None</w:t>
      </w:r>
    </w:p>
    <w:sectPr w:rsidR="00152993" w:rsidRPr="009047C0" w:rsidSect="0074209E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7CAAA" w14:textId="77777777" w:rsidR="000A359B" w:rsidRDefault="000A359B">
      <w:r>
        <w:separator/>
      </w:r>
    </w:p>
  </w:endnote>
  <w:endnote w:type="continuationSeparator" w:id="0">
    <w:p w14:paraId="33C48BA3" w14:textId="77777777" w:rsidR="000A359B" w:rsidRDefault="000A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76BB6" w14:textId="6E831BBB" w:rsidR="00EE6681" w:rsidRDefault="0069533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1315NPRR-</w:t>
    </w:r>
    <w:r w:rsidR="00D10B5F">
      <w:rPr>
        <w:rFonts w:ascii="Arial" w:hAnsi="Arial"/>
        <w:sz w:val="18"/>
      </w:rPr>
      <w:t>08</w:t>
    </w:r>
    <w:r w:rsidR="00D10B5F"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t xml:space="preserve">IMM Comments </w:t>
    </w:r>
    <w:r w:rsidR="00D10B5F">
      <w:rPr>
        <w:rFonts w:ascii="Arial" w:hAnsi="Arial"/>
        <w:sz w:val="18"/>
      </w:rPr>
      <w:t>03</w:t>
    </w:r>
    <w:r w:rsidR="00D10B5F">
      <w:rPr>
        <w:rFonts w:ascii="Arial" w:hAnsi="Arial"/>
        <w:sz w:val="18"/>
      </w:rPr>
      <w:t>24</w:t>
    </w:r>
    <w:r w:rsidR="00D10B5F">
      <w:rPr>
        <w:rFonts w:ascii="Arial" w:hAnsi="Arial"/>
        <w:sz w:val="18"/>
      </w:rPr>
      <w:t>26</w:t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 w:rsidR="00604512"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599BFD1F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A0229" w14:textId="77777777" w:rsidR="000A359B" w:rsidRDefault="000A359B">
      <w:r>
        <w:separator/>
      </w:r>
    </w:p>
  </w:footnote>
  <w:footnote w:type="continuationSeparator" w:id="0">
    <w:p w14:paraId="13E0726C" w14:textId="77777777" w:rsidR="000A359B" w:rsidRDefault="000A359B">
      <w:r>
        <w:continuationSeparator/>
      </w:r>
    </w:p>
  </w:footnote>
  <w:footnote w:id="1">
    <w:p w14:paraId="3B9843FF" w14:textId="304A7A60" w:rsidR="00756F06" w:rsidRDefault="00756F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A77D78" w:rsidRPr="00B5773B">
          <w:rPr>
            <w:rStyle w:val="Hyperlink"/>
          </w:rPr>
          <w:t>https://www.ercot.com/files/docs/2026/03/12/March-TAC-Report.pdf</w:t>
        </w:r>
      </w:hyperlink>
      <w:r w:rsidR="00A77D78">
        <w:t xml:space="preserve"> </w:t>
      </w:r>
    </w:p>
  </w:footnote>
  <w:footnote w:id="2">
    <w:p w14:paraId="6F339BBC" w14:textId="494B7925" w:rsidR="00AC0049" w:rsidRDefault="00AC004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B5773B">
          <w:rPr>
            <w:rStyle w:val="Hyperlink"/>
          </w:rPr>
          <w:t>https://www.ercot.com/files/docs/2025/04/07/8.1-Long-Term-Load-Forecast-Update-2025-2031-and-Methodology-Changes.pdf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A4A0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0CAE40A1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2B32384"/>
    <w:multiLevelType w:val="hybridMultilevel"/>
    <w:tmpl w:val="63042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D3963"/>
    <w:multiLevelType w:val="hybridMultilevel"/>
    <w:tmpl w:val="B7E43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41089"/>
    <w:multiLevelType w:val="hybridMultilevel"/>
    <w:tmpl w:val="3496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A267E"/>
    <w:multiLevelType w:val="hybridMultilevel"/>
    <w:tmpl w:val="CA4C4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4542"/>
    <w:multiLevelType w:val="hybridMultilevel"/>
    <w:tmpl w:val="69D2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786572"/>
    <w:multiLevelType w:val="hybridMultilevel"/>
    <w:tmpl w:val="0846D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787085">
    <w:abstractNumId w:val="0"/>
  </w:num>
  <w:num w:numId="2" w16cid:durableId="1203790996">
    <w:abstractNumId w:val="6"/>
  </w:num>
  <w:num w:numId="3" w16cid:durableId="1463764938">
    <w:abstractNumId w:val="4"/>
  </w:num>
  <w:num w:numId="4" w16cid:durableId="1358658708">
    <w:abstractNumId w:val="7"/>
  </w:num>
  <w:num w:numId="5" w16cid:durableId="491214974">
    <w:abstractNumId w:val="2"/>
  </w:num>
  <w:num w:numId="6" w16cid:durableId="1916695909">
    <w:abstractNumId w:val="5"/>
  </w:num>
  <w:num w:numId="7" w16cid:durableId="55444716">
    <w:abstractNumId w:val="1"/>
  </w:num>
  <w:num w:numId="8" w16cid:durableId="128033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10C53"/>
    <w:rsid w:val="000156AE"/>
    <w:rsid w:val="000224E7"/>
    <w:rsid w:val="00034656"/>
    <w:rsid w:val="000356E2"/>
    <w:rsid w:val="00037243"/>
    <w:rsid w:val="00037668"/>
    <w:rsid w:val="00046004"/>
    <w:rsid w:val="00061553"/>
    <w:rsid w:val="000745F3"/>
    <w:rsid w:val="00075A94"/>
    <w:rsid w:val="00077480"/>
    <w:rsid w:val="00095961"/>
    <w:rsid w:val="000959C4"/>
    <w:rsid w:val="000A359B"/>
    <w:rsid w:val="000A4134"/>
    <w:rsid w:val="000C7634"/>
    <w:rsid w:val="000F5833"/>
    <w:rsid w:val="000F7B38"/>
    <w:rsid w:val="001052CB"/>
    <w:rsid w:val="00106155"/>
    <w:rsid w:val="00115E89"/>
    <w:rsid w:val="00127760"/>
    <w:rsid w:val="00132855"/>
    <w:rsid w:val="00134822"/>
    <w:rsid w:val="0013654F"/>
    <w:rsid w:val="00143E2B"/>
    <w:rsid w:val="00144559"/>
    <w:rsid w:val="00152993"/>
    <w:rsid w:val="00154A0C"/>
    <w:rsid w:val="00161632"/>
    <w:rsid w:val="00163BCF"/>
    <w:rsid w:val="00167679"/>
    <w:rsid w:val="00170297"/>
    <w:rsid w:val="00170E15"/>
    <w:rsid w:val="00177334"/>
    <w:rsid w:val="00177D29"/>
    <w:rsid w:val="00193460"/>
    <w:rsid w:val="001972FB"/>
    <w:rsid w:val="001A227D"/>
    <w:rsid w:val="001A531A"/>
    <w:rsid w:val="001C44E2"/>
    <w:rsid w:val="001D53BE"/>
    <w:rsid w:val="001E2032"/>
    <w:rsid w:val="001F3320"/>
    <w:rsid w:val="002058BA"/>
    <w:rsid w:val="00211757"/>
    <w:rsid w:val="00245716"/>
    <w:rsid w:val="00256BCC"/>
    <w:rsid w:val="00262B1F"/>
    <w:rsid w:val="00262C94"/>
    <w:rsid w:val="0027512B"/>
    <w:rsid w:val="00277656"/>
    <w:rsid w:val="002802D4"/>
    <w:rsid w:val="002858F9"/>
    <w:rsid w:val="002928E5"/>
    <w:rsid w:val="00294CED"/>
    <w:rsid w:val="002C79C5"/>
    <w:rsid w:val="002E3613"/>
    <w:rsid w:val="003010C0"/>
    <w:rsid w:val="00311505"/>
    <w:rsid w:val="003121AC"/>
    <w:rsid w:val="003146B6"/>
    <w:rsid w:val="00332A97"/>
    <w:rsid w:val="003401D7"/>
    <w:rsid w:val="003433BD"/>
    <w:rsid w:val="00350C00"/>
    <w:rsid w:val="00357B85"/>
    <w:rsid w:val="003600BB"/>
    <w:rsid w:val="00360642"/>
    <w:rsid w:val="00366113"/>
    <w:rsid w:val="00366A3F"/>
    <w:rsid w:val="0037197A"/>
    <w:rsid w:val="00377AA5"/>
    <w:rsid w:val="00386AF9"/>
    <w:rsid w:val="003912DE"/>
    <w:rsid w:val="00394B27"/>
    <w:rsid w:val="003A012E"/>
    <w:rsid w:val="003A06DE"/>
    <w:rsid w:val="003B1CCF"/>
    <w:rsid w:val="003C1267"/>
    <w:rsid w:val="003C270C"/>
    <w:rsid w:val="003D0994"/>
    <w:rsid w:val="003F2E2F"/>
    <w:rsid w:val="003F52A0"/>
    <w:rsid w:val="003F7F1D"/>
    <w:rsid w:val="004025F2"/>
    <w:rsid w:val="004032C0"/>
    <w:rsid w:val="00423824"/>
    <w:rsid w:val="0042506C"/>
    <w:rsid w:val="0043567D"/>
    <w:rsid w:val="00486026"/>
    <w:rsid w:val="004875BA"/>
    <w:rsid w:val="0049474F"/>
    <w:rsid w:val="004A29F0"/>
    <w:rsid w:val="004A546C"/>
    <w:rsid w:val="004A770D"/>
    <w:rsid w:val="004B19C9"/>
    <w:rsid w:val="004B7B90"/>
    <w:rsid w:val="004C5556"/>
    <w:rsid w:val="004E2C19"/>
    <w:rsid w:val="004F4140"/>
    <w:rsid w:val="005523FC"/>
    <w:rsid w:val="005552BE"/>
    <w:rsid w:val="0055678B"/>
    <w:rsid w:val="005619D1"/>
    <w:rsid w:val="00563CBB"/>
    <w:rsid w:val="0058545B"/>
    <w:rsid w:val="00585491"/>
    <w:rsid w:val="005C52C2"/>
    <w:rsid w:val="005C7E8E"/>
    <w:rsid w:val="005D284C"/>
    <w:rsid w:val="005E0AA1"/>
    <w:rsid w:val="005F705E"/>
    <w:rsid w:val="00604512"/>
    <w:rsid w:val="00607A0C"/>
    <w:rsid w:val="00615252"/>
    <w:rsid w:val="006273CC"/>
    <w:rsid w:val="0063149D"/>
    <w:rsid w:val="00633E23"/>
    <w:rsid w:val="00646588"/>
    <w:rsid w:val="006518F1"/>
    <w:rsid w:val="00665EF7"/>
    <w:rsid w:val="00673B94"/>
    <w:rsid w:val="0067563F"/>
    <w:rsid w:val="0067655C"/>
    <w:rsid w:val="00680AC6"/>
    <w:rsid w:val="006835D8"/>
    <w:rsid w:val="00687AE9"/>
    <w:rsid w:val="00695331"/>
    <w:rsid w:val="006C1856"/>
    <w:rsid w:val="006C316E"/>
    <w:rsid w:val="006D0F7C"/>
    <w:rsid w:val="006D4BD7"/>
    <w:rsid w:val="006E03A1"/>
    <w:rsid w:val="006E0896"/>
    <w:rsid w:val="006E2C0F"/>
    <w:rsid w:val="006E53B8"/>
    <w:rsid w:val="006F0EDC"/>
    <w:rsid w:val="006F4B72"/>
    <w:rsid w:val="00702E92"/>
    <w:rsid w:val="00724BF0"/>
    <w:rsid w:val="007269C4"/>
    <w:rsid w:val="007308A8"/>
    <w:rsid w:val="007351E9"/>
    <w:rsid w:val="0074209E"/>
    <w:rsid w:val="00750EE4"/>
    <w:rsid w:val="0075363B"/>
    <w:rsid w:val="00753FEC"/>
    <w:rsid w:val="0075636B"/>
    <w:rsid w:val="00756F06"/>
    <w:rsid w:val="00760229"/>
    <w:rsid w:val="0076406A"/>
    <w:rsid w:val="0078031A"/>
    <w:rsid w:val="00781081"/>
    <w:rsid w:val="007823DC"/>
    <w:rsid w:val="00786AB8"/>
    <w:rsid w:val="0079164D"/>
    <w:rsid w:val="00793847"/>
    <w:rsid w:val="007A7D12"/>
    <w:rsid w:val="007B36DB"/>
    <w:rsid w:val="007D1244"/>
    <w:rsid w:val="007D5914"/>
    <w:rsid w:val="007E0D66"/>
    <w:rsid w:val="007F2CA8"/>
    <w:rsid w:val="007F7161"/>
    <w:rsid w:val="008013C4"/>
    <w:rsid w:val="00802225"/>
    <w:rsid w:val="008068AF"/>
    <w:rsid w:val="008072D5"/>
    <w:rsid w:val="00811887"/>
    <w:rsid w:val="00815008"/>
    <w:rsid w:val="00820648"/>
    <w:rsid w:val="00831981"/>
    <w:rsid w:val="00846DCE"/>
    <w:rsid w:val="008505C7"/>
    <w:rsid w:val="00850608"/>
    <w:rsid w:val="0085559E"/>
    <w:rsid w:val="008713AE"/>
    <w:rsid w:val="008726C5"/>
    <w:rsid w:val="00873A7B"/>
    <w:rsid w:val="0087583A"/>
    <w:rsid w:val="00880363"/>
    <w:rsid w:val="00883439"/>
    <w:rsid w:val="00886E86"/>
    <w:rsid w:val="0088789E"/>
    <w:rsid w:val="00894BAE"/>
    <w:rsid w:val="00896214"/>
    <w:rsid w:val="0089645D"/>
    <w:rsid w:val="00896B1B"/>
    <w:rsid w:val="008C1FDC"/>
    <w:rsid w:val="008C538F"/>
    <w:rsid w:val="008C7678"/>
    <w:rsid w:val="008D642C"/>
    <w:rsid w:val="008E559E"/>
    <w:rsid w:val="008E7DB4"/>
    <w:rsid w:val="008F3205"/>
    <w:rsid w:val="009047C0"/>
    <w:rsid w:val="00914549"/>
    <w:rsid w:val="00916080"/>
    <w:rsid w:val="00921A68"/>
    <w:rsid w:val="00924F2F"/>
    <w:rsid w:val="0093710B"/>
    <w:rsid w:val="009516B5"/>
    <w:rsid w:val="00967550"/>
    <w:rsid w:val="00971395"/>
    <w:rsid w:val="00971C66"/>
    <w:rsid w:val="00974094"/>
    <w:rsid w:val="00976858"/>
    <w:rsid w:val="0098057F"/>
    <w:rsid w:val="00991E3C"/>
    <w:rsid w:val="0099576D"/>
    <w:rsid w:val="00996ADB"/>
    <w:rsid w:val="009A0187"/>
    <w:rsid w:val="009E0835"/>
    <w:rsid w:val="009F5D59"/>
    <w:rsid w:val="00A013F1"/>
    <w:rsid w:val="00A015C4"/>
    <w:rsid w:val="00A07321"/>
    <w:rsid w:val="00A101FC"/>
    <w:rsid w:val="00A143CC"/>
    <w:rsid w:val="00A15172"/>
    <w:rsid w:val="00A2158E"/>
    <w:rsid w:val="00A34372"/>
    <w:rsid w:val="00A515C0"/>
    <w:rsid w:val="00A605B1"/>
    <w:rsid w:val="00A77D78"/>
    <w:rsid w:val="00AB43DA"/>
    <w:rsid w:val="00AC0049"/>
    <w:rsid w:val="00AC1D3A"/>
    <w:rsid w:val="00AD47DB"/>
    <w:rsid w:val="00AF0064"/>
    <w:rsid w:val="00AF606B"/>
    <w:rsid w:val="00AF69C4"/>
    <w:rsid w:val="00B03701"/>
    <w:rsid w:val="00B056C1"/>
    <w:rsid w:val="00B0700C"/>
    <w:rsid w:val="00B16F32"/>
    <w:rsid w:val="00B26B07"/>
    <w:rsid w:val="00B40B7B"/>
    <w:rsid w:val="00B47761"/>
    <w:rsid w:val="00B47AA5"/>
    <w:rsid w:val="00B505BD"/>
    <w:rsid w:val="00B5080A"/>
    <w:rsid w:val="00B605D0"/>
    <w:rsid w:val="00B61DDF"/>
    <w:rsid w:val="00B639F1"/>
    <w:rsid w:val="00B843E0"/>
    <w:rsid w:val="00B909FC"/>
    <w:rsid w:val="00B943AE"/>
    <w:rsid w:val="00B95B57"/>
    <w:rsid w:val="00B97ED6"/>
    <w:rsid w:val="00BB1B23"/>
    <w:rsid w:val="00BB1E81"/>
    <w:rsid w:val="00BD54EA"/>
    <w:rsid w:val="00BD7258"/>
    <w:rsid w:val="00C0598D"/>
    <w:rsid w:val="00C11956"/>
    <w:rsid w:val="00C201D3"/>
    <w:rsid w:val="00C23095"/>
    <w:rsid w:val="00C23EB1"/>
    <w:rsid w:val="00C309E9"/>
    <w:rsid w:val="00C34F4B"/>
    <w:rsid w:val="00C41AF5"/>
    <w:rsid w:val="00C4383A"/>
    <w:rsid w:val="00C4442C"/>
    <w:rsid w:val="00C52DE2"/>
    <w:rsid w:val="00C602E5"/>
    <w:rsid w:val="00C60E38"/>
    <w:rsid w:val="00C71524"/>
    <w:rsid w:val="00C748FD"/>
    <w:rsid w:val="00C77B48"/>
    <w:rsid w:val="00C9496B"/>
    <w:rsid w:val="00CA1CD4"/>
    <w:rsid w:val="00CD4739"/>
    <w:rsid w:val="00CD5C3D"/>
    <w:rsid w:val="00CD6CD8"/>
    <w:rsid w:val="00CE42E5"/>
    <w:rsid w:val="00D0216F"/>
    <w:rsid w:val="00D037DF"/>
    <w:rsid w:val="00D10B5F"/>
    <w:rsid w:val="00D155F5"/>
    <w:rsid w:val="00D2132C"/>
    <w:rsid w:val="00D4046E"/>
    <w:rsid w:val="00D4362F"/>
    <w:rsid w:val="00D520F6"/>
    <w:rsid w:val="00D5253C"/>
    <w:rsid w:val="00D84D28"/>
    <w:rsid w:val="00D85177"/>
    <w:rsid w:val="00D90B36"/>
    <w:rsid w:val="00DA259E"/>
    <w:rsid w:val="00DB134F"/>
    <w:rsid w:val="00DB375F"/>
    <w:rsid w:val="00DC1066"/>
    <w:rsid w:val="00DC56E7"/>
    <w:rsid w:val="00DD4739"/>
    <w:rsid w:val="00DE06F6"/>
    <w:rsid w:val="00DE2BEA"/>
    <w:rsid w:val="00DE5F33"/>
    <w:rsid w:val="00DF5927"/>
    <w:rsid w:val="00E04A71"/>
    <w:rsid w:val="00E06DB2"/>
    <w:rsid w:val="00E07B54"/>
    <w:rsid w:val="00E11F78"/>
    <w:rsid w:val="00E24495"/>
    <w:rsid w:val="00E621E1"/>
    <w:rsid w:val="00E86BF9"/>
    <w:rsid w:val="00E8761B"/>
    <w:rsid w:val="00E928BC"/>
    <w:rsid w:val="00E9762C"/>
    <w:rsid w:val="00EA5790"/>
    <w:rsid w:val="00EC21C6"/>
    <w:rsid w:val="00EC55B3"/>
    <w:rsid w:val="00EE4A42"/>
    <w:rsid w:val="00EE6681"/>
    <w:rsid w:val="00F02F1C"/>
    <w:rsid w:val="00F04790"/>
    <w:rsid w:val="00F056D3"/>
    <w:rsid w:val="00F258A6"/>
    <w:rsid w:val="00F25D1C"/>
    <w:rsid w:val="00F36640"/>
    <w:rsid w:val="00F443C4"/>
    <w:rsid w:val="00F45663"/>
    <w:rsid w:val="00F6137F"/>
    <w:rsid w:val="00F61DE5"/>
    <w:rsid w:val="00F70D74"/>
    <w:rsid w:val="00F73568"/>
    <w:rsid w:val="00F80ADD"/>
    <w:rsid w:val="00F8273F"/>
    <w:rsid w:val="00F861B5"/>
    <w:rsid w:val="00F96FB2"/>
    <w:rsid w:val="00FA0A9B"/>
    <w:rsid w:val="00FA50E4"/>
    <w:rsid w:val="00FB51D8"/>
    <w:rsid w:val="00FC6C14"/>
    <w:rsid w:val="00FC7132"/>
    <w:rsid w:val="00FD08E8"/>
    <w:rsid w:val="00FE3FA8"/>
    <w:rsid w:val="00FE63AA"/>
    <w:rsid w:val="00F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A59346"/>
  <w15:chartTrackingRefBased/>
  <w15:docId w15:val="{C6FFBB57-1C66-456F-AB67-C3AE5271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DD4739"/>
    <w:rPr>
      <w:sz w:val="16"/>
      <w:szCs w:val="16"/>
    </w:rPr>
  </w:style>
  <w:style w:type="paragraph" w:styleId="CommentText">
    <w:name w:val="annotation text"/>
    <w:basedOn w:val="Normal"/>
    <w:semiHidden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paragraph" w:styleId="ListParagraph">
    <w:name w:val="List Paragraph"/>
    <w:basedOn w:val="Normal"/>
    <w:uiPriority w:val="34"/>
    <w:qFormat/>
    <w:rsid w:val="001D53BE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756F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56F06"/>
  </w:style>
  <w:style w:type="character" w:styleId="FootnoteReference">
    <w:name w:val="footnote reference"/>
    <w:basedOn w:val="DefaultParagraphFont"/>
    <w:rsid w:val="00756F0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77D7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16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reinisch@potomaceconomic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1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rcot.com/files/docs/2025/04/07/8.1-Long-Term-Load-Forecast-Update-2025-2031-and-Methodology-Changes.pdf" TargetMode="External"/><Relationship Id="rId1" Type="http://schemas.openxmlformats.org/officeDocument/2006/relationships/hyperlink" Target="https://www.ercot.com/files/docs/2026/03/12/March-TAC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4bb770-530c-43db-868c-470100b04b21">
      <Terms xmlns="http://schemas.microsoft.com/office/infopath/2007/PartnerControls"/>
    </lcf76f155ced4ddcb4097134ff3c332f>
    <TaxCatchAll xmlns="937cce53-552a-4e6c-8bb2-bd9caca87b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C4A72CAB0D64D9F7E9682FD2192C4" ma:contentTypeVersion="15" ma:contentTypeDescription="Create a new document." ma:contentTypeScope="" ma:versionID="7675757bd1bb0a76ba4e5ec95231aaa4">
  <xsd:schema xmlns:xsd="http://www.w3.org/2001/XMLSchema" xmlns:xs="http://www.w3.org/2001/XMLSchema" xmlns:p="http://schemas.microsoft.com/office/2006/metadata/properties" xmlns:ns2="b74bb770-530c-43db-868c-470100b04b21" xmlns:ns3="937cce53-552a-4e6c-8bb2-bd9caca87b17" targetNamespace="http://schemas.microsoft.com/office/2006/metadata/properties" ma:root="true" ma:fieldsID="208da01ec2d0db66eedf9cf27e0bcecc" ns2:_="" ns3:_="">
    <xsd:import namespace="b74bb770-530c-43db-868c-470100b04b21"/>
    <xsd:import namespace="937cce53-552a-4e6c-8bb2-bd9caca87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bb770-530c-43db-868c-470100b04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12c33fb-773d-4c7f-af06-7655ec8c4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cce53-552a-4e6c-8bb2-bd9caca87b1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d2b1ae2-937c-401e-b607-a9cafcc47ee4}" ma:internalName="TaxCatchAll" ma:showField="CatchAllData" ma:web="937cce53-552a-4e6c-8bb2-bd9caca87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1AC6E-5FED-460A-A7B5-7505AD485422}">
  <ds:schemaRefs>
    <ds:schemaRef ds:uri="http://purl.org/dc/terms/"/>
    <ds:schemaRef ds:uri="b74bb770-530c-43db-868c-470100b04b21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37cce53-552a-4e6c-8bb2-bd9caca87b17"/>
  </ds:schemaRefs>
</ds:datastoreItem>
</file>

<file path=customXml/itemProps2.xml><?xml version="1.0" encoding="utf-8"?>
<ds:datastoreItem xmlns:ds="http://schemas.openxmlformats.org/officeDocument/2006/customXml" ds:itemID="{EE093F2A-66C6-4A86-850C-CB61A60A76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49B76D-13A3-4727-A043-B8B15399C9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23EAB1-F3A3-4CC3-85F5-33CC56BE7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bb770-530c-43db-868c-470100b04b21"/>
    <ds:schemaRef ds:uri="937cce53-552a-4e6c-8bb2-bd9caca87b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1179</Words>
  <Characters>6218</Characters>
  <Application>Microsoft Office Word</Application>
  <DocSecurity>0</DocSecurity>
  <Lines>135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Jordan Troublefield</cp:lastModifiedBy>
  <cp:revision>3</cp:revision>
  <cp:lastPrinted>2001-06-20T16:28:00Z</cp:lastPrinted>
  <dcterms:created xsi:type="dcterms:W3CDTF">2026-03-24T20:27:00Z</dcterms:created>
  <dcterms:modified xsi:type="dcterms:W3CDTF">2026-03-24T20:28:00Z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0x010100BEEC4A72CAB0D64D9F7E9682FD2192C4</vt:lpwstr>
  </property>
  <property fmtid="{D5CDD505-2E9C-101B-9397-08002B2CF9AE}" pid="3" name="MediaServiceImageTags">
    <vt:lpwstr/>
  </property>
  <property fmtid="{D5CDD505-2E9C-101B-9397-08002B2CF9AE}" pid="4" name="MSIP_Label_7084cbda-52b8-46fb-a7b7-cb5bd465ed85_Enabled">
    <vt:lpwstr>true</vt:lpwstr>
  </property>
  <property fmtid="{D5CDD505-2E9C-101B-9397-08002B2CF9AE}" pid="5" name="MSIP_Label_7084cbda-52b8-46fb-a7b7-cb5bd465ed85_SetDate">
    <vt:lpwstr>2026-03-24T20:09:29Z</vt:lpwstr>
  </property>
  <property fmtid="{D5CDD505-2E9C-101B-9397-08002B2CF9AE}" pid="6" name="MSIP_Label_7084cbda-52b8-46fb-a7b7-cb5bd465ed85_Method">
    <vt:lpwstr>Standard</vt:lpwstr>
  </property>
  <property fmtid="{D5CDD505-2E9C-101B-9397-08002B2CF9AE}" pid="7" name="MSIP_Label_7084cbda-52b8-46fb-a7b7-cb5bd465ed85_Name">
    <vt:lpwstr>Internal</vt:lpwstr>
  </property>
  <property fmtid="{D5CDD505-2E9C-101B-9397-08002B2CF9AE}" pid="8" name="MSIP_Label_7084cbda-52b8-46fb-a7b7-cb5bd465ed85_SiteId">
    <vt:lpwstr>0afb747d-bff7-4596-a9fc-950ef9e0ec45</vt:lpwstr>
  </property>
  <property fmtid="{D5CDD505-2E9C-101B-9397-08002B2CF9AE}" pid="9" name="MSIP_Label_7084cbda-52b8-46fb-a7b7-cb5bd465ed85_ActionId">
    <vt:lpwstr>18a3fd4b-958a-4d59-8c31-6a630264c677</vt:lpwstr>
  </property>
  <property fmtid="{D5CDD505-2E9C-101B-9397-08002B2CF9AE}" pid="10" name="MSIP_Label_7084cbda-52b8-46fb-a7b7-cb5bd465ed85_ContentBits">
    <vt:lpwstr>0</vt:lpwstr>
  </property>
  <property fmtid="{D5CDD505-2E9C-101B-9397-08002B2CF9AE}" pid="11" name="MSIP_Label_7084cbda-52b8-46fb-a7b7-cb5bd465ed85_Tag">
    <vt:lpwstr>10, 3, 0, 1</vt:lpwstr>
  </property>
</Properties>
</file>