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4809D4A" w:rsidR="004C29D3" w:rsidRDefault="004C29D3">
            <w:pPr>
              <w:pStyle w:val="NormalArial"/>
            </w:pPr>
            <w:r>
              <w:t xml:space="preserve">March </w:t>
            </w:r>
            <w:r w:rsidR="00EB1968">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8132FF" w14:paraId="2A49A05A" w14:textId="77777777">
        <w:trPr>
          <w:trHeight w:val="350"/>
        </w:trPr>
        <w:tc>
          <w:tcPr>
            <w:tcW w:w="2880" w:type="dxa"/>
            <w:shd w:val="clear" w:color="auto" w:fill="FFFFFF"/>
            <w:vAlign w:val="center"/>
          </w:tcPr>
          <w:p w14:paraId="6CA1BDF9" w14:textId="77777777" w:rsidR="008132FF" w:rsidRPr="00EC55B3" w:rsidRDefault="008132FF" w:rsidP="008132FF">
            <w:pPr>
              <w:pStyle w:val="Header"/>
            </w:pPr>
            <w:r w:rsidRPr="00EC55B3">
              <w:t>Name</w:t>
            </w:r>
          </w:p>
        </w:tc>
        <w:tc>
          <w:tcPr>
            <w:tcW w:w="7560" w:type="dxa"/>
            <w:vAlign w:val="center"/>
          </w:tcPr>
          <w:p w14:paraId="1401F611" w14:textId="4C67698C" w:rsidR="008132FF" w:rsidRDefault="008132FF" w:rsidP="008132FF">
            <w:pPr>
              <w:pStyle w:val="NormalArial"/>
            </w:pPr>
            <w:r>
              <w:rPr>
                <w:rFonts w:eastAsia="Arial" w:cs="Arial"/>
                <w:color w:val="000000"/>
              </w:rPr>
              <w:t>Bryn Baker</w:t>
            </w:r>
          </w:p>
        </w:tc>
      </w:tr>
      <w:tr w:rsidR="008132FF" w14:paraId="68280F29" w14:textId="77777777">
        <w:trPr>
          <w:trHeight w:val="350"/>
        </w:trPr>
        <w:tc>
          <w:tcPr>
            <w:tcW w:w="2880" w:type="dxa"/>
            <w:shd w:val="clear" w:color="auto" w:fill="FFFFFF"/>
            <w:vAlign w:val="center"/>
          </w:tcPr>
          <w:p w14:paraId="65995CAF" w14:textId="77777777" w:rsidR="008132FF" w:rsidRPr="00EC55B3" w:rsidRDefault="008132FF" w:rsidP="008132FF">
            <w:pPr>
              <w:pStyle w:val="Header"/>
            </w:pPr>
            <w:r w:rsidRPr="00EC55B3">
              <w:t>E-mail Address</w:t>
            </w:r>
          </w:p>
        </w:tc>
        <w:tc>
          <w:tcPr>
            <w:tcW w:w="7560" w:type="dxa"/>
            <w:vAlign w:val="center"/>
          </w:tcPr>
          <w:p w14:paraId="4785840F" w14:textId="28891ABC" w:rsidR="008132FF" w:rsidRDefault="008132FF" w:rsidP="008132FF">
            <w:pPr>
              <w:pStyle w:val="NormalArial"/>
            </w:pPr>
            <w:hyperlink r:id="rId12" w:history="1">
              <w:r>
                <w:rPr>
                  <w:rStyle w:val="Hyperlink"/>
                  <w:rFonts w:eastAsia="Arial" w:cs="Arial"/>
                </w:rPr>
                <w:t>BBaker@cebuyers.org</w:t>
              </w:r>
            </w:hyperlink>
          </w:p>
        </w:tc>
      </w:tr>
      <w:tr w:rsidR="008132FF" w14:paraId="67C9231D" w14:textId="77777777">
        <w:trPr>
          <w:trHeight w:val="350"/>
        </w:trPr>
        <w:tc>
          <w:tcPr>
            <w:tcW w:w="2880" w:type="dxa"/>
            <w:shd w:val="clear" w:color="auto" w:fill="FFFFFF"/>
            <w:vAlign w:val="center"/>
          </w:tcPr>
          <w:p w14:paraId="63DA7E52" w14:textId="77777777" w:rsidR="008132FF" w:rsidRPr="00EC55B3" w:rsidRDefault="008132FF" w:rsidP="008132FF">
            <w:pPr>
              <w:pStyle w:val="Header"/>
            </w:pPr>
            <w:r w:rsidRPr="00EC55B3">
              <w:t>Company</w:t>
            </w:r>
          </w:p>
        </w:tc>
        <w:tc>
          <w:tcPr>
            <w:tcW w:w="7560" w:type="dxa"/>
            <w:vAlign w:val="center"/>
          </w:tcPr>
          <w:p w14:paraId="502CF53E" w14:textId="00D4727A" w:rsidR="008132FF" w:rsidRDefault="008132FF" w:rsidP="008132FF">
            <w:pPr>
              <w:pStyle w:val="NormalArial"/>
            </w:pPr>
            <w:r>
              <w:rPr>
                <w:rFonts w:eastAsia="Arial" w:cs="Arial"/>
                <w:color w:val="000000"/>
              </w:rPr>
              <w:t>Texas Energy Buyers Alliance (TEBA)</w:t>
            </w:r>
          </w:p>
        </w:tc>
      </w:tr>
      <w:tr w:rsidR="008132FF" w14:paraId="47013855" w14:textId="77777777">
        <w:trPr>
          <w:trHeight w:val="350"/>
        </w:trPr>
        <w:tc>
          <w:tcPr>
            <w:tcW w:w="2880" w:type="dxa"/>
            <w:tcBorders>
              <w:bottom w:val="single" w:sz="4" w:space="0" w:color="auto"/>
            </w:tcBorders>
            <w:shd w:val="clear" w:color="auto" w:fill="FFFFFF"/>
            <w:vAlign w:val="center"/>
          </w:tcPr>
          <w:p w14:paraId="2A54F657" w14:textId="77777777" w:rsidR="008132FF" w:rsidRPr="00EC55B3" w:rsidRDefault="008132FF" w:rsidP="008132FF">
            <w:pPr>
              <w:pStyle w:val="Header"/>
            </w:pPr>
            <w:r w:rsidRPr="00EC55B3">
              <w:t>Phone Number</w:t>
            </w:r>
          </w:p>
        </w:tc>
        <w:tc>
          <w:tcPr>
            <w:tcW w:w="7560" w:type="dxa"/>
            <w:tcBorders>
              <w:bottom w:val="single" w:sz="4" w:space="0" w:color="auto"/>
            </w:tcBorders>
            <w:vAlign w:val="center"/>
          </w:tcPr>
          <w:p w14:paraId="187B232D" w14:textId="1CE22319" w:rsidR="008132FF" w:rsidRDefault="008132FF" w:rsidP="008132FF">
            <w:pPr>
              <w:pStyle w:val="NormalArial"/>
            </w:pPr>
          </w:p>
        </w:tc>
      </w:tr>
      <w:tr w:rsidR="008132FF" w14:paraId="55B5B9B1" w14:textId="77777777">
        <w:trPr>
          <w:trHeight w:val="350"/>
        </w:trPr>
        <w:tc>
          <w:tcPr>
            <w:tcW w:w="2880" w:type="dxa"/>
            <w:shd w:val="clear" w:color="auto" w:fill="FFFFFF"/>
            <w:vAlign w:val="center"/>
          </w:tcPr>
          <w:p w14:paraId="14DAFD8F" w14:textId="77777777" w:rsidR="008132FF" w:rsidRPr="00EC55B3" w:rsidRDefault="008132FF" w:rsidP="008132FF">
            <w:pPr>
              <w:pStyle w:val="Header"/>
            </w:pPr>
            <w:r>
              <w:t>Cell</w:t>
            </w:r>
            <w:r w:rsidRPr="00EC55B3">
              <w:t xml:space="preserve"> Number</w:t>
            </w:r>
          </w:p>
        </w:tc>
        <w:tc>
          <w:tcPr>
            <w:tcW w:w="7560" w:type="dxa"/>
            <w:vAlign w:val="center"/>
          </w:tcPr>
          <w:p w14:paraId="303E00E9" w14:textId="1DC27C79" w:rsidR="008132FF" w:rsidRDefault="008132FF" w:rsidP="008132FF">
            <w:pPr>
              <w:pStyle w:val="NormalArial"/>
            </w:pPr>
            <w:r>
              <w:rPr>
                <w:rFonts w:eastAsia="Arial" w:cs="Arial"/>
                <w:color w:val="000000"/>
              </w:rPr>
              <w:t>202-579-6737</w:t>
            </w:r>
          </w:p>
        </w:tc>
      </w:tr>
      <w:tr w:rsidR="008132FF" w14:paraId="6B81D4D2" w14:textId="77777777">
        <w:trPr>
          <w:trHeight w:val="350"/>
        </w:trPr>
        <w:tc>
          <w:tcPr>
            <w:tcW w:w="2880" w:type="dxa"/>
            <w:tcBorders>
              <w:bottom w:val="single" w:sz="4" w:space="0" w:color="auto"/>
            </w:tcBorders>
            <w:shd w:val="clear" w:color="auto" w:fill="FFFFFF"/>
            <w:vAlign w:val="center"/>
          </w:tcPr>
          <w:p w14:paraId="37A1AD58" w14:textId="77777777" w:rsidR="008132FF" w:rsidRPr="00EC55B3" w:rsidDel="00075A94" w:rsidRDefault="008132FF" w:rsidP="008132FF">
            <w:pPr>
              <w:pStyle w:val="Header"/>
            </w:pPr>
            <w:r>
              <w:t>Market Segment</w:t>
            </w:r>
          </w:p>
        </w:tc>
        <w:tc>
          <w:tcPr>
            <w:tcW w:w="7560" w:type="dxa"/>
            <w:tcBorders>
              <w:bottom w:val="single" w:sz="4" w:space="0" w:color="auto"/>
            </w:tcBorders>
            <w:vAlign w:val="center"/>
          </w:tcPr>
          <w:p w14:paraId="5083CDFA" w14:textId="00B82ACB" w:rsidR="008132FF" w:rsidRDefault="008132FF" w:rsidP="008132FF">
            <w:pPr>
              <w:pStyle w:val="NormalArial"/>
            </w:pPr>
            <w:r>
              <w:rPr>
                <w:rFonts w:eastAsia="Arial" w:cs="Arial"/>
                <w:color w:val="000000"/>
              </w:rP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1431DAEE" w14:textId="09E352A1" w:rsidR="008132FF" w:rsidRPr="008132FF" w:rsidRDefault="008132FF" w:rsidP="008132FF">
      <w:pPr>
        <w:pStyle w:val="NormalArial"/>
        <w:spacing w:before="120" w:after="120"/>
        <w:rPr>
          <w:lang w:val="en"/>
        </w:rPr>
      </w:pPr>
      <w:r w:rsidRPr="008132FF">
        <w:rPr>
          <w:lang w:val="en"/>
        </w:rPr>
        <w:t xml:space="preserve">The Texas Energy Buyers Alliance (TEBA) appreciates the opportunity to provide comments on </w:t>
      </w:r>
      <w:r>
        <w:rPr>
          <w:lang w:val="en"/>
        </w:rPr>
        <w:t>Planning Guide Revision Request (</w:t>
      </w:r>
      <w:r w:rsidRPr="008132FF">
        <w:rPr>
          <w:lang w:val="en"/>
        </w:rPr>
        <w:t>PGRR</w:t>
      </w:r>
      <w:r>
        <w:rPr>
          <w:lang w:val="en"/>
        </w:rPr>
        <w:t xml:space="preserve">) </w:t>
      </w:r>
      <w:r w:rsidRPr="008132FF">
        <w:rPr>
          <w:lang w:val="en"/>
        </w:rPr>
        <w:t>145. TEBA represents more than 200 of the state’s largest employers, collectively accounting for approximately $36 trillion in global market capitalization. ERCOT is a critical market for load interconnection both in the United States and for global competitiveness</w:t>
      </w:r>
    </w:p>
    <w:p w14:paraId="57A8A85D" w14:textId="77777777" w:rsidR="008132FF" w:rsidRPr="008132FF" w:rsidRDefault="008132FF" w:rsidP="008132FF">
      <w:pPr>
        <w:pStyle w:val="NormalArial"/>
        <w:spacing w:before="120" w:after="120"/>
        <w:rPr>
          <w:lang w:val="en"/>
        </w:rPr>
      </w:pPr>
      <w:r w:rsidRPr="008132FF">
        <w:rPr>
          <w:lang w:val="en"/>
        </w:rPr>
        <w:t>We value ERCOT’s stakeholder process and its willingness to consider input on decisions that influence billions of dollars in capital investment. Because interconnection certainty is foundational to continued economic growth and competitiveness, TEBA believes it is essential to balance the need for timely action with the need for clarity and predictability. From that perspective, TEBA offers comments and recommendations on PGRR145 across the following considerations:</w:t>
      </w:r>
    </w:p>
    <w:p w14:paraId="7C4FD1B2" w14:textId="77777777" w:rsidR="008132FF" w:rsidRPr="008132FF" w:rsidRDefault="008132FF" w:rsidP="008132FF">
      <w:pPr>
        <w:pStyle w:val="NormalArial"/>
        <w:spacing w:before="120" w:after="120"/>
        <w:rPr>
          <w:lang w:val="en"/>
        </w:rPr>
      </w:pPr>
    </w:p>
    <w:p w14:paraId="1D2C98AC" w14:textId="77777777" w:rsidR="008132FF" w:rsidRPr="008132FF" w:rsidRDefault="008132FF" w:rsidP="008132FF">
      <w:pPr>
        <w:pStyle w:val="NormalArial"/>
        <w:spacing w:before="120" w:after="120"/>
        <w:rPr>
          <w:lang w:val="en"/>
        </w:rPr>
      </w:pPr>
      <w:r w:rsidRPr="008132FF">
        <w:rPr>
          <w:b/>
          <w:bCs/>
          <w:lang w:val="en"/>
        </w:rPr>
        <w:t>1. Clarification Needed Regarding Processing of ERCOT’s of New Load Requests After Batch 0</w:t>
      </w:r>
    </w:p>
    <w:p w14:paraId="52E9AD77" w14:textId="77777777" w:rsidR="008132FF" w:rsidRPr="008132FF" w:rsidRDefault="008132FF" w:rsidP="008132FF">
      <w:pPr>
        <w:pStyle w:val="NormalArial"/>
        <w:spacing w:before="120" w:after="120"/>
        <w:rPr>
          <w:lang w:val="en"/>
        </w:rPr>
      </w:pPr>
      <w:r w:rsidRPr="008132FF">
        <w:rPr>
          <w:lang w:val="en"/>
        </w:rPr>
        <w:t>Language in Section 9.2.1(2) appears to imply that ERCOT will not process new load requests on an individual basis, and Section 9.9 refers to itself as “former procedures.”</w:t>
      </w:r>
    </w:p>
    <w:p w14:paraId="69B083CC" w14:textId="77777777" w:rsidR="008132FF" w:rsidRPr="008132FF" w:rsidRDefault="008132FF" w:rsidP="008132FF">
      <w:pPr>
        <w:pStyle w:val="NormalArial"/>
        <w:spacing w:before="120" w:after="120"/>
        <w:rPr>
          <w:lang w:val="en"/>
        </w:rPr>
      </w:pPr>
      <w:r w:rsidRPr="008132FF">
        <w:rPr>
          <w:lang w:val="en"/>
        </w:rPr>
        <w:t>TEBA respectfully requests clarification on whether ERCOT intends to pause or limit the processing of new load studies while Batch 0 is ongoing under the proposed language and how loads not included in Batch 0 should expect their studies to proceed.</w:t>
      </w:r>
    </w:p>
    <w:p w14:paraId="33BD1395" w14:textId="77777777" w:rsidR="008132FF" w:rsidRPr="008132FF" w:rsidRDefault="008132FF" w:rsidP="008132FF">
      <w:pPr>
        <w:pStyle w:val="NormalArial"/>
        <w:spacing w:before="120" w:after="120"/>
        <w:rPr>
          <w:lang w:val="en"/>
        </w:rPr>
      </w:pPr>
      <w:r w:rsidRPr="008132FF">
        <w:rPr>
          <w:lang w:val="en"/>
        </w:rPr>
        <w:t>Interconnection uncertainty is a significant deterrent to investment. Loads outside Batch 0 require clear expectations and regulatory certainty to proceed with planning and capital commitments, and progress needs to be made on interconnection applications.</w:t>
      </w:r>
    </w:p>
    <w:p w14:paraId="77A5193C" w14:textId="77777777" w:rsidR="008132FF" w:rsidRPr="008132FF" w:rsidRDefault="008132FF" w:rsidP="008132FF">
      <w:pPr>
        <w:pStyle w:val="NormalArial"/>
        <w:spacing w:before="120" w:after="120"/>
        <w:rPr>
          <w:lang w:val="en"/>
        </w:rPr>
      </w:pPr>
      <w:r w:rsidRPr="008132FF">
        <w:rPr>
          <w:b/>
          <w:bCs/>
          <w:lang w:val="en"/>
        </w:rPr>
        <w:t>2. Eligibility for Batch 0 Should Incorporate Current RPG Plans</w:t>
      </w:r>
    </w:p>
    <w:p w14:paraId="13C61866" w14:textId="77777777" w:rsidR="008132FF" w:rsidRPr="008132FF" w:rsidRDefault="008132FF" w:rsidP="008132FF">
      <w:pPr>
        <w:pStyle w:val="NormalArial"/>
        <w:spacing w:before="120" w:after="120"/>
        <w:rPr>
          <w:lang w:val="en"/>
        </w:rPr>
      </w:pPr>
      <w:r w:rsidRPr="008132FF">
        <w:rPr>
          <w:lang w:val="en"/>
        </w:rPr>
        <w:t xml:space="preserve">ERCOT’s proposed approach relies primarily on energization request dates to determine Batch 0 eligibility. TEBA believes that current RPG plans provide an equally </w:t>
      </w:r>
      <w:r w:rsidRPr="008132FF">
        <w:rPr>
          <w:lang w:val="en"/>
        </w:rPr>
        <w:lastRenderedPageBreak/>
        <w:t>important and already-established pathway for timely interconnection and should be incorporated into the Batch 0 framework.</w:t>
      </w:r>
    </w:p>
    <w:p w14:paraId="31A2AF70" w14:textId="77777777" w:rsidR="008132FF" w:rsidRPr="008132FF" w:rsidRDefault="008132FF" w:rsidP="008132FF">
      <w:pPr>
        <w:pStyle w:val="NormalArial"/>
        <w:spacing w:before="120" w:after="120"/>
        <w:rPr>
          <w:lang w:val="en"/>
        </w:rPr>
      </w:pPr>
      <w:r w:rsidRPr="008132FF">
        <w:rPr>
          <w:lang w:val="en"/>
        </w:rPr>
        <w:t>TEBA has filed separate comments outlining our recommendation for an additional pathway for loads in current RPG plans to count in the Batch 0 base case, but TEBA generally is recommending that ERCOT:</w:t>
      </w:r>
    </w:p>
    <w:p w14:paraId="49311FDF" w14:textId="77777777" w:rsidR="008132FF" w:rsidRPr="008132FF" w:rsidRDefault="008132FF" w:rsidP="008132FF">
      <w:pPr>
        <w:pStyle w:val="NormalArial"/>
        <w:numPr>
          <w:ilvl w:val="0"/>
          <w:numId w:val="32"/>
        </w:numPr>
        <w:spacing w:before="120" w:after="120"/>
        <w:rPr>
          <w:lang w:val="en"/>
        </w:rPr>
      </w:pPr>
      <w:r w:rsidRPr="008132FF">
        <w:rPr>
          <w:lang w:val="en"/>
        </w:rPr>
        <w:t>Utilize the existing RPG process to accelerate large loads already in active RPG plans.</w:t>
      </w:r>
    </w:p>
    <w:p w14:paraId="7CA09316" w14:textId="77777777" w:rsidR="008132FF" w:rsidRPr="008132FF" w:rsidRDefault="008132FF" w:rsidP="008132FF">
      <w:pPr>
        <w:pStyle w:val="NormalArial"/>
        <w:numPr>
          <w:ilvl w:val="0"/>
          <w:numId w:val="32"/>
        </w:numPr>
        <w:spacing w:before="120" w:after="120"/>
        <w:rPr>
          <w:lang w:val="en"/>
        </w:rPr>
      </w:pPr>
      <w:r w:rsidRPr="008132FF">
        <w:rPr>
          <w:lang w:val="en"/>
        </w:rPr>
        <w:t>Approve RPG-based interconnection pathways without requiring completion of the batch process.</w:t>
      </w:r>
    </w:p>
    <w:p w14:paraId="3737B478" w14:textId="77777777" w:rsidR="008132FF" w:rsidRPr="008132FF" w:rsidRDefault="008132FF" w:rsidP="008132FF">
      <w:pPr>
        <w:pStyle w:val="NormalArial"/>
        <w:numPr>
          <w:ilvl w:val="0"/>
          <w:numId w:val="32"/>
        </w:numPr>
        <w:spacing w:before="120" w:after="120"/>
        <w:rPr>
          <w:lang w:val="en"/>
        </w:rPr>
      </w:pPr>
      <w:r w:rsidRPr="008132FF">
        <w:rPr>
          <w:lang w:val="en"/>
        </w:rPr>
        <w:t>Approve loads requests where the utility believes very little transmission will be required (such as co-located generation)</w:t>
      </w:r>
    </w:p>
    <w:p w14:paraId="6F1334A3" w14:textId="77777777" w:rsidR="008132FF" w:rsidRPr="008132FF" w:rsidRDefault="008132FF" w:rsidP="008132FF">
      <w:pPr>
        <w:pStyle w:val="NormalArial"/>
        <w:spacing w:before="120" w:after="120"/>
        <w:rPr>
          <w:lang w:val="en"/>
        </w:rPr>
      </w:pPr>
      <w:r w:rsidRPr="008132FF">
        <w:rPr>
          <w:lang w:val="en"/>
        </w:rPr>
        <w:t>This approach would materially accelerate interconnection timelines—potentially by a year—compared to waiting for approvals anticipated next July.</w:t>
      </w:r>
    </w:p>
    <w:p w14:paraId="4ED73146" w14:textId="77777777" w:rsidR="008132FF" w:rsidRPr="008132FF" w:rsidRDefault="008132FF" w:rsidP="008132FF">
      <w:pPr>
        <w:pStyle w:val="NormalArial"/>
        <w:spacing w:before="120" w:after="120"/>
        <w:rPr>
          <w:lang w:val="en"/>
        </w:rPr>
      </w:pPr>
    </w:p>
    <w:p w14:paraId="308A1F2D" w14:textId="77777777" w:rsidR="008132FF" w:rsidRPr="008132FF" w:rsidRDefault="008132FF" w:rsidP="008132FF">
      <w:pPr>
        <w:pStyle w:val="NormalArial"/>
        <w:spacing w:before="120" w:after="120"/>
        <w:rPr>
          <w:lang w:val="en"/>
        </w:rPr>
      </w:pPr>
      <w:r w:rsidRPr="008132FF">
        <w:rPr>
          <w:b/>
          <w:bCs/>
          <w:lang w:val="en"/>
        </w:rPr>
        <w:t>3. Use of Load Commissioning Studies Instead of Limiting Eligibility to 2026 RTP Requests</w:t>
      </w:r>
    </w:p>
    <w:p w14:paraId="3DDAC588" w14:textId="77777777" w:rsidR="008132FF" w:rsidRPr="008132FF" w:rsidRDefault="008132FF" w:rsidP="008132FF">
      <w:pPr>
        <w:pStyle w:val="NormalArial"/>
        <w:spacing w:before="120" w:after="120"/>
        <w:rPr>
          <w:lang w:val="en"/>
        </w:rPr>
      </w:pPr>
      <w:r w:rsidRPr="008132FF">
        <w:rPr>
          <w:lang w:val="en"/>
        </w:rPr>
        <w:t>Section 9.2.1.1(2)(b)(i) may inadvertently restrict eligibility to loads with 2026 RTP requests that are not yet energized.</w:t>
      </w:r>
    </w:p>
    <w:p w14:paraId="0CD8D77D" w14:textId="77777777" w:rsidR="008132FF" w:rsidRPr="008132FF" w:rsidRDefault="008132FF" w:rsidP="008132FF">
      <w:pPr>
        <w:pStyle w:val="NormalArial"/>
        <w:spacing w:before="120" w:after="120"/>
        <w:rPr>
          <w:lang w:val="en"/>
        </w:rPr>
      </w:pPr>
      <w:r w:rsidRPr="008132FF">
        <w:rPr>
          <w:lang w:val="en"/>
        </w:rPr>
        <w:t>Rather than use the lesser demand of RTP or LCP, TEBA recommends that ERCOT just rely on the load commissioning study, which is already developed by the utility and submitted to ERCOT for approval. This would provide a more accurate and practical basis for determining eligibility.</w:t>
      </w:r>
    </w:p>
    <w:p w14:paraId="75CF8B28" w14:textId="77777777" w:rsidR="008132FF" w:rsidRPr="008132FF" w:rsidRDefault="008132FF" w:rsidP="008132FF">
      <w:pPr>
        <w:pStyle w:val="NormalArial"/>
        <w:spacing w:before="120" w:after="120"/>
        <w:rPr>
          <w:lang w:val="en"/>
        </w:rPr>
      </w:pPr>
      <w:r w:rsidRPr="008132FF">
        <w:rPr>
          <w:lang w:val="en"/>
        </w:rPr>
        <w:t xml:space="preserve">The LCP represents the load that was requested and studied, and going below would be punitive. </w:t>
      </w:r>
    </w:p>
    <w:p w14:paraId="361A78F0" w14:textId="77777777" w:rsidR="008132FF" w:rsidRPr="008132FF" w:rsidRDefault="008132FF" w:rsidP="008132FF">
      <w:pPr>
        <w:pStyle w:val="NormalArial"/>
        <w:spacing w:before="120" w:after="120"/>
        <w:rPr>
          <w:lang w:val="en"/>
        </w:rPr>
      </w:pPr>
    </w:p>
    <w:p w14:paraId="309E6F52" w14:textId="77777777" w:rsidR="008132FF" w:rsidRPr="008132FF" w:rsidRDefault="008132FF" w:rsidP="008132FF">
      <w:pPr>
        <w:pStyle w:val="NormalArial"/>
        <w:spacing w:before="120" w:after="120"/>
        <w:rPr>
          <w:lang w:val="en"/>
        </w:rPr>
      </w:pPr>
      <w:r w:rsidRPr="008132FF">
        <w:rPr>
          <w:b/>
          <w:bCs/>
          <w:lang w:val="en"/>
        </w:rPr>
        <w:t>4. Proposed Authority to Invalidate Studies Based on Eligible Load Lists</w:t>
      </w:r>
    </w:p>
    <w:p w14:paraId="4921785A" w14:textId="77777777" w:rsidR="008132FF" w:rsidRPr="008132FF" w:rsidRDefault="008132FF" w:rsidP="008132FF">
      <w:pPr>
        <w:pStyle w:val="NormalArial"/>
        <w:spacing w:before="120" w:after="120"/>
        <w:rPr>
          <w:lang w:val="en"/>
        </w:rPr>
      </w:pPr>
      <w:r w:rsidRPr="008132FF">
        <w:rPr>
          <w:lang w:val="en"/>
        </w:rPr>
        <w:t>Section 9.2.1.4(3)(b) would allow ERCOT to invalidate studies.</w:t>
      </w:r>
    </w:p>
    <w:p w14:paraId="2412ED30" w14:textId="77777777" w:rsidR="008132FF" w:rsidRPr="008132FF" w:rsidRDefault="008132FF" w:rsidP="008132FF">
      <w:pPr>
        <w:pStyle w:val="NormalArial"/>
        <w:spacing w:before="120" w:after="120"/>
        <w:rPr>
          <w:lang w:val="en"/>
        </w:rPr>
      </w:pPr>
      <w:r w:rsidRPr="008132FF">
        <w:rPr>
          <w:lang w:val="en"/>
        </w:rPr>
        <w:t>TEBA is concerned that:</w:t>
      </w:r>
    </w:p>
    <w:p w14:paraId="052211C6" w14:textId="77777777" w:rsidR="008132FF" w:rsidRPr="008132FF" w:rsidRDefault="008132FF" w:rsidP="008132FF">
      <w:pPr>
        <w:pStyle w:val="NormalArial"/>
        <w:numPr>
          <w:ilvl w:val="0"/>
          <w:numId w:val="32"/>
        </w:numPr>
        <w:spacing w:before="120" w:after="120"/>
        <w:rPr>
          <w:lang w:val="en"/>
        </w:rPr>
      </w:pPr>
      <w:r w:rsidRPr="008132FF">
        <w:rPr>
          <w:lang w:val="en"/>
        </w:rPr>
        <w:t>The purpose of the batch process is to study these loads collectively; invalidating studies mid-process undermines that purpose.</w:t>
      </w:r>
    </w:p>
    <w:p w14:paraId="07108969" w14:textId="77777777" w:rsidR="008132FF" w:rsidRPr="008132FF" w:rsidRDefault="008132FF" w:rsidP="008132FF">
      <w:pPr>
        <w:pStyle w:val="NormalArial"/>
        <w:numPr>
          <w:ilvl w:val="0"/>
          <w:numId w:val="32"/>
        </w:numPr>
        <w:spacing w:before="120" w:after="120"/>
        <w:rPr>
          <w:lang w:val="en"/>
        </w:rPr>
      </w:pPr>
      <w:r w:rsidRPr="008132FF">
        <w:rPr>
          <w:lang w:val="en"/>
        </w:rPr>
        <w:t>Corrections to studied loads should be incorporated within the batch process itself rather than used as grounds for invalidation.</w:t>
      </w:r>
    </w:p>
    <w:p w14:paraId="207448A1" w14:textId="77777777" w:rsidR="008132FF" w:rsidRPr="008132FF" w:rsidRDefault="008132FF" w:rsidP="008132FF">
      <w:pPr>
        <w:pStyle w:val="NormalArial"/>
        <w:spacing w:before="120" w:after="120"/>
        <w:rPr>
          <w:lang w:val="en"/>
        </w:rPr>
      </w:pPr>
      <w:r w:rsidRPr="008132FF">
        <w:rPr>
          <w:lang w:val="en"/>
        </w:rPr>
        <w:t>ERCOT needs to revise this provision to ensure that study corrections can occur within the batch framework.</w:t>
      </w:r>
    </w:p>
    <w:p w14:paraId="281306E8" w14:textId="77777777" w:rsidR="008132FF" w:rsidRPr="008132FF" w:rsidRDefault="008132FF" w:rsidP="008132FF">
      <w:pPr>
        <w:pStyle w:val="NormalArial"/>
        <w:spacing w:before="120" w:after="120"/>
        <w:rPr>
          <w:lang w:val="en"/>
        </w:rPr>
      </w:pPr>
    </w:p>
    <w:p w14:paraId="7CFCB184" w14:textId="77777777" w:rsidR="008132FF" w:rsidRPr="008132FF" w:rsidRDefault="008132FF" w:rsidP="008132FF">
      <w:pPr>
        <w:pStyle w:val="NormalArial"/>
        <w:spacing w:before="120" w:after="120"/>
        <w:rPr>
          <w:lang w:val="en"/>
        </w:rPr>
      </w:pPr>
      <w:r w:rsidRPr="008132FF">
        <w:rPr>
          <w:b/>
          <w:bCs/>
          <w:lang w:val="en"/>
        </w:rPr>
        <w:t>5. “Sole Discretion” Language Should Be Replaced With Transparent Criteria</w:t>
      </w:r>
    </w:p>
    <w:p w14:paraId="053320D9" w14:textId="77777777" w:rsidR="008132FF" w:rsidRPr="008132FF" w:rsidRDefault="008132FF" w:rsidP="008132FF">
      <w:pPr>
        <w:pStyle w:val="NormalArial"/>
        <w:spacing w:before="120" w:after="120"/>
        <w:rPr>
          <w:lang w:val="en"/>
        </w:rPr>
      </w:pPr>
      <w:r w:rsidRPr="008132FF">
        <w:rPr>
          <w:lang w:val="en"/>
        </w:rPr>
        <w:t xml:space="preserve">Several provisions grant ERCOT “sole discretion” to cancel projects or studies. This is antithetical to the stakeholder process and creates extreme market uncertainty. </w:t>
      </w:r>
    </w:p>
    <w:p w14:paraId="157FDD1B" w14:textId="77777777" w:rsidR="008132FF" w:rsidRPr="008132FF" w:rsidRDefault="008132FF" w:rsidP="008132FF">
      <w:pPr>
        <w:pStyle w:val="NormalArial"/>
        <w:spacing w:before="120" w:after="120"/>
        <w:rPr>
          <w:lang w:val="en"/>
        </w:rPr>
      </w:pPr>
      <w:r w:rsidRPr="008132FF">
        <w:rPr>
          <w:lang w:val="en"/>
        </w:rPr>
        <w:lastRenderedPageBreak/>
        <w:t>TEBA recommends developing clear, objective, and transparent criteria to ensure predictability and fairness for all market participants.</w:t>
      </w:r>
    </w:p>
    <w:p w14:paraId="65521818" w14:textId="77777777" w:rsidR="008132FF" w:rsidRPr="008132FF" w:rsidRDefault="008132FF" w:rsidP="008132FF">
      <w:pPr>
        <w:pStyle w:val="NormalArial"/>
        <w:spacing w:before="120" w:after="120"/>
        <w:rPr>
          <w:lang w:val="en"/>
        </w:rPr>
      </w:pPr>
    </w:p>
    <w:p w14:paraId="19732EE8" w14:textId="77777777" w:rsidR="008132FF" w:rsidRPr="008132FF" w:rsidRDefault="008132FF" w:rsidP="008132FF">
      <w:pPr>
        <w:pStyle w:val="NormalArial"/>
        <w:spacing w:before="120" w:after="120"/>
        <w:rPr>
          <w:lang w:val="en"/>
        </w:rPr>
      </w:pPr>
      <w:r w:rsidRPr="008132FF">
        <w:rPr>
          <w:b/>
          <w:bCs/>
          <w:lang w:val="en"/>
        </w:rPr>
        <w:t>6. Disclosure of Power Procurement Plans Should Not Be an Interconnection Requirement</w:t>
      </w:r>
    </w:p>
    <w:p w14:paraId="72DB3A1E" w14:textId="77777777" w:rsidR="008132FF" w:rsidRPr="008132FF" w:rsidRDefault="008132FF" w:rsidP="008132FF">
      <w:pPr>
        <w:pStyle w:val="NormalArial"/>
        <w:spacing w:before="120" w:after="120"/>
        <w:rPr>
          <w:lang w:val="en"/>
        </w:rPr>
      </w:pPr>
      <w:r w:rsidRPr="008132FF">
        <w:rPr>
          <w:lang w:val="en"/>
        </w:rPr>
        <w:t>The intermediate agreement section appears to require disclosure of how a load intends to procure power.</w:t>
      </w:r>
    </w:p>
    <w:p w14:paraId="5F5187CF" w14:textId="77777777" w:rsidR="008132FF" w:rsidRPr="008132FF" w:rsidRDefault="008132FF" w:rsidP="008132FF">
      <w:pPr>
        <w:pStyle w:val="NormalArial"/>
        <w:spacing w:before="120" w:after="120"/>
        <w:rPr>
          <w:lang w:val="en"/>
        </w:rPr>
      </w:pPr>
      <w:r w:rsidRPr="008132FF">
        <w:rPr>
          <w:lang w:val="en"/>
        </w:rPr>
        <w:t>While loads will ultimately procure power through the ERCOT market in one form or another or may still use a retailer to supply their power. TEBA does not believe procurement strategy should be a prerequisite for interconnection. We request that this requirement be removed or clarified.</w:t>
      </w:r>
    </w:p>
    <w:p w14:paraId="55D3F43A" w14:textId="77777777" w:rsidR="008132FF" w:rsidRPr="008132FF" w:rsidRDefault="008132FF" w:rsidP="008132FF">
      <w:pPr>
        <w:pStyle w:val="NormalArial"/>
        <w:spacing w:before="120" w:after="120"/>
        <w:rPr>
          <w:lang w:val="en"/>
        </w:rPr>
      </w:pPr>
    </w:p>
    <w:p w14:paraId="3F4D41B7" w14:textId="77777777" w:rsidR="008132FF" w:rsidRPr="008132FF" w:rsidRDefault="008132FF" w:rsidP="008132FF">
      <w:pPr>
        <w:pStyle w:val="NormalArial"/>
        <w:spacing w:before="120" w:after="120"/>
        <w:rPr>
          <w:lang w:val="en"/>
        </w:rPr>
      </w:pPr>
      <w:r w:rsidRPr="008132FF">
        <w:rPr>
          <w:b/>
          <w:bCs/>
          <w:lang w:val="en"/>
        </w:rPr>
        <w:t>7. Cross-Referencing of Project 58481 Regulations</w:t>
      </w:r>
    </w:p>
    <w:p w14:paraId="11DEF1DC" w14:textId="77777777" w:rsidR="008132FF" w:rsidRPr="008132FF" w:rsidRDefault="008132FF" w:rsidP="008132FF">
      <w:pPr>
        <w:pStyle w:val="NormalArial"/>
        <w:spacing w:before="120" w:after="120"/>
        <w:rPr>
          <w:lang w:val="en"/>
        </w:rPr>
      </w:pPr>
      <w:r w:rsidRPr="008132FF">
        <w:rPr>
          <w:lang w:val="en"/>
        </w:rPr>
        <w:t xml:space="preserve">TEBA notes that PGRR145 cross-references rules </w:t>
      </w:r>
      <w:proofErr w:type="gramStart"/>
      <w:r w:rsidRPr="008132FF">
        <w:rPr>
          <w:lang w:val="en"/>
        </w:rPr>
        <w:t>still</w:t>
      </w:r>
      <w:proofErr w:type="gramEnd"/>
      <w:r w:rsidRPr="008132FF">
        <w:rPr>
          <w:lang w:val="en"/>
        </w:rPr>
        <w:t xml:space="preserve"> under development under Project 58481 which, for example, prohibit utilities from ordering equipment unless certain conditions have been met, or regulating the use of customer funds in ways we disagree with.  </w:t>
      </w:r>
    </w:p>
    <w:p w14:paraId="30F1395F" w14:textId="77777777" w:rsidR="008132FF" w:rsidRPr="008132FF" w:rsidRDefault="008132FF" w:rsidP="008132FF">
      <w:pPr>
        <w:pStyle w:val="NormalArial"/>
        <w:spacing w:before="120" w:after="120"/>
        <w:rPr>
          <w:lang w:val="en"/>
        </w:rPr>
      </w:pPr>
      <w:r w:rsidRPr="008132FF">
        <w:rPr>
          <w:lang w:val="en"/>
        </w:rPr>
        <w:t xml:space="preserve">We intend to provide more detailed comments on these issues during the forthcoming 58481 comment </w:t>
      </w:r>
      <w:proofErr w:type="gramStart"/>
      <w:r w:rsidRPr="008132FF">
        <w:rPr>
          <w:lang w:val="en"/>
        </w:rPr>
        <w:t>period</w:t>
      </w:r>
      <w:proofErr w:type="gramEnd"/>
      <w:r w:rsidRPr="008132FF">
        <w:rPr>
          <w:lang w:val="en"/>
        </w:rPr>
        <w:t xml:space="preserve"> but it is unusual to include pending rules directly into the planning guides. We request the Commission carefully consider the implications of including their rules in the ERCOT procedures as it relates to the powers and duties of the Commission. Although the ERCOT stakeholder process can allow for “substantial compliance with the APA rulemaking procedures” (RWE), it is still worthwhile to consider best practices.</w:t>
      </w:r>
    </w:p>
    <w:p w14:paraId="3132D10C" w14:textId="77777777" w:rsidR="008132FF" w:rsidRPr="008132FF" w:rsidRDefault="008132FF" w:rsidP="008132FF">
      <w:pPr>
        <w:pStyle w:val="NormalArial"/>
        <w:spacing w:before="120" w:after="120"/>
        <w:rPr>
          <w:lang w:val="en"/>
        </w:rPr>
      </w:pPr>
    </w:p>
    <w:p w14:paraId="058A838B" w14:textId="77777777" w:rsidR="008132FF" w:rsidRPr="008132FF" w:rsidRDefault="008132FF" w:rsidP="008132FF">
      <w:pPr>
        <w:pStyle w:val="NormalArial"/>
        <w:spacing w:before="120" w:after="120"/>
        <w:rPr>
          <w:lang w:val="en"/>
        </w:rPr>
      </w:pPr>
      <w:r w:rsidRPr="008132FF">
        <w:rPr>
          <w:b/>
          <w:bCs/>
          <w:lang w:val="en"/>
        </w:rPr>
        <w:t>8. Financial Security Requirements and Refundability Provisions</w:t>
      </w:r>
    </w:p>
    <w:p w14:paraId="2DE5183B" w14:textId="77777777" w:rsidR="008132FF" w:rsidRPr="008132FF" w:rsidRDefault="008132FF" w:rsidP="008132FF">
      <w:pPr>
        <w:pStyle w:val="NormalArial"/>
        <w:spacing w:before="120" w:after="120"/>
        <w:rPr>
          <w:lang w:val="en"/>
        </w:rPr>
      </w:pPr>
      <w:r w:rsidRPr="008132FF">
        <w:rPr>
          <w:lang w:val="en"/>
        </w:rPr>
        <w:t xml:space="preserve">TEBA plans to comment more extensively on Project </w:t>
      </w:r>
      <w:proofErr w:type="gramStart"/>
      <w:r w:rsidRPr="008132FF">
        <w:rPr>
          <w:lang w:val="en"/>
        </w:rPr>
        <w:t>58481</w:t>
      </w:r>
      <w:proofErr w:type="gramEnd"/>
      <w:r w:rsidRPr="008132FF">
        <w:rPr>
          <w:lang w:val="en"/>
        </w:rPr>
        <w:t xml:space="preserve"> but we have some concerns with the direction as described in PGGR145. Among other provisions, ERCOT proposes that 80% of the financial security requirement be held for five years. We offer the following recommendations:</w:t>
      </w:r>
    </w:p>
    <w:p w14:paraId="48DF53C5" w14:textId="77777777" w:rsidR="008132FF" w:rsidRPr="008132FF" w:rsidRDefault="008132FF" w:rsidP="008132FF">
      <w:pPr>
        <w:pStyle w:val="NormalArial"/>
        <w:numPr>
          <w:ilvl w:val="0"/>
          <w:numId w:val="32"/>
        </w:numPr>
        <w:spacing w:before="120" w:after="120"/>
        <w:rPr>
          <w:lang w:val="en"/>
        </w:rPr>
      </w:pPr>
      <w:r w:rsidRPr="008132FF">
        <w:rPr>
          <w:lang w:val="en"/>
        </w:rPr>
        <w:t>Refundability rules are critical; loads should not face partial refundability merely for entering the study process.</w:t>
      </w:r>
    </w:p>
    <w:p w14:paraId="3A9D7938" w14:textId="77777777" w:rsidR="008132FF" w:rsidRPr="008132FF" w:rsidRDefault="008132FF" w:rsidP="008132FF">
      <w:pPr>
        <w:pStyle w:val="NormalArial"/>
        <w:numPr>
          <w:ilvl w:val="0"/>
          <w:numId w:val="32"/>
        </w:numPr>
        <w:spacing w:before="120" w:after="120"/>
        <w:rPr>
          <w:lang w:val="en"/>
        </w:rPr>
      </w:pPr>
      <w:r w:rsidRPr="008132FF">
        <w:rPr>
          <w:lang w:val="en"/>
        </w:rPr>
        <w:t>TEBA prefers a minimum transmission charge approach, with the ability to cancel a project up to a defined milestone (e.g., after the first study).</w:t>
      </w:r>
    </w:p>
    <w:p w14:paraId="46402C37" w14:textId="77777777" w:rsidR="008132FF" w:rsidRPr="008132FF" w:rsidRDefault="008132FF" w:rsidP="008132FF">
      <w:pPr>
        <w:pStyle w:val="NormalArial"/>
        <w:numPr>
          <w:ilvl w:val="0"/>
          <w:numId w:val="32"/>
        </w:numPr>
        <w:spacing w:before="120" w:after="120"/>
        <w:rPr>
          <w:lang w:val="en"/>
        </w:rPr>
      </w:pPr>
      <w:r w:rsidRPr="008132FF">
        <w:rPr>
          <w:lang w:val="en"/>
        </w:rPr>
        <w:t>It is unclear how these requirements would apply to corporate or parental guarantees, which do not involve direct funding being held. Clarification is needed regarding compliance pathways under Section 9.7.5.</w:t>
      </w:r>
    </w:p>
    <w:p w14:paraId="26ED0FC6" w14:textId="77777777" w:rsidR="008132FF" w:rsidRPr="008132FF" w:rsidRDefault="008132FF" w:rsidP="008132FF">
      <w:pPr>
        <w:pStyle w:val="NormalArial"/>
        <w:spacing w:before="120" w:after="120"/>
        <w:rPr>
          <w:lang w:val="en"/>
        </w:rPr>
      </w:pPr>
      <w:r w:rsidRPr="008132FF">
        <w:rPr>
          <w:lang w:val="en"/>
        </w:rPr>
        <w:t xml:space="preserve">Finally, it is unclear how ERCOT would be able to enforce these provisions as it is beyond its purview. The Commission, not ERCOT, manages the financial well-being of </w:t>
      </w:r>
      <w:r w:rsidRPr="008132FF">
        <w:rPr>
          <w:lang w:val="en"/>
        </w:rPr>
        <w:lastRenderedPageBreak/>
        <w:t xml:space="preserve">Texas TSPs and their relationships with load. ERCOT should simplify this provision by requiring attestation to </w:t>
      </w:r>
      <w:proofErr w:type="gramStart"/>
      <w:r w:rsidRPr="008132FF">
        <w:rPr>
          <w:lang w:val="en"/>
        </w:rPr>
        <w:t>meeting</w:t>
      </w:r>
      <w:proofErr w:type="gramEnd"/>
      <w:r w:rsidRPr="008132FF">
        <w:rPr>
          <w:lang w:val="en"/>
        </w:rPr>
        <w:t xml:space="preserve"> the requirements. </w:t>
      </w:r>
    </w:p>
    <w:p w14:paraId="6F82F7F1" w14:textId="77777777" w:rsidR="008132FF" w:rsidRPr="008132FF" w:rsidRDefault="008132FF" w:rsidP="008132FF">
      <w:pPr>
        <w:pStyle w:val="NormalArial"/>
        <w:spacing w:before="120" w:after="120"/>
        <w:rPr>
          <w:lang w:val="en"/>
        </w:rPr>
      </w:pPr>
    </w:p>
    <w:p w14:paraId="0E6ED0AA" w14:textId="77777777" w:rsidR="008132FF" w:rsidRPr="008132FF" w:rsidRDefault="008132FF" w:rsidP="008132FF">
      <w:pPr>
        <w:pStyle w:val="NormalArial"/>
        <w:spacing w:before="120" w:after="120"/>
        <w:rPr>
          <w:b/>
          <w:bCs/>
          <w:lang w:val="en"/>
        </w:rPr>
      </w:pPr>
      <w:r w:rsidRPr="008132FF">
        <w:rPr>
          <w:b/>
          <w:bCs/>
          <w:lang w:val="en"/>
        </w:rPr>
        <w:t>9. Eligibility Criteria for Inclusion of a Large Load as Base Load not Subject to Additional Study in the Batch Zero Process</w:t>
      </w:r>
    </w:p>
    <w:p w14:paraId="4C47C3D4" w14:textId="77777777" w:rsidR="008132FF" w:rsidRPr="008132FF" w:rsidRDefault="008132FF" w:rsidP="008132FF">
      <w:pPr>
        <w:pStyle w:val="NormalArial"/>
        <w:spacing w:before="120" w:after="120"/>
        <w:rPr>
          <w:lang w:val="en"/>
        </w:rPr>
      </w:pPr>
      <w:r w:rsidRPr="008132FF">
        <w:rPr>
          <w:lang w:val="en"/>
        </w:rPr>
        <w:t xml:space="preserve">TEBA believes that the qualifying criteria for inclusion as Base Load for large loads with a requested initial energization date on or before December 31, 2027 should be revised to: (1) require procurement of </w:t>
      </w:r>
      <w:r w:rsidRPr="008132FF">
        <w:rPr>
          <w:u w:val="single"/>
          <w:lang w:val="en"/>
        </w:rPr>
        <w:t>long</w:t>
      </w:r>
      <w:r w:rsidRPr="008132FF">
        <w:rPr>
          <w:u w:val="single"/>
          <w:lang w:val="en"/>
        </w:rPr>
        <w:noBreakHyphen/>
        <w:t>lead</w:t>
      </w:r>
      <w:r w:rsidRPr="008132FF">
        <w:rPr>
          <w:lang w:val="en"/>
        </w:rPr>
        <w:t xml:space="preserve"> high</w:t>
      </w:r>
      <w:r w:rsidRPr="008132FF">
        <w:rPr>
          <w:lang w:val="en"/>
        </w:rPr>
        <w:noBreakHyphen/>
        <w:t>voltage equipment (e.g., transformers), rather than “all necessary” high</w:t>
      </w:r>
      <w:r w:rsidRPr="008132FF">
        <w:rPr>
          <w:lang w:val="en"/>
        </w:rPr>
        <w:noBreakHyphen/>
        <w:t>voltage equipment, and (2) require that the customer has initiated site preparation, rather than having begun site preparation and construction.</w:t>
      </w:r>
    </w:p>
    <w:p w14:paraId="78306D16" w14:textId="77777777" w:rsidR="008132FF" w:rsidRPr="008132FF" w:rsidRDefault="008132FF" w:rsidP="008132FF">
      <w:pPr>
        <w:pStyle w:val="NormalArial"/>
        <w:spacing w:before="120" w:after="120"/>
        <w:rPr>
          <w:b/>
          <w:bCs/>
          <w:lang w:val="en"/>
        </w:rPr>
      </w:pPr>
    </w:p>
    <w:p w14:paraId="74D5D35C" w14:textId="77777777" w:rsidR="008132FF" w:rsidRPr="008132FF" w:rsidRDefault="008132FF" w:rsidP="008132FF">
      <w:pPr>
        <w:pStyle w:val="NormalArial"/>
        <w:spacing w:before="120" w:after="120"/>
        <w:rPr>
          <w:lang w:val="en"/>
        </w:rPr>
      </w:pPr>
      <w:r w:rsidRPr="008132FF">
        <w:rPr>
          <w:b/>
          <w:bCs/>
          <w:lang w:val="en"/>
        </w:rPr>
        <w:t>Conclusion</w:t>
      </w:r>
    </w:p>
    <w:p w14:paraId="5C534A03" w14:textId="54F11413" w:rsidR="00EB1968" w:rsidRPr="008132FF" w:rsidRDefault="008132FF" w:rsidP="008132FF">
      <w:pPr>
        <w:pStyle w:val="NormalArial"/>
        <w:spacing w:before="120" w:after="120"/>
        <w:rPr>
          <w:lang w:val="en"/>
        </w:rPr>
      </w:pPr>
      <w:r w:rsidRPr="008132FF">
        <w:rPr>
          <w:lang w:val="en"/>
        </w:rPr>
        <w:t>TEBA appreciates ERCOT’s efforts to improve and speed the interconnection process and supports reforms that enhance transparency, predictability, and timely access to the grid. We look forward to continued collaboration to ensure that Texas remains a competitive and reliable destination for large-scale load investment.</w:t>
      </w:r>
      <w:r w:rsidR="00EB1968">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C59B7FA" w14:textId="6A8FCE1A" w:rsidR="00B76F17" w:rsidRPr="00B76F17" w:rsidRDefault="008132FF" w:rsidP="008132FF">
      <w:pPr>
        <w:pStyle w:val="NormalArial"/>
        <w:spacing w:before="120" w:after="120"/>
      </w:pPr>
      <w:r>
        <w:t>None</w:t>
      </w:r>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A573" w14:textId="77777777" w:rsidR="007E3A6E" w:rsidRDefault="007E3A6E">
      <w:r>
        <w:separator/>
      </w:r>
    </w:p>
  </w:endnote>
  <w:endnote w:type="continuationSeparator" w:id="0">
    <w:p w14:paraId="241FAF41" w14:textId="77777777" w:rsidR="007E3A6E" w:rsidRDefault="007E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91BA54F"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8132FF">
      <w:rPr>
        <w:rFonts w:ascii="Arial" w:hAnsi="Arial" w:cs="Arial"/>
        <w:sz w:val="18"/>
      </w:rPr>
      <w:t>20a</w:t>
    </w:r>
    <w:r>
      <w:rPr>
        <w:rFonts w:ascii="Arial" w:hAnsi="Arial" w:cs="Arial"/>
        <w:sz w:val="18"/>
      </w:rPr>
      <w:t xml:space="preserve"> </w:t>
    </w:r>
    <w:r w:rsidR="008132FF">
      <w:rPr>
        <w:rFonts w:ascii="Arial" w:hAnsi="Arial" w:cs="Arial"/>
        <w:sz w:val="18"/>
      </w:rPr>
      <w:t>TEBA</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A90765">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2663" w14:textId="77777777" w:rsidR="007E3A6E" w:rsidRDefault="007E3A6E">
      <w:r>
        <w:separator/>
      </w:r>
    </w:p>
  </w:footnote>
  <w:footnote w:type="continuationSeparator" w:id="0">
    <w:p w14:paraId="2FA4EAD7" w14:textId="77777777" w:rsidR="007E3A6E" w:rsidRDefault="007E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54F60"/>
    <w:multiLevelType w:val="hybridMultilevel"/>
    <w:tmpl w:val="A19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8590666"/>
    <w:multiLevelType w:val="hybridMultilevel"/>
    <w:tmpl w:val="9926D66C"/>
    <w:lvl w:ilvl="0" w:tplc="30325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229C9"/>
    <w:multiLevelType w:val="multilevel"/>
    <w:tmpl w:val="5EEC0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1"/>
  </w:num>
  <w:num w:numId="3" w16cid:durableId="1465851006">
    <w:abstractNumId w:val="23"/>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7"/>
  </w:num>
  <w:num w:numId="15" w16cid:durableId="437800973">
    <w:abstractNumId w:val="15"/>
  </w:num>
  <w:num w:numId="16" w16cid:durableId="700282402">
    <w:abstractNumId w:val="19"/>
  </w:num>
  <w:num w:numId="17" w16cid:durableId="1309476948">
    <w:abstractNumId w:val="20"/>
  </w:num>
  <w:num w:numId="18" w16cid:durableId="550963706">
    <w:abstractNumId w:val="8"/>
  </w:num>
  <w:num w:numId="19" w16cid:durableId="1284192548">
    <w:abstractNumId w:val="17"/>
  </w:num>
  <w:num w:numId="20" w16cid:durableId="856843399">
    <w:abstractNumId w:val="2"/>
  </w:num>
  <w:num w:numId="21" w16cid:durableId="1171601898">
    <w:abstractNumId w:val="5"/>
  </w:num>
  <w:num w:numId="22" w16cid:durableId="190920732">
    <w:abstractNumId w:val="3"/>
  </w:num>
  <w:num w:numId="23" w16cid:durableId="519398895">
    <w:abstractNumId w:val="22"/>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4"/>
  </w:num>
  <w:num w:numId="29" w16cid:durableId="460730629">
    <w:abstractNumId w:val="12"/>
  </w:num>
  <w:num w:numId="30" w16cid:durableId="186021770">
    <w:abstractNumId w:val="11"/>
  </w:num>
  <w:num w:numId="31" w16cid:durableId="1577545722">
    <w:abstractNumId w:val="13"/>
  </w:num>
  <w:num w:numId="32" w16cid:durableId="1996032584">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6BD0"/>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482"/>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D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823"/>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2D26"/>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3E"/>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4E89"/>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D8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E76"/>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A6E"/>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2FF"/>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B04"/>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D4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364"/>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765"/>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31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1C30"/>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5DC3"/>
    <w:rsid w:val="00B461AB"/>
    <w:rsid w:val="00B468E6"/>
    <w:rsid w:val="00B47013"/>
    <w:rsid w:val="00B47167"/>
    <w:rsid w:val="00B474AE"/>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0EEC"/>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99"/>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38C"/>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968"/>
    <w:rsid w:val="00EB1C9F"/>
    <w:rsid w:val="00EB2075"/>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08F"/>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2D30"/>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605"/>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aker@cebuy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1154</Words>
  <Characters>6816</Characters>
  <Application>Microsoft Office Word</Application>
  <DocSecurity>0</DocSecurity>
  <Lines>121</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7929</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Eolic 032026</cp:lastModifiedBy>
  <cp:revision>3</cp:revision>
  <cp:lastPrinted>2013-11-17T06:11:00Z</cp:lastPrinted>
  <dcterms:created xsi:type="dcterms:W3CDTF">2026-03-20T17:34:00Z</dcterms:created>
  <dcterms:modified xsi:type="dcterms:W3CDTF">2026-03-20T17:38:00Z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