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152993" w14:paraId="02EC1A37" w14:textId="77777777">
        <w:tblPrEx>
          <w:tblCellMar>
            <w:top w:w="0" w:type="dxa"/>
            <w:bottom w:w="0" w:type="dxa"/>
          </w:tblCellMar>
        </w:tblPrEx>
        <w:tc>
          <w:tcPr>
            <w:tcW w:w="1620" w:type="dxa"/>
            <w:tcBorders>
              <w:bottom w:val="single" w:sz="4" w:space="0" w:color="auto"/>
            </w:tcBorders>
            <w:shd w:val="clear" w:color="auto" w:fill="FFFFFF"/>
            <w:vAlign w:val="center"/>
          </w:tcPr>
          <w:p w14:paraId="7496FCFB" w14:textId="77777777" w:rsidR="00152993" w:rsidRDefault="00D825C5">
            <w:pPr>
              <w:pStyle w:val="Header"/>
              <w:rPr>
                <w:rFonts w:ascii="Verdana" w:hAnsi="Verdana"/>
                <w:sz w:val="22"/>
              </w:rPr>
            </w:pPr>
            <w:r>
              <w:t>NOG</w:t>
            </w:r>
            <w:r w:rsidR="00C158EE">
              <w:t xml:space="preserve">RR </w:t>
            </w:r>
            <w:r w:rsidR="00152993">
              <w:t>Number</w:t>
            </w:r>
          </w:p>
        </w:tc>
        <w:tc>
          <w:tcPr>
            <w:tcW w:w="1260" w:type="dxa"/>
            <w:tcBorders>
              <w:bottom w:val="single" w:sz="4" w:space="0" w:color="auto"/>
            </w:tcBorders>
            <w:vAlign w:val="center"/>
          </w:tcPr>
          <w:p w14:paraId="5F742E7B" w14:textId="77777777" w:rsidR="00152993" w:rsidRDefault="001E1151">
            <w:pPr>
              <w:pStyle w:val="Header"/>
            </w:pPr>
            <w:hyperlink r:id="rId7" w:history="1">
              <w:r w:rsidRPr="001E1151">
                <w:rPr>
                  <w:rStyle w:val="Hyperlink"/>
                </w:rPr>
                <w:t>282</w:t>
              </w:r>
            </w:hyperlink>
          </w:p>
        </w:tc>
        <w:tc>
          <w:tcPr>
            <w:tcW w:w="1440" w:type="dxa"/>
            <w:tcBorders>
              <w:bottom w:val="single" w:sz="4" w:space="0" w:color="auto"/>
            </w:tcBorders>
            <w:shd w:val="clear" w:color="auto" w:fill="FFFFFF"/>
            <w:vAlign w:val="center"/>
          </w:tcPr>
          <w:p w14:paraId="072803EC" w14:textId="77777777" w:rsidR="00152993" w:rsidRDefault="00D825C5">
            <w:pPr>
              <w:pStyle w:val="Header"/>
            </w:pPr>
            <w:r>
              <w:t>NOG</w:t>
            </w:r>
            <w:r w:rsidR="00C158EE">
              <w:t xml:space="preserve">RR </w:t>
            </w:r>
            <w:r w:rsidR="00152993">
              <w:t>Title</w:t>
            </w:r>
          </w:p>
        </w:tc>
        <w:tc>
          <w:tcPr>
            <w:tcW w:w="6120" w:type="dxa"/>
            <w:tcBorders>
              <w:bottom w:val="single" w:sz="4" w:space="0" w:color="auto"/>
            </w:tcBorders>
            <w:vAlign w:val="center"/>
          </w:tcPr>
          <w:p w14:paraId="252B230B" w14:textId="77777777" w:rsidR="00152993" w:rsidRDefault="001E1151">
            <w:pPr>
              <w:pStyle w:val="Header"/>
            </w:pPr>
            <w:r>
              <w:t>Board Priority – Large Electric Load Ride-Through Requirements</w:t>
            </w:r>
          </w:p>
        </w:tc>
      </w:tr>
    </w:tbl>
    <w:p w14:paraId="105F96AB"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5B9D074B" w14:textId="77777777">
        <w:tblPrEx>
          <w:tblCellMar>
            <w:top w:w="0" w:type="dxa"/>
            <w:bottom w:w="0" w:type="dxa"/>
          </w:tblCellMar>
        </w:tblPrEx>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3E23E754"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026E46C1" w14:textId="68AB6DAE" w:rsidR="00152993" w:rsidRDefault="001E1151">
            <w:pPr>
              <w:pStyle w:val="NormalArial"/>
            </w:pPr>
            <w:r>
              <w:t>March 18, 2026</w:t>
            </w:r>
          </w:p>
        </w:tc>
      </w:tr>
    </w:tbl>
    <w:p w14:paraId="1EBB0B9F"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540E796A" w14:textId="77777777">
        <w:tblPrEx>
          <w:tblCellMar>
            <w:top w:w="0" w:type="dxa"/>
            <w:bottom w:w="0" w:type="dxa"/>
          </w:tblCellMar>
        </w:tblPrEx>
        <w:trPr>
          <w:trHeight w:val="440"/>
        </w:trPr>
        <w:tc>
          <w:tcPr>
            <w:tcW w:w="10440" w:type="dxa"/>
            <w:gridSpan w:val="2"/>
            <w:tcBorders>
              <w:top w:val="single" w:sz="4" w:space="0" w:color="auto"/>
            </w:tcBorders>
            <w:shd w:val="clear" w:color="auto" w:fill="FFFFFF"/>
            <w:vAlign w:val="center"/>
          </w:tcPr>
          <w:p w14:paraId="08B99ED1" w14:textId="77777777" w:rsidR="00152993" w:rsidRDefault="00152993">
            <w:pPr>
              <w:pStyle w:val="Header"/>
              <w:jc w:val="center"/>
            </w:pPr>
            <w:r>
              <w:t>Submitter’s Information</w:t>
            </w:r>
          </w:p>
        </w:tc>
      </w:tr>
      <w:tr w:rsidR="00152993" w14:paraId="01016289" w14:textId="77777777">
        <w:tblPrEx>
          <w:tblCellMar>
            <w:top w:w="0" w:type="dxa"/>
            <w:bottom w:w="0" w:type="dxa"/>
          </w:tblCellMar>
        </w:tblPrEx>
        <w:trPr>
          <w:trHeight w:val="350"/>
        </w:trPr>
        <w:tc>
          <w:tcPr>
            <w:tcW w:w="2880" w:type="dxa"/>
            <w:shd w:val="clear" w:color="auto" w:fill="FFFFFF"/>
            <w:vAlign w:val="center"/>
          </w:tcPr>
          <w:p w14:paraId="4A54A7E8" w14:textId="77777777" w:rsidR="00152993" w:rsidRPr="00EC55B3" w:rsidRDefault="00152993" w:rsidP="00EC55B3">
            <w:pPr>
              <w:pStyle w:val="Header"/>
            </w:pPr>
            <w:r w:rsidRPr="00EC55B3">
              <w:t>Name</w:t>
            </w:r>
          </w:p>
        </w:tc>
        <w:tc>
          <w:tcPr>
            <w:tcW w:w="7560" w:type="dxa"/>
            <w:vAlign w:val="center"/>
          </w:tcPr>
          <w:p w14:paraId="2CBA454D" w14:textId="77777777" w:rsidR="00152993" w:rsidRDefault="001E1151">
            <w:pPr>
              <w:pStyle w:val="NormalArial"/>
            </w:pPr>
            <w:r>
              <w:t>Jessi Goostree</w:t>
            </w:r>
          </w:p>
        </w:tc>
      </w:tr>
      <w:tr w:rsidR="00152993" w14:paraId="612A9DB0" w14:textId="77777777">
        <w:tblPrEx>
          <w:tblCellMar>
            <w:top w:w="0" w:type="dxa"/>
            <w:bottom w:w="0" w:type="dxa"/>
          </w:tblCellMar>
        </w:tblPrEx>
        <w:trPr>
          <w:trHeight w:val="350"/>
        </w:trPr>
        <w:tc>
          <w:tcPr>
            <w:tcW w:w="2880" w:type="dxa"/>
            <w:shd w:val="clear" w:color="auto" w:fill="FFFFFF"/>
            <w:vAlign w:val="center"/>
          </w:tcPr>
          <w:p w14:paraId="2D2DC0CB" w14:textId="77777777" w:rsidR="00152993" w:rsidRPr="00EC55B3" w:rsidRDefault="00152993" w:rsidP="00EC55B3">
            <w:pPr>
              <w:pStyle w:val="Header"/>
            </w:pPr>
            <w:r w:rsidRPr="00EC55B3">
              <w:t>E-mail Address</w:t>
            </w:r>
          </w:p>
        </w:tc>
        <w:tc>
          <w:tcPr>
            <w:tcW w:w="7560" w:type="dxa"/>
            <w:vAlign w:val="center"/>
          </w:tcPr>
          <w:p w14:paraId="4F49E6DD" w14:textId="565117B8" w:rsidR="00152993" w:rsidRDefault="00F95FBF">
            <w:pPr>
              <w:pStyle w:val="NormalArial"/>
            </w:pPr>
            <w:hyperlink r:id="rId8" w:history="1">
              <w:r w:rsidRPr="00785542">
                <w:rPr>
                  <w:rStyle w:val="Hyperlink"/>
                </w:rPr>
                <w:t>jessi@texasblockchaincouncil.org</w:t>
              </w:r>
            </w:hyperlink>
          </w:p>
        </w:tc>
      </w:tr>
      <w:tr w:rsidR="00152993" w14:paraId="17482D0D" w14:textId="77777777">
        <w:tblPrEx>
          <w:tblCellMar>
            <w:top w:w="0" w:type="dxa"/>
            <w:bottom w:w="0" w:type="dxa"/>
          </w:tblCellMar>
        </w:tblPrEx>
        <w:trPr>
          <w:trHeight w:val="350"/>
        </w:trPr>
        <w:tc>
          <w:tcPr>
            <w:tcW w:w="2880" w:type="dxa"/>
            <w:shd w:val="clear" w:color="auto" w:fill="FFFFFF"/>
            <w:vAlign w:val="center"/>
          </w:tcPr>
          <w:p w14:paraId="3AF05296" w14:textId="77777777" w:rsidR="00152993" w:rsidRPr="00EC55B3" w:rsidRDefault="00152993" w:rsidP="00EC55B3">
            <w:pPr>
              <w:pStyle w:val="Header"/>
            </w:pPr>
            <w:r w:rsidRPr="00EC55B3">
              <w:t>Company</w:t>
            </w:r>
          </w:p>
        </w:tc>
        <w:tc>
          <w:tcPr>
            <w:tcW w:w="7560" w:type="dxa"/>
            <w:vAlign w:val="center"/>
          </w:tcPr>
          <w:p w14:paraId="309D22AE" w14:textId="77777777" w:rsidR="00152993" w:rsidRDefault="001E1151">
            <w:pPr>
              <w:pStyle w:val="NormalArial"/>
            </w:pPr>
            <w:r>
              <w:t>Texas Blockchain Council</w:t>
            </w:r>
          </w:p>
        </w:tc>
      </w:tr>
      <w:tr w:rsidR="00152993" w14:paraId="755F107E" w14:textId="77777777">
        <w:tblPrEx>
          <w:tblCellMar>
            <w:top w:w="0" w:type="dxa"/>
            <w:bottom w:w="0" w:type="dxa"/>
          </w:tblCellMar>
        </w:tblPrEx>
        <w:trPr>
          <w:trHeight w:val="350"/>
        </w:trPr>
        <w:tc>
          <w:tcPr>
            <w:tcW w:w="2880" w:type="dxa"/>
            <w:tcBorders>
              <w:bottom w:val="single" w:sz="4" w:space="0" w:color="auto"/>
            </w:tcBorders>
            <w:shd w:val="clear" w:color="auto" w:fill="FFFFFF"/>
            <w:vAlign w:val="center"/>
          </w:tcPr>
          <w:p w14:paraId="46F51C45" w14:textId="77777777" w:rsidR="00152993" w:rsidRPr="00EC55B3" w:rsidRDefault="00152993" w:rsidP="00EC55B3">
            <w:pPr>
              <w:pStyle w:val="Header"/>
            </w:pPr>
            <w:r w:rsidRPr="00EC55B3">
              <w:t>Phone Number</w:t>
            </w:r>
          </w:p>
        </w:tc>
        <w:tc>
          <w:tcPr>
            <w:tcW w:w="7560" w:type="dxa"/>
            <w:tcBorders>
              <w:bottom w:val="single" w:sz="4" w:space="0" w:color="auto"/>
            </w:tcBorders>
            <w:vAlign w:val="center"/>
          </w:tcPr>
          <w:p w14:paraId="444A6705" w14:textId="77777777" w:rsidR="00152993" w:rsidRDefault="00152993">
            <w:pPr>
              <w:pStyle w:val="NormalArial"/>
            </w:pPr>
          </w:p>
        </w:tc>
      </w:tr>
      <w:tr w:rsidR="00152993" w14:paraId="1C3D12EC" w14:textId="77777777">
        <w:tblPrEx>
          <w:tblCellMar>
            <w:top w:w="0" w:type="dxa"/>
            <w:bottom w:w="0" w:type="dxa"/>
          </w:tblCellMar>
        </w:tblPrEx>
        <w:trPr>
          <w:trHeight w:val="350"/>
        </w:trPr>
        <w:tc>
          <w:tcPr>
            <w:tcW w:w="2880" w:type="dxa"/>
            <w:shd w:val="clear" w:color="auto" w:fill="FFFFFF"/>
            <w:vAlign w:val="center"/>
          </w:tcPr>
          <w:p w14:paraId="5B089E45" w14:textId="77777777" w:rsidR="00152993" w:rsidRPr="00EC55B3" w:rsidRDefault="00075A94" w:rsidP="00EC55B3">
            <w:pPr>
              <w:pStyle w:val="Header"/>
            </w:pPr>
            <w:r>
              <w:t>Cell</w:t>
            </w:r>
            <w:r w:rsidRPr="00EC55B3">
              <w:t xml:space="preserve"> </w:t>
            </w:r>
            <w:r w:rsidR="00152993" w:rsidRPr="00EC55B3">
              <w:t>Number</w:t>
            </w:r>
          </w:p>
        </w:tc>
        <w:tc>
          <w:tcPr>
            <w:tcW w:w="7560" w:type="dxa"/>
            <w:vAlign w:val="center"/>
          </w:tcPr>
          <w:p w14:paraId="74AC9781" w14:textId="77777777" w:rsidR="00152993" w:rsidRDefault="00152993">
            <w:pPr>
              <w:pStyle w:val="NormalArial"/>
            </w:pPr>
          </w:p>
        </w:tc>
      </w:tr>
      <w:tr w:rsidR="00075A94" w14:paraId="748668FC" w14:textId="77777777">
        <w:tblPrEx>
          <w:tblCellMar>
            <w:top w:w="0" w:type="dxa"/>
            <w:bottom w:w="0" w:type="dxa"/>
          </w:tblCellMar>
        </w:tblPrEx>
        <w:trPr>
          <w:trHeight w:val="350"/>
        </w:trPr>
        <w:tc>
          <w:tcPr>
            <w:tcW w:w="2880" w:type="dxa"/>
            <w:tcBorders>
              <w:bottom w:val="single" w:sz="4" w:space="0" w:color="auto"/>
            </w:tcBorders>
            <w:shd w:val="clear" w:color="auto" w:fill="FFFFFF"/>
            <w:vAlign w:val="center"/>
          </w:tcPr>
          <w:p w14:paraId="6E0BA04E" w14:textId="77777777" w:rsidR="00075A94" w:rsidRPr="00EC55B3" w:rsidDel="00075A94" w:rsidRDefault="00075A94" w:rsidP="00EC55B3">
            <w:pPr>
              <w:pStyle w:val="Header"/>
            </w:pPr>
            <w:r>
              <w:t>Market Segment</w:t>
            </w:r>
          </w:p>
        </w:tc>
        <w:tc>
          <w:tcPr>
            <w:tcW w:w="7560" w:type="dxa"/>
            <w:tcBorders>
              <w:bottom w:val="single" w:sz="4" w:space="0" w:color="auto"/>
            </w:tcBorders>
            <w:vAlign w:val="center"/>
          </w:tcPr>
          <w:p w14:paraId="4F11AF7F" w14:textId="77777777" w:rsidR="00075A94" w:rsidRDefault="00DD7FFC">
            <w:pPr>
              <w:pStyle w:val="NormalArial"/>
            </w:pPr>
            <w:r>
              <w:t>Not applicable</w:t>
            </w:r>
          </w:p>
        </w:tc>
      </w:tr>
    </w:tbl>
    <w:p w14:paraId="5446C8CE"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01AF2" w14:paraId="539E7B40" w14:textId="77777777" w:rsidTr="007F4A3B">
        <w:tblPrEx>
          <w:tblCellMar>
            <w:top w:w="0" w:type="dxa"/>
            <w:bottom w:w="0" w:type="dxa"/>
          </w:tblCellMar>
        </w:tblPrEx>
        <w:trPr>
          <w:trHeight w:val="350"/>
        </w:trPr>
        <w:tc>
          <w:tcPr>
            <w:tcW w:w="10440" w:type="dxa"/>
            <w:tcBorders>
              <w:bottom w:val="single" w:sz="4" w:space="0" w:color="auto"/>
            </w:tcBorders>
            <w:shd w:val="clear" w:color="auto" w:fill="FFFFFF"/>
            <w:vAlign w:val="center"/>
          </w:tcPr>
          <w:p w14:paraId="7D94E191" w14:textId="6415DF65" w:rsidR="00501AF2" w:rsidRDefault="00501AF2" w:rsidP="007F4A3B">
            <w:pPr>
              <w:pStyle w:val="Header"/>
              <w:jc w:val="center"/>
            </w:pPr>
            <w:r>
              <w:t>Comments</w:t>
            </w:r>
          </w:p>
        </w:tc>
      </w:tr>
    </w:tbl>
    <w:p w14:paraId="3E58A7D3" w14:textId="77777777" w:rsidR="00152993" w:rsidRPr="00363771" w:rsidRDefault="00DD7FFC" w:rsidP="00F95FBF">
      <w:pPr>
        <w:pStyle w:val="NormalArial"/>
        <w:spacing w:before="120" w:after="120"/>
        <w:rPr>
          <w:rFonts w:cs="Arial"/>
          <w:i/>
          <w:iCs/>
        </w:rPr>
      </w:pPr>
      <w:r w:rsidRPr="00363771">
        <w:rPr>
          <w:rFonts w:cs="Arial"/>
          <w:i/>
          <w:iCs/>
        </w:rPr>
        <w:t>I respectfully submit these comments for your consideration, based on remarks I shared with the Large Load Working Group on March 13</w:t>
      </w:r>
      <w:r w:rsidRPr="00363771">
        <w:rPr>
          <w:rFonts w:cs="Arial"/>
          <w:i/>
          <w:iCs/>
          <w:vertAlign w:val="superscript"/>
        </w:rPr>
        <w:t>th</w:t>
      </w:r>
      <w:r w:rsidRPr="00363771">
        <w:rPr>
          <w:rFonts w:cs="Arial"/>
          <w:i/>
          <w:iCs/>
        </w:rPr>
        <w:t xml:space="preserve"> and updated slightly to reflect ongoing discussions.</w:t>
      </w:r>
    </w:p>
    <w:p w14:paraId="15115E08" w14:textId="77777777" w:rsidR="00363771" w:rsidRPr="00363771" w:rsidRDefault="00363771" w:rsidP="00F95FBF">
      <w:pPr>
        <w:spacing w:before="120" w:after="120" w:line="276" w:lineRule="auto"/>
        <w:rPr>
          <w:rFonts w:ascii="Arial" w:hAnsi="Arial" w:cs="Arial"/>
        </w:rPr>
      </w:pPr>
      <w:r w:rsidRPr="00363771">
        <w:rPr>
          <w:rFonts w:ascii="Arial" w:hAnsi="Arial" w:cs="Arial"/>
        </w:rPr>
        <w:t>Thank you for having me. I have just a few opening statements and then I look forward to answering your questions. My name is Jessi Goostree and I’m the Executive Director of Texas Blockchain Council.</w:t>
      </w:r>
    </w:p>
    <w:p w14:paraId="02377088" w14:textId="77777777" w:rsidR="00363771" w:rsidRPr="00363771" w:rsidRDefault="00363771" w:rsidP="00F95FBF">
      <w:pPr>
        <w:spacing w:before="120" w:after="120" w:line="276" w:lineRule="auto"/>
        <w:rPr>
          <w:rFonts w:ascii="Arial" w:hAnsi="Arial" w:cs="Arial"/>
        </w:rPr>
      </w:pPr>
      <w:r w:rsidRPr="00363771">
        <w:rPr>
          <w:rFonts w:ascii="Arial" w:hAnsi="Arial" w:cs="Arial"/>
        </w:rPr>
        <w:t>I want to begin by saying Texas Blockchain Council members are Texans. We are thousands of Texans and their families living and working in large and small communities across Texas. Our members and their families share all the same expectations about the electric grid that everyone here does: We want reliable and affordable electricity for our businesses and families.</w:t>
      </w:r>
    </w:p>
    <w:p w14:paraId="19596FAD" w14:textId="77777777" w:rsidR="00363771" w:rsidRPr="00363771" w:rsidRDefault="00363771" w:rsidP="00F95FBF">
      <w:pPr>
        <w:spacing w:before="120" w:after="120" w:line="276" w:lineRule="auto"/>
        <w:rPr>
          <w:rFonts w:ascii="Arial" w:hAnsi="Arial" w:cs="Arial"/>
        </w:rPr>
      </w:pPr>
      <w:r w:rsidRPr="00363771">
        <w:rPr>
          <w:rFonts w:ascii="Arial" w:hAnsi="Arial" w:cs="Arial"/>
        </w:rPr>
        <w:t xml:space="preserve">Finding a solution to the Low Voltage Ride Through issue is critical to us as an industry and as Texans with families. We are committed to working with ERCOT and the PUC to finding a solution that will work for all of Texas. </w:t>
      </w:r>
    </w:p>
    <w:p w14:paraId="75C149A7" w14:textId="77777777" w:rsidR="00363771" w:rsidRPr="00363771" w:rsidRDefault="00363771" w:rsidP="00F95FBF">
      <w:pPr>
        <w:spacing w:before="120" w:after="120" w:line="276" w:lineRule="auto"/>
        <w:rPr>
          <w:rFonts w:ascii="Arial" w:hAnsi="Arial" w:cs="Arial"/>
        </w:rPr>
      </w:pPr>
      <w:r w:rsidRPr="00363771">
        <w:rPr>
          <w:rFonts w:ascii="Arial" w:hAnsi="Arial" w:cs="Arial"/>
        </w:rPr>
        <w:t xml:space="preserve">What we know will not work for Texas is to create unachievable requirements that could discourage future investment or even facilitate the departure of existing companies. Besides the employees losing jobs, the communities would lose the tax base and corporate citizens that support the kids’ sports leagues and local charities. Nearly every day a company relocates from California or New York because their government created unachievable requirements that force those companies to move. </w:t>
      </w:r>
    </w:p>
    <w:p w14:paraId="3C1C553D" w14:textId="77777777" w:rsidR="00363771" w:rsidRPr="00363771" w:rsidRDefault="00363771" w:rsidP="00F95FBF">
      <w:pPr>
        <w:spacing w:before="120" w:after="120" w:line="276" w:lineRule="auto"/>
        <w:rPr>
          <w:rFonts w:ascii="Arial" w:hAnsi="Arial" w:cs="Arial"/>
        </w:rPr>
      </w:pPr>
      <w:r w:rsidRPr="00363771">
        <w:rPr>
          <w:rFonts w:ascii="Arial" w:hAnsi="Arial" w:cs="Arial"/>
          <w:color w:val="222222"/>
          <w:shd w:val="clear" w:color="auto" w:fill="FFFFFF"/>
        </w:rPr>
        <w:lastRenderedPageBreak/>
        <w:t xml:space="preserve">What we also know is that, at a minimum, all rules and laws in Texas should be applied fairly and evenly. There are many types of large loads on the system, and any path forward should ensure a level playing field across all participants. Texas has always been about fairness, open markets, and finding </w:t>
      </w:r>
      <w:proofErr w:type="gramStart"/>
      <w:r w:rsidRPr="00363771">
        <w:rPr>
          <w:rFonts w:ascii="Arial" w:hAnsi="Arial" w:cs="Arial"/>
          <w:color w:val="222222"/>
          <w:shd w:val="clear" w:color="auto" w:fill="FFFFFF"/>
        </w:rPr>
        <w:t>solutions—</w:t>
      </w:r>
      <w:proofErr w:type="gramEnd"/>
      <w:r w:rsidRPr="00363771">
        <w:rPr>
          <w:rFonts w:ascii="Arial" w:hAnsi="Arial" w:cs="Arial"/>
          <w:color w:val="222222"/>
          <w:shd w:val="clear" w:color="auto" w:fill="FFFFFF"/>
        </w:rPr>
        <w:t>which is why we have experienced the Texas Miracle for more than three decades. Any large load rule should apply those same principles consistently across all participants, without singling out one group over another.</w:t>
      </w:r>
    </w:p>
    <w:p w14:paraId="3D02FD14" w14:textId="77777777" w:rsidR="00363771" w:rsidRPr="00363771" w:rsidRDefault="00363771" w:rsidP="00F95FBF">
      <w:pPr>
        <w:pStyle w:val="NormalWeb"/>
        <w:spacing w:before="120" w:beforeAutospacing="0" w:after="120" w:afterAutospacing="0" w:line="276" w:lineRule="auto"/>
        <w:rPr>
          <w:rFonts w:ascii="Arial" w:hAnsi="Arial" w:cs="Arial"/>
          <w:color w:val="000000"/>
        </w:rPr>
      </w:pPr>
      <w:r w:rsidRPr="00363771">
        <w:rPr>
          <w:rFonts w:ascii="Arial" w:hAnsi="Arial" w:cs="Arial"/>
          <w:color w:val="000000"/>
        </w:rPr>
        <w:t xml:space="preserve">Simply </w:t>
      </w:r>
      <w:proofErr w:type="gramStart"/>
      <w:r w:rsidRPr="00363771">
        <w:rPr>
          <w:rFonts w:ascii="Arial" w:hAnsi="Arial" w:cs="Arial"/>
          <w:color w:val="000000"/>
        </w:rPr>
        <w:t>saying</w:t>
      </w:r>
      <w:proofErr w:type="gramEnd"/>
      <w:r w:rsidRPr="00363771">
        <w:rPr>
          <w:rFonts w:ascii="Arial" w:hAnsi="Arial" w:cs="Arial"/>
          <w:color w:val="000000"/>
        </w:rPr>
        <w:t xml:space="preserve"> we can’t comply with the rule and walking away from the table is not a constructive path forward. Our industry has a track record of working collaboratively with ERCOT and state leaders to find practical solutions when challenges arise.</w:t>
      </w:r>
    </w:p>
    <w:p w14:paraId="36B3C0FB" w14:textId="77777777" w:rsidR="00363771" w:rsidRPr="00363771" w:rsidRDefault="00363771" w:rsidP="00F95FBF">
      <w:pPr>
        <w:pStyle w:val="NormalWeb"/>
        <w:spacing w:before="120" w:beforeAutospacing="0" w:after="120" w:afterAutospacing="0" w:line="276" w:lineRule="auto"/>
        <w:rPr>
          <w:rFonts w:ascii="Arial" w:hAnsi="Arial" w:cs="Arial"/>
          <w:color w:val="000000"/>
        </w:rPr>
      </w:pPr>
      <w:r w:rsidRPr="00363771">
        <w:rPr>
          <w:rFonts w:ascii="Arial" w:hAnsi="Arial" w:cs="Arial"/>
          <w:color w:val="000000"/>
        </w:rPr>
        <w:t>In fact, we did exactly that in the past when ERCOT, the mining community, and Texans were facing similar reliability concerns. We worked together to develop a solution that helps avoid emergency conditions when reserve margins fall to dangerous levels. That approach was used during the winter storm this past February and helped improve reliability for Texans who were iced in their homes. It has also been deployed at various points throughout the year: during summer, spring, and fall, whenever the grid approaches critically low reserve margins.</w:t>
      </w:r>
    </w:p>
    <w:p w14:paraId="28FF396C" w14:textId="77777777" w:rsidR="00363771" w:rsidRPr="00363771" w:rsidRDefault="00363771" w:rsidP="00F95FBF">
      <w:pPr>
        <w:spacing w:before="120" w:after="120" w:line="276" w:lineRule="auto"/>
        <w:rPr>
          <w:rFonts w:ascii="Arial" w:eastAsia="Aptos" w:hAnsi="Arial" w:cs="Arial"/>
        </w:rPr>
      </w:pPr>
      <w:r w:rsidRPr="00363771">
        <w:rPr>
          <w:rFonts w:ascii="Arial" w:eastAsia="Aptos" w:hAnsi="Arial" w:cs="Arial"/>
        </w:rPr>
        <w:t>I’d like to briefly outline what our industry has already done to address these concerns:</w:t>
      </w:r>
    </w:p>
    <w:p w14:paraId="661D6B16" w14:textId="77777777" w:rsidR="00363771" w:rsidRPr="00363771" w:rsidRDefault="00363771" w:rsidP="00F95FBF">
      <w:pPr>
        <w:pStyle w:val="ListParagraph"/>
        <w:numPr>
          <w:ilvl w:val="0"/>
          <w:numId w:val="3"/>
        </w:numPr>
        <w:spacing w:before="120" w:after="120" w:line="276" w:lineRule="auto"/>
        <w:contextualSpacing w:val="0"/>
        <w:rPr>
          <w:rFonts w:ascii="Arial" w:hAnsi="Arial" w:cs="Arial"/>
        </w:rPr>
      </w:pPr>
      <w:r w:rsidRPr="00363771">
        <w:rPr>
          <w:rStyle w:val="Strong"/>
          <w:rFonts w:ascii="Arial" w:hAnsi="Arial" w:cs="Arial"/>
          <w:color w:val="000000"/>
        </w:rPr>
        <w:t>First, our facilities are already capable of riding through nearly all grid disturbances.</w:t>
      </w:r>
      <w:r w:rsidRPr="00363771">
        <w:rPr>
          <w:rStyle w:val="apple-converted-space"/>
          <w:rFonts w:ascii="Arial" w:hAnsi="Arial" w:cs="Arial"/>
          <w:color w:val="000000"/>
        </w:rPr>
        <w:t> </w:t>
      </w:r>
      <w:r w:rsidRPr="00363771">
        <w:rPr>
          <w:rFonts w:ascii="Arial" w:hAnsi="Arial" w:cs="Arial"/>
          <w:color w:val="000000"/>
        </w:rPr>
        <w:t xml:space="preserve">There are four primary elements involved in ride-through capability: frequency up, frequency down, high voltage, and low voltage. Our </w:t>
      </w:r>
      <w:proofErr w:type="gramStart"/>
      <w:r w:rsidRPr="00363771">
        <w:rPr>
          <w:rFonts w:ascii="Arial" w:hAnsi="Arial" w:cs="Arial"/>
          <w:color w:val="000000"/>
        </w:rPr>
        <w:t>member operations</w:t>
      </w:r>
      <w:proofErr w:type="gramEnd"/>
      <w:r w:rsidRPr="00363771">
        <w:rPr>
          <w:rFonts w:ascii="Arial" w:hAnsi="Arial" w:cs="Arial"/>
          <w:color w:val="000000"/>
        </w:rPr>
        <w:t xml:space="preserve"> can manage the first three at full capability today. With respect to low-voltage ride-through, we can handle </w:t>
      </w:r>
      <w:proofErr w:type="gramStart"/>
      <w:r w:rsidRPr="00363771">
        <w:rPr>
          <w:rFonts w:ascii="Arial" w:hAnsi="Arial" w:cs="Arial"/>
          <w:color w:val="000000"/>
        </w:rPr>
        <w:t>the vast majority of</w:t>
      </w:r>
      <w:proofErr w:type="gramEnd"/>
      <w:r w:rsidRPr="00363771">
        <w:rPr>
          <w:rFonts w:ascii="Arial" w:hAnsi="Arial" w:cs="Arial"/>
          <w:color w:val="000000"/>
        </w:rPr>
        <w:t xml:space="preserve"> events, with only the most extreme scenarios </w:t>
      </w:r>
      <w:proofErr w:type="gramStart"/>
      <w:r w:rsidRPr="00363771">
        <w:rPr>
          <w:rFonts w:ascii="Arial" w:hAnsi="Arial" w:cs="Arial"/>
          <w:color w:val="000000"/>
        </w:rPr>
        <w:t>remain</w:t>
      </w:r>
      <w:proofErr w:type="gramEnd"/>
      <w:r w:rsidRPr="00363771">
        <w:rPr>
          <w:rFonts w:ascii="Arial" w:hAnsi="Arial" w:cs="Arial"/>
          <w:color w:val="000000"/>
        </w:rPr>
        <w:t xml:space="preserve"> challenging.</w:t>
      </w:r>
    </w:p>
    <w:p w14:paraId="11A20536" w14:textId="77777777" w:rsidR="00363771" w:rsidRPr="00363771" w:rsidRDefault="00363771" w:rsidP="00F95FBF">
      <w:pPr>
        <w:pStyle w:val="ListParagraph"/>
        <w:numPr>
          <w:ilvl w:val="0"/>
          <w:numId w:val="3"/>
        </w:numPr>
        <w:spacing w:before="120" w:after="120" w:line="276" w:lineRule="auto"/>
        <w:contextualSpacing w:val="0"/>
        <w:rPr>
          <w:rFonts w:ascii="Arial" w:hAnsi="Arial" w:cs="Arial"/>
        </w:rPr>
      </w:pPr>
      <w:r w:rsidRPr="00363771">
        <w:rPr>
          <w:rStyle w:val="Strong"/>
          <w:rFonts w:ascii="Arial" w:hAnsi="Arial" w:cs="Arial"/>
          <w:color w:val="000000"/>
        </w:rPr>
        <w:t>Second, we have worked directly with equipment manufacturers to evaluate available solutions.</w:t>
      </w:r>
      <w:r w:rsidRPr="00363771">
        <w:rPr>
          <w:rStyle w:val="apple-converted-space"/>
          <w:rFonts w:ascii="Arial" w:hAnsi="Arial" w:cs="Arial"/>
          <w:color w:val="000000"/>
        </w:rPr>
        <w:t> </w:t>
      </w:r>
      <w:r w:rsidRPr="00363771">
        <w:rPr>
          <w:rFonts w:ascii="Arial" w:hAnsi="Arial" w:cs="Arial"/>
          <w:color w:val="000000"/>
        </w:rPr>
        <w:t>At this time, there is no technology that can fully address the remaining issue in a way that is economically viable. However, manufacturers are actively developing new equipment that is expected to significantly reduce the remaining risk, which would allow operators to begin retrofitting existing facilities.</w:t>
      </w:r>
    </w:p>
    <w:p w14:paraId="36E6AA91" w14:textId="77777777" w:rsidR="00363771" w:rsidRPr="00363771" w:rsidRDefault="00363771" w:rsidP="00F95FBF">
      <w:pPr>
        <w:pStyle w:val="ListParagraph"/>
        <w:numPr>
          <w:ilvl w:val="0"/>
          <w:numId w:val="3"/>
        </w:numPr>
        <w:spacing w:before="120" w:after="120" w:line="276" w:lineRule="auto"/>
        <w:rPr>
          <w:rFonts w:ascii="Arial" w:hAnsi="Arial" w:cs="Arial"/>
        </w:rPr>
      </w:pPr>
      <w:r w:rsidRPr="00363771">
        <w:rPr>
          <w:rStyle w:val="Strong"/>
          <w:rFonts w:ascii="Arial" w:hAnsi="Arial" w:cs="Arial"/>
          <w:color w:val="000000"/>
        </w:rPr>
        <w:t xml:space="preserve">Third, we consulted with multiple technical experts to understand the cost of potential solutions available today.  </w:t>
      </w:r>
      <w:r w:rsidRPr="00363771">
        <w:rPr>
          <w:rFonts w:ascii="Arial" w:hAnsi="Arial" w:cs="Arial"/>
          <w:color w:val="000000"/>
        </w:rPr>
        <w:t>The estimated cost is upwards of $1 million per MW of capacity. For some facilities, that would translate into billions of dollars in required upgrades, costs that would far exceed the value of the underlying assets.</w:t>
      </w:r>
    </w:p>
    <w:p w14:paraId="53D02870" w14:textId="77777777" w:rsidR="00363771" w:rsidRPr="00363771" w:rsidRDefault="00363771" w:rsidP="00F95FBF">
      <w:pPr>
        <w:spacing w:before="120" w:after="120" w:line="276" w:lineRule="auto"/>
        <w:rPr>
          <w:rFonts w:ascii="Arial" w:hAnsi="Arial" w:cs="Arial"/>
        </w:rPr>
      </w:pPr>
      <w:r w:rsidRPr="00363771">
        <w:rPr>
          <w:rFonts w:ascii="Arial" w:hAnsi="Arial" w:cs="Arial"/>
        </w:rPr>
        <w:lastRenderedPageBreak/>
        <w:t>Today, we can commit that our members will:</w:t>
      </w:r>
    </w:p>
    <w:p w14:paraId="73AC28BA" w14:textId="77777777" w:rsidR="00363771" w:rsidRPr="00363771" w:rsidRDefault="00363771" w:rsidP="00F95FBF">
      <w:pPr>
        <w:pStyle w:val="ListParagraph"/>
        <w:numPr>
          <w:ilvl w:val="0"/>
          <w:numId w:val="4"/>
        </w:numPr>
        <w:spacing w:before="120" w:after="120" w:line="276" w:lineRule="auto"/>
        <w:contextualSpacing w:val="0"/>
        <w:rPr>
          <w:rFonts w:ascii="Arial" w:hAnsi="Arial" w:cs="Arial"/>
        </w:rPr>
      </w:pPr>
      <w:r w:rsidRPr="00363771">
        <w:rPr>
          <w:rFonts w:ascii="Arial" w:hAnsi="Arial" w:cs="Arial"/>
        </w:rPr>
        <w:t xml:space="preserve">Continue </w:t>
      </w:r>
      <w:r w:rsidRPr="00363771">
        <w:rPr>
          <w:rFonts w:ascii="Arial" w:hAnsi="Arial" w:cs="Arial"/>
          <w:b/>
          <w:bCs/>
        </w:rPr>
        <w:t>working collaboratively</w:t>
      </w:r>
      <w:r w:rsidRPr="00363771">
        <w:rPr>
          <w:rFonts w:ascii="Arial" w:hAnsi="Arial" w:cs="Arial"/>
        </w:rPr>
        <w:t xml:space="preserve"> with ERCOT, the PUC and technical experts to identify practical solutions.</w:t>
      </w:r>
    </w:p>
    <w:p w14:paraId="2EA351D2" w14:textId="77777777" w:rsidR="00363771" w:rsidRPr="00363771" w:rsidRDefault="00363771" w:rsidP="00F95FBF">
      <w:pPr>
        <w:pStyle w:val="ListParagraph"/>
        <w:numPr>
          <w:ilvl w:val="0"/>
          <w:numId w:val="4"/>
        </w:numPr>
        <w:spacing w:before="120" w:after="120"/>
        <w:contextualSpacing w:val="0"/>
        <w:rPr>
          <w:rFonts w:ascii="Arial" w:hAnsi="Arial" w:cs="Arial"/>
        </w:rPr>
      </w:pPr>
      <w:r w:rsidRPr="00363771">
        <w:rPr>
          <w:rFonts w:ascii="Arial" w:hAnsi="Arial" w:cs="Arial"/>
        </w:rPr>
        <w:t xml:space="preserve">Actively </w:t>
      </w:r>
      <w:r w:rsidRPr="00363771">
        <w:rPr>
          <w:rFonts w:ascii="Arial" w:hAnsi="Arial" w:cs="Arial"/>
          <w:b/>
          <w:bCs/>
        </w:rPr>
        <w:t>evaluate innovative and out-of-the box ideas</w:t>
      </w:r>
      <w:r w:rsidRPr="00363771">
        <w:rPr>
          <w:rFonts w:ascii="Arial" w:hAnsi="Arial" w:cs="Arial"/>
        </w:rPr>
        <w:t xml:space="preserve">. </w:t>
      </w:r>
      <w:r w:rsidRPr="00363771">
        <w:rPr>
          <w:rFonts w:ascii="Arial" w:hAnsi="Arial" w:cs="Arial"/>
          <w:color w:val="000000"/>
        </w:rPr>
        <w:t>Our industry is built on solving complex technical challenges, and our operators are accustomed to quickly adopting new technologies and strategies when better solutions emerge.</w:t>
      </w:r>
    </w:p>
    <w:p w14:paraId="4A86AEA5" w14:textId="77777777" w:rsidR="00363771" w:rsidRPr="00363771" w:rsidRDefault="00363771" w:rsidP="00F95FBF">
      <w:pPr>
        <w:pStyle w:val="ListParagraph"/>
        <w:numPr>
          <w:ilvl w:val="0"/>
          <w:numId w:val="4"/>
        </w:numPr>
        <w:spacing w:before="120" w:after="120" w:line="276" w:lineRule="auto"/>
        <w:contextualSpacing w:val="0"/>
        <w:rPr>
          <w:rFonts w:ascii="Arial" w:hAnsi="Arial" w:cs="Arial"/>
        </w:rPr>
      </w:pPr>
      <w:r w:rsidRPr="00363771">
        <w:rPr>
          <w:rFonts w:ascii="Arial" w:hAnsi="Arial" w:cs="Arial"/>
        </w:rPr>
        <w:t xml:space="preserve">Remain engaged in ongoing </w:t>
      </w:r>
      <w:r w:rsidRPr="00363771">
        <w:rPr>
          <w:rFonts w:ascii="Arial" w:hAnsi="Arial" w:cs="Arial"/>
          <w:b/>
          <w:bCs/>
        </w:rPr>
        <w:t>pilot projects</w:t>
      </w:r>
      <w:r w:rsidRPr="00363771">
        <w:rPr>
          <w:rFonts w:ascii="Arial" w:hAnsi="Arial" w:cs="Arial"/>
        </w:rPr>
        <w:t xml:space="preserve"> that early analysis suggests could meaningfully address the issue.</w:t>
      </w:r>
    </w:p>
    <w:p w14:paraId="4ED7FAD6" w14:textId="77777777" w:rsidR="00363771" w:rsidRPr="00363771" w:rsidRDefault="00363771" w:rsidP="00F95FBF">
      <w:pPr>
        <w:spacing w:before="120" w:after="120" w:line="276" w:lineRule="auto"/>
        <w:rPr>
          <w:rFonts w:ascii="Arial" w:hAnsi="Arial" w:cs="Arial"/>
        </w:rPr>
      </w:pPr>
      <w:r w:rsidRPr="00363771">
        <w:rPr>
          <w:rFonts w:ascii="Arial" w:hAnsi="Arial" w:cs="Arial"/>
        </w:rPr>
        <w:t xml:space="preserve">We understand that the state must move forward in establishing rules to address this issue.  Our goal is to help ensure those rules are both effective and workable.  As a starting point, we would suggest the following: </w:t>
      </w:r>
    </w:p>
    <w:p w14:paraId="4EBED2A3" w14:textId="77777777" w:rsidR="00363771" w:rsidRPr="00363771" w:rsidRDefault="00363771" w:rsidP="00F95FBF">
      <w:pPr>
        <w:pStyle w:val="ListParagraph"/>
        <w:numPr>
          <w:ilvl w:val="0"/>
          <w:numId w:val="5"/>
        </w:numPr>
        <w:spacing w:before="120" w:after="120" w:line="276" w:lineRule="auto"/>
        <w:ind w:left="720"/>
        <w:contextualSpacing w:val="0"/>
        <w:rPr>
          <w:rFonts w:ascii="Arial" w:hAnsi="Arial" w:cs="Arial"/>
        </w:rPr>
      </w:pPr>
      <w:r w:rsidRPr="00363771">
        <w:rPr>
          <w:rStyle w:val="Strong"/>
          <w:rFonts w:ascii="Arial" w:hAnsi="Arial" w:cs="Arial"/>
          <w:color w:val="000000"/>
        </w:rPr>
        <w:t>Set the compliance timeline at a point when the necessary technology is widely available, proven, and economically viable.</w:t>
      </w:r>
      <w:r w:rsidRPr="00363771">
        <w:rPr>
          <w:rStyle w:val="apple-converted-space"/>
          <w:rFonts w:ascii="Arial" w:hAnsi="Arial" w:cs="Arial"/>
          <w:color w:val="000000"/>
        </w:rPr>
        <w:t> </w:t>
      </w:r>
      <w:r w:rsidRPr="00363771">
        <w:rPr>
          <w:rFonts w:ascii="Arial" w:hAnsi="Arial" w:cs="Arial"/>
          <w:color w:val="000000"/>
        </w:rPr>
        <w:t>This approach has precedent; similar timelines were adopted in the past for inverter-based resources to allow the market and technology to mature before requiring full compliance.</w:t>
      </w:r>
    </w:p>
    <w:p w14:paraId="09A38A77" w14:textId="77777777" w:rsidR="00363771" w:rsidRPr="00363771" w:rsidRDefault="00363771" w:rsidP="00F95FBF">
      <w:pPr>
        <w:pStyle w:val="ListParagraph"/>
        <w:numPr>
          <w:ilvl w:val="0"/>
          <w:numId w:val="5"/>
        </w:numPr>
        <w:spacing w:before="120" w:after="120" w:line="276" w:lineRule="auto"/>
        <w:ind w:left="720"/>
        <w:contextualSpacing w:val="0"/>
        <w:rPr>
          <w:rFonts w:ascii="Arial" w:hAnsi="Arial" w:cs="Arial"/>
        </w:rPr>
      </w:pPr>
      <w:r w:rsidRPr="00363771">
        <w:rPr>
          <w:rStyle w:val="Strong"/>
          <w:rFonts w:ascii="Arial" w:hAnsi="Arial" w:cs="Arial"/>
          <w:color w:val="000000"/>
        </w:rPr>
        <w:t>Evaluate whether a market-based solution could address the issue.</w:t>
      </w:r>
      <w:r w:rsidRPr="00363771">
        <w:rPr>
          <w:rStyle w:val="apple-converted-space"/>
          <w:rFonts w:ascii="Arial" w:hAnsi="Arial" w:cs="Arial"/>
          <w:color w:val="000000"/>
        </w:rPr>
        <w:t> </w:t>
      </w:r>
      <w:r w:rsidRPr="00363771">
        <w:rPr>
          <w:rFonts w:ascii="Arial" w:hAnsi="Arial" w:cs="Arial"/>
          <w:color w:val="000000"/>
        </w:rPr>
        <w:t>In June of last year, ERCOT indicated that a potential ancillary service product might help resolve this challenge, and we believe that concept deserves further exploration.</w:t>
      </w:r>
    </w:p>
    <w:p w14:paraId="6203A323" w14:textId="77777777" w:rsidR="00363771" w:rsidRPr="00363771" w:rsidRDefault="00363771" w:rsidP="00F95FBF">
      <w:pPr>
        <w:pStyle w:val="ListParagraph"/>
        <w:numPr>
          <w:ilvl w:val="0"/>
          <w:numId w:val="5"/>
        </w:numPr>
        <w:spacing w:before="120" w:after="120" w:line="276" w:lineRule="auto"/>
        <w:ind w:left="720"/>
        <w:contextualSpacing w:val="0"/>
        <w:rPr>
          <w:rFonts w:ascii="Arial" w:hAnsi="Arial" w:cs="Arial"/>
        </w:rPr>
      </w:pPr>
      <w:r w:rsidRPr="00363771">
        <w:rPr>
          <w:rStyle w:val="Strong"/>
          <w:rFonts w:ascii="Arial" w:hAnsi="Arial" w:cs="Arial"/>
          <w:color w:val="000000"/>
        </w:rPr>
        <w:t>Conduct a comprehensive study that considers upcoming system upgrades and long-term grid planning.</w:t>
      </w:r>
      <w:r w:rsidRPr="00363771">
        <w:rPr>
          <w:rStyle w:val="apple-converted-space"/>
          <w:rFonts w:ascii="Arial" w:hAnsi="Arial" w:cs="Arial"/>
          <w:color w:val="000000"/>
        </w:rPr>
        <w:t> </w:t>
      </w:r>
      <w:r w:rsidRPr="00363771">
        <w:rPr>
          <w:rFonts w:ascii="Arial" w:hAnsi="Arial" w:cs="Arial"/>
          <w:color w:val="000000"/>
        </w:rPr>
        <w:t>For example, major transmission investments such as the Permian Basin Reliability Plan could significantly change system dynamics and help determine whether this is a long-term structural issue or a transitional one.</w:t>
      </w:r>
    </w:p>
    <w:p w14:paraId="64006F07" w14:textId="77777777" w:rsidR="00363771" w:rsidRPr="00363771" w:rsidRDefault="00363771" w:rsidP="00F95FBF">
      <w:pPr>
        <w:pStyle w:val="NormalWeb"/>
        <w:spacing w:before="120" w:beforeAutospacing="0" w:after="120" w:afterAutospacing="0" w:line="276" w:lineRule="auto"/>
        <w:rPr>
          <w:rFonts w:ascii="Arial" w:hAnsi="Arial" w:cs="Arial"/>
          <w:color w:val="000000"/>
        </w:rPr>
      </w:pPr>
      <w:r w:rsidRPr="00363771">
        <w:rPr>
          <w:rFonts w:ascii="Arial" w:hAnsi="Arial" w:cs="Arial"/>
          <w:color w:val="000000"/>
        </w:rPr>
        <w:t>Finally, I want to emphasize that large load facilities, including bitcoin mining operations, are not all the same. Differences in equipment, site design, and grid conditions mean that a solution that works for one facility may not be workable for another. Any path forward should recognize these differences and allow for practical, site-specific solutions.</w:t>
      </w:r>
    </w:p>
    <w:p w14:paraId="495529C7" w14:textId="4C0F1BF8" w:rsidR="0055032D" w:rsidRPr="00F95FBF" w:rsidRDefault="00363771" w:rsidP="00F95FBF">
      <w:pPr>
        <w:pStyle w:val="NormalWeb"/>
        <w:spacing w:before="120" w:beforeAutospacing="0" w:after="120" w:afterAutospacing="0" w:line="276" w:lineRule="auto"/>
        <w:rPr>
          <w:rFonts w:ascii="Arial" w:hAnsi="Arial" w:cs="Arial"/>
          <w:color w:val="000000"/>
        </w:rPr>
      </w:pPr>
      <w:r w:rsidRPr="00363771">
        <w:rPr>
          <w:rFonts w:ascii="Arial" w:hAnsi="Arial" w:cs="Arial"/>
          <w:color w:val="000000"/>
        </w:rPr>
        <w:t>Thank you again for your time. I want to reiterate that TBC members remain committed to working with ERCOT, the Commission, and other stakeholders to find solutions that support both grid reliability and continued innovation in Texas.</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5032D" w14:paraId="579BC9C6" w14:textId="77777777" w:rsidTr="004D37D7">
        <w:tblPrEx>
          <w:tblCellMar>
            <w:top w:w="0" w:type="dxa"/>
            <w:bottom w:w="0" w:type="dxa"/>
          </w:tblCellMar>
        </w:tblPrEx>
        <w:trPr>
          <w:trHeight w:val="350"/>
        </w:trPr>
        <w:tc>
          <w:tcPr>
            <w:tcW w:w="10440" w:type="dxa"/>
            <w:tcBorders>
              <w:bottom w:val="single" w:sz="4" w:space="0" w:color="auto"/>
            </w:tcBorders>
            <w:shd w:val="clear" w:color="auto" w:fill="FFFFFF"/>
            <w:vAlign w:val="center"/>
          </w:tcPr>
          <w:p w14:paraId="63308644" w14:textId="77777777" w:rsidR="0055032D" w:rsidRDefault="0055032D" w:rsidP="004D37D7">
            <w:pPr>
              <w:pStyle w:val="Header"/>
              <w:jc w:val="center"/>
            </w:pPr>
            <w:r>
              <w:t>Revised Cover Page Language</w:t>
            </w:r>
          </w:p>
        </w:tc>
      </w:tr>
    </w:tbl>
    <w:p w14:paraId="2117640D" w14:textId="1348520B" w:rsidR="00152993" w:rsidRDefault="00786B9D" w:rsidP="00F95FBF">
      <w:pPr>
        <w:pStyle w:val="NormalArial"/>
        <w:spacing w:before="120" w:after="120"/>
      </w:pPr>
      <w:r>
        <w:lastRenderedPageBreak/>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78D4A157" w14:textId="77777777">
        <w:tblPrEx>
          <w:tblCellMar>
            <w:top w:w="0" w:type="dxa"/>
            <w:bottom w:w="0" w:type="dxa"/>
          </w:tblCellMar>
        </w:tblPrEx>
        <w:trPr>
          <w:trHeight w:val="350"/>
        </w:trPr>
        <w:tc>
          <w:tcPr>
            <w:tcW w:w="10440" w:type="dxa"/>
            <w:tcBorders>
              <w:bottom w:val="single" w:sz="4" w:space="0" w:color="auto"/>
            </w:tcBorders>
            <w:shd w:val="clear" w:color="auto" w:fill="FFFFFF"/>
            <w:vAlign w:val="center"/>
          </w:tcPr>
          <w:p w14:paraId="1965FE2C" w14:textId="77777777" w:rsidR="00152993" w:rsidRDefault="00152993">
            <w:pPr>
              <w:pStyle w:val="Header"/>
              <w:jc w:val="center"/>
            </w:pPr>
            <w:r>
              <w:t xml:space="preserve">Revised Proposed </w:t>
            </w:r>
            <w:r w:rsidR="00C158EE">
              <w:t xml:space="preserve">Guide </w:t>
            </w:r>
            <w:r>
              <w:t>Language</w:t>
            </w:r>
          </w:p>
        </w:tc>
      </w:tr>
    </w:tbl>
    <w:p w14:paraId="4B78917E" w14:textId="3753562F" w:rsidR="00152993" w:rsidRDefault="00F95FBF" w:rsidP="00F95FBF">
      <w:pPr>
        <w:pStyle w:val="NormalArial"/>
        <w:spacing w:before="120" w:after="120"/>
      </w:pPr>
      <w:r>
        <w:t>None</w:t>
      </w:r>
    </w:p>
    <w:sectPr w:rsidR="00152993" w:rsidSect="0074209E">
      <w:headerReference w:type="default"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FED49" w14:textId="77777777" w:rsidR="00910E08" w:rsidRDefault="00910E08">
      <w:r>
        <w:separator/>
      </w:r>
    </w:p>
  </w:endnote>
  <w:endnote w:type="continuationSeparator" w:id="0">
    <w:p w14:paraId="599BBA0A" w14:textId="77777777" w:rsidR="00910E08" w:rsidRDefault="00910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198F6" w14:textId="6EE8E469" w:rsidR="003D0994" w:rsidRDefault="007F4D61" w:rsidP="0074209E">
    <w:pPr>
      <w:pStyle w:val="Footer"/>
      <w:tabs>
        <w:tab w:val="clear" w:pos="4320"/>
        <w:tab w:val="clear" w:pos="8640"/>
        <w:tab w:val="right" w:pos="9360"/>
      </w:tabs>
      <w:rPr>
        <w:rFonts w:ascii="Arial" w:hAnsi="Arial"/>
        <w:sz w:val="18"/>
      </w:rPr>
    </w:pPr>
    <w:r>
      <w:rPr>
        <w:rFonts w:ascii="Arial" w:hAnsi="Arial"/>
        <w:sz w:val="18"/>
      </w:rPr>
      <w:fldChar w:fldCharType="begin"/>
    </w:r>
    <w:r>
      <w:rPr>
        <w:rFonts w:ascii="Arial" w:hAnsi="Arial"/>
        <w:sz w:val="18"/>
      </w:rPr>
      <w:instrText xml:space="preserve"> FILENAME   \* MERGEFORMAT </w:instrText>
    </w:r>
    <w:r>
      <w:rPr>
        <w:rFonts w:ascii="Arial" w:hAnsi="Arial"/>
        <w:sz w:val="18"/>
      </w:rPr>
      <w:fldChar w:fldCharType="separate"/>
    </w:r>
    <w:r w:rsidR="00501AF2">
      <w:rPr>
        <w:rFonts w:ascii="Arial" w:hAnsi="Arial"/>
        <w:noProof/>
        <w:sz w:val="18"/>
      </w:rPr>
      <w:t>282NOGRR-15 Texas Blockchain Council Comments 031826</w:t>
    </w:r>
    <w:r>
      <w:rPr>
        <w:rFonts w:ascii="Arial" w:hAnsi="Arial"/>
        <w:sz w:val="18"/>
      </w:rPr>
      <w:fldChar w:fldCharType="end"/>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Pr>
        <w:rFonts w:ascii="Arial" w:hAnsi="Arial"/>
        <w:noProof/>
        <w:sz w:val="18"/>
      </w:rPr>
      <w:t>1</w:t>
    </w:r>
    <w:r w:rsidR="003D0994">
      <w:rPr>
        <w:rFonts w:ascii="Arial" w:hAnsi="Arial"/>
        <w:sz w:val="18"/>
      </w:rPr>
      <w:fldChar w:fldCharType="end"/>
    </w:r>
  </w:p>
  <w:p w14:paraId="0785DBA7"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4B80B" w14:textId="77777777" w:rsidR="00910E08" w:rsidRDefault="00910E08">
      <w:r>
        <w:separator/>
      </w:r>
    </w:p>
  </w:footnote>
  <w:footnote w:type="continuationSeparator" w:id="0">
    <w:p w14:paraId="4386CC1F" w14:textId="77777777" w:rsidR="00910E08" w:rsidRDefault="00910E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26B71" w14:textId="54BE8DFC" w:rsidR="003D0994" w:rsidRPr="00F95FBF" w:rsidRDefault="00D825C5" w:rsidP="00F95FBF">
    <w:pPr>
      <w:pStyle w:val="Header"/>
      <w:jc w:val="center"/>
      <w:rPr>
        <w:sz w:val="32"/>
      </w:rPr>
    </w:pPr>
    <w:r>
      <w:rPr>
        <w:sz w:val="32"/>
      </w:rPr>
      <w:t>NOG</w:t>
    </w:r>
    <w:r w:rsidR="00C158EE">
      <w:rPr>
        <w:sz w:val="32"/>
      </w:rPr>
      <w:t xml:space="preserve">RR </w:t>
    </w:r>
    <w:r w:rsidR="003D0994">
      <w:rPr>
        <w:sz w:val="32"/>
      </w:rPr>
      <w:t>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D1170E7"/>
    <w:multiLevelType w:val="hybridMultilevel"/>
    <w:tmpl w:val="3E42E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7F28E8"/>
    <w:multiLevelType w:val="hybridMultilevel"/>
    <w:tmpl w:val="F28476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7AC779A9"/>
    <w:multiLevelType w:val="hybridMultilevel"/>
    <w:tmpl w:val="46EAE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2152644">
    <w:abstractNumId w:val="0"/>
  </w:num>
  <w:num w:numId="2" w16cid:durableId="841361051">
    <w:abstractNumId w:val="3"/>
  </w:num>
  <w:num w:numId="3" w16cid:durableId="1351221262">
    <w:abstractNumId w:val="4"/>
  </w:num>
  <w:num w:numId="4" w16cid:durableId="1278292331">
    <w:abstractNumId w:val="1"/>
  </w:num>
  <w:num w:numId="5" w16cid:durableId="2319337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12122"/>
    <w:rsid w:val="00037668"/>
    <w:rsid w:val="00075A94"/>
    <w:rsid w:val="00132855"/>
    <w:rsid w:val="00152993"/>
    <w:rsid w:val="00170297"/>
    <w:rsid w:val="001A227D"/>
    <w:rsid w:val="001E1151"/>
    <w:rsid w:val="001E2032"/>
    <w:rsid w:val="00237F13"/>
    <w:rsid w:val="002771E6"/>
    <w:rsid w:val="003010C0"/>
    <w:rsid w:val="00332A97"/>
    <w:rsid w:val="00350C00"/>
    <w:rsid w:val="00363771"/>
    <w:rsid w:val="00366113"/>
    <w:rsid w:val="003C270C"/>
    <w:rsid w:val="003C405A"/>
    <w:rsid w:val="003D0994"/>
    <w:rsid w:val="003E7D74"/>
    <w:rsid w:val="00423824"/>
    <w:rsid w:val="0043567D"/>
    <w:rsid w:val="004B7B90"/>
    <w:rsid w:val="004D37D7"/>
    <w:rsid w:val="004E2C19"/>
    <w:rsid w:val="00501AF2"/>
    <w:rsid w:val="00531284"/>
    <w:rsid w:val="0055032D"/>
    <w:rsid w:val="005D284C"/>
    <w:rsid w:val="00633E23"/>
    <w:rsid w:val="00673B94"/>
    <w:rsid w:val="00680AC6"/>
    <w:rsid w:val="006835D8"/>
    <w:rsid w:val="006C316E"/>
    <w:rsid w:val="006D0F7C"/>
    <w:rsid w:val="007269C4"/>
    <w:rsid w:val="00734EAF"/>
    <w:rsid w:val="0074209E"/>
    <w:rsid w:val="00786B9D"/>
    <w:rsid w:val="007B045B"/>
    <w:rsid w:val="007F2CA8"/>
    <w:rsid w:val="007F4D61"/>
    <w:rsid w:val="007F7161"/>
    <w:rsid w:val="0085559E"/>
    <w:rsid w:val="00896B1B"/>
    <w:rsid w:val="008E559E"/>
    <w:rsid w:val="00910E08"/>
    <w:rsid w:val="00916080"/>
    <w:rsid w:val="00921A68"/>
    <w:rsid w:val="00960706"/>
    <w:rsid w:val="00A015C4"/>
    <w:rsid w:val="00A05454"/>
    <w:rsid w:val="00A15172"/>
    <w:rsid w:val="00C0598D"/>
    <w:rsid w:val="00C11956"/>
    <w:rsid w:val="00C158EE"/>
    <w:rsid w:val="00C602E5"/>
    <w:rsid w:val="00C748FD"/>
    <w:rsid w:val="00D24DCF"/>
    <w:rsid w:val="00D4046E"/>
    <w:rsid w:val="00D825C5"/>
    <w:rsid w:val="00DD4739"/>
    <w:rsid w:val="00DD7FFC"/>
    <w:rsid w:val="00DE5F33"/>
    <w:rsid w:val="00E07B54"/>
    <w:rsid w:val="00E11F78"/>
    <w:rsid w:val="00E621E1"/>
    <w:rsid w:val="00EC55B3"/>
    <w:rsid w:val="00F95FBF"/>
    <w:rsid w:val="00F96FB2"/>
    <w:rsid w:val="00FB51D8"/>
    <w:rsid w:val="00FD08E8"/>
    <w:rsid w:val="00FE5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5F0F58A8"/>
  <w15:chartTrackingRefBased/>
  <w15:docId w15:val="{C69B69A7-927C-415E-BEF4-A4BB52B88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pPr>
      <w:tabs>
        <w:tab w:val="center" w:pos="4536"/>
      </w:tabs>
    </w:pP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character" w:styleId="UnresolvedMention">
    <w:name w:val="Unresolved Mention"/>
    <w:uiPriority w:val="99"/>
    <w:semiHidden/>
    <w:unhideWhenUsed/>
    <w:rsid w:val="001E1151"/>
    <w:rPr>
      <w:color w:val="605E5C"/>
      <w:shd w:val="clear" w:color="auto" w:fill="E1DFDD"/>
    </w:rPr>
  </w:style>
  <w:style w:type="paragraph" w:styleId="ListParagraph">
    <w:name w:val="List Paragraph"/>
    <w:basedOn w:val="Normal"/>
    <w:uiPriority w:val="34"/>
    <w:qFormat/>
    <w:rsid w:val="00363771"/>
    <w:pPr>
      <w:ind w:left="720"/>
      <w:contextualSpacing/>
    </w:pPr>
    <w:rPr>
      <w:rFonts w:ascii="Aptos" w:hAnsi="Aptos"/>
      <w:kern w:val="2"/>
    </w:rPr>
  </w:style>
  <w:style w:type="character" w:styleId="Strong">
    <w:name w:val="Strong"/>
    <w:uiPriority w:val="22"/>
    <w:qFormat/>
    <w:rsid w:val="00363771"/>
    <w:rPr>
      <w:b/>
      <w:bCs/>
    </w:rPr>
  </w:style>
  <w:style w:type="character" w:customStyle="1" w:styleId="apple-converted-space">
    <w:name w:val="apple-converted-space"/>
    <w:basedOn w:val="DefaultParagraphFont"/>
    <w:rsid w:val="00363771"/>
  </w:style>
  <w:style w:type="paragraph" w:styleId="NormalWeb">
    <w:name w:val="Normal (Web)"/>
    <w:basedOn w:val="Normal"/>
    <w:uiPriority w:val="99"/>
    <w:unhideWhenUsed/>
    <w:rsid w:val="0036377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jessi@texasblockchaincouncil.org" TargetMode="External"/><Relationship Id="rId3" Type="http://schemas.openxmlformats.org/officeDocument/2006/relationships/settings" Target="settings.xml"/><Relationship Id="rId7" Type="http://schemas.openxmlformats.org/officeDocument/2006/relationships/hyperlink" Target="https://www.ercot.com/mktrules/issues/NOGRR28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1018</Words>
  <Characters>5725</Characters>
  <Application>Microsoft Office Word</Application>
  <DocSecurity>0</DocSecurity>
  <Lines>139</Lines>
  <Paragraphs>52</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6691</CharactersWithSpaces>
  <SharedDoc>false</SharedDoc>
  <HLinks>
    <vt:vector size="6" baseType="variant">
      <vt:variant>
        <vt:i4>7340076</vt:i4>
      </vt:variant>
      <vt:variant>
        <vt:i4>0</vt:i4>
      </vt:variant>
      <vt:variant>
        <vt:i4>0</vt:i4>
      </vt:variant>
      <vt:variant>
        <vt:i4>5</vt:i4>
      </vt:variant>
      <vt:variant>
        <vt:lpwstr>https://www.ercot.com/mktrules/issues/NOGRR282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 031726</cp:lastModifiedBy>
  <cp:revision>3</cp:revision>
  <cp:lastPrinted>2001-06-20T16:28:00Z</cp:lastPrinted>
  <dcterms:created xsi:type="dcterms:W3CDTF">2026-03-18T21:48:00Z</dcterms:created>
  <dcterms:modified xsi:type="dcterms:W3CDTF">2026-03-18T21:50:00Z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2026-03-18T21:50:37Z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5f18b74b-28cf-42a6-8013-e2f08ee6209e</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