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B40B" w14:textId="30A0E2D6" w:rsidR="00182A0D" w:rsidRDefault="00182A0D">
      <w:pPr>
        <w:rPr>
          <w:b/>
          <w:bCs/>
          <w:sz w:val="28"/>
          <w:szCs w:val="28"/>
        </w:rPr>
      </w:pPr>
    </w:p>
    <w:p w14:paraId="5F73849C" w14:textId="40F13334" w:rsidR="00182A0D" w:rsidRPr="00182A0D" w:rsidRDefault="00182A0D" w:rsidP="00182A0D">
      <w:pPr>
        <w:jc w:val="center"/>
        <w:rPr>
          <w:b/>
          <w:bCs/>
          <w:sz w:val="32"/>
          <w:szCs w:val="32"/>
        </w:rPr>
      </w:pPr>
      <w:r w:rsidRPr="00182A0D">
        <w:rPr>
          <w:b/>
          <w:bCs/>
          <w:sz w:val="32"/>
          <w:szCs w:val="32"/>
        </w:rPr>
        <w:t>ERCOT Compilation of Public Comments submitted by 3/3/2026 for Project 587</w:t>
      </w:r>
      <w:r>
        <w:rPr>
          <w:b/>
          <w:bCs/>
          <w:sz w:val="32"/>
          <w:szCs w:val="32"/>
        </w:rPr>
        <w:t>7</w:t>
      </w:r>
      <w:r w:rsidRPr="00182A0D">
        <w:rPr>
          <w:b/>
          <w:bCs/>
          <w:sz w:val="32"/>
          <w:szCs w:val="32"/>
        </w:rPr>
        <w:t xml:space="preserve">7, </w:t>
      </w:r>
      <w:r w:rsidRPr="00182A0D">
        <w:rPr>
          <w:b/>
          <w:bCs/>
          <w:sz w:val="32"/>
          <w:szCs w:val="32"/>
        </w:rPr>
        <w:t>Triennial Reliability Assessment for the ERCOT Region under §25.508</w:t>
      </w:r>
    </w:p>
    <w:p w14:paraId="0E48868D" w14:textId="77777777" w:rsidR="00182A0D" w:rsidRDefault="00182A0D">
      <w:pPr>
        <w:rPr>
          <w:b/>
          <w:bCs/>
          <w:sz w:val="28"/>
          <w:szCs w:val="28"/>
        </w:rPr>
      </w:pPr>
    </w:p>
    <w:p w14:paraId="00B99605" w14:textId="6DB33015" w:rsidR="00482F15" w:rsidRPr="00482F15" w:rsidRDefault="00482F15" w:rsidP="00182A0D">
      <w:pPr>
        <w:jc w:val="center"/>
        <w:rPr>
          <w:b/>
          <w:bCs/>
          <w:sz w:val="28"/>
          <w:szCs w:val="28"/>
        </w:rPr>
      </w:pPr>
      <w:r w:rsidRPr="00482F15">
        <w:rPr>
          <w:b/>
          <w:bCs/>
          <w:sz w:val="28"/>
          <w:szCs w:val="28"/>
        </w:rPr>
        <w:t>Commenter Count = 15</w:t>
      </w:r>
      <w:r>
        <w:rPr>
          <w:b/>
          <w:bCs/>
          <w:sz w:val="28"/>
          <w:szCs w:val="28"/>
        </w:rPr>
        <w:t xml:space="preserve"> (One filing reflects joint comments from two organizations)</w:t>
      </w:r>
    </w:p>
    <w:tbl>
      <w:tblPr>
        <w:tblStyle w:val="TableGrid"/>
        <w:tblW w:w="0" w:type="auto"/>
        <w:tblLook w:val="04A0" w:firstRow="1" w:lastRow="0" w:firstColumn="1" w:lastColumn="0" w:noHBand="0" w:noVBand="1"/>
      </w:tblPr>
      <w:tblGrid>
        <w:gridCol w:w="1640"/>
        <w:gridCol w:w="1407"/>
        <w:gridCol w:w="3853"/>
        <w:gridCol w:w="6050"/>
      </w:tblGrid>
      <w:tr w:rsidR="00E6487B" w14:paraId="575CF413" w14:textId="77777777" w:rsidTr="00740313">
        <w:trPr>
          <w:tblHeader/>
        </w:trPr>
        <w:tc>
          <w:tcPr>
            <w:tcW w:w="1640" w:type="dxa"/>
            <w:shd w:val="clear" w:color="auto" w:fill="DAE9F7" w:themeFill="text2" w:themeFillTint="1A"/>
          </w:tcPr>
          <w:p w14:paraId="17BDCE24" w14:textId="785A63C2" w:rsidR="00E91BA4" w:rsidRPr="00E6487B" w:rsidRDefault="00E91BA4">
            <w:pPr>
              <w:rPr>
                <w:rFonts w:ascii="Arial" w:hAnsi="Arial" w:cs="Arial"/>
                <w:b/>
                <w:bCs/>
              </w:rPr>
            </w:pPr>
            <w:r w:rsidRPr="00E6487B">
              <w:rPr>
                <w:rFonts w:ascii="Arial" w:hAnsi="Arial" w:cs="Arial"/>
                <w:b/>
                <w:bCs/>
              </w:rPr>
              <w:t>Question Topic</w:t>
            </w:r>
          </w:p>
        </w:tc>
        <w:tc>
          <w:tcPr>
            <w:tcW w:w="1407" w:type="dxa"/>
            <w:shd w:val="clear" w:color="auto" w:fill="DAE9F7" w:themeFill="text2" w:themeFillTint="1A"/>
          </w:tcPr>
          <w:p w14:paraId="64AABEEB" w14:textId="7C710AF2" w:rsidR="00E91BA4" w:rsidRPr="00E6487B" w:rsidRDefault="00E91BA4">
            <w:pPr>
              <w:rPr>
                <w:rFonts w:ascii="Arial" w:hAnsi="Arial" w:cs="Arial"/>
                <w:b/>
                <w:bCs/>
              </w:rPr>
            </w:pPr>
            <w:r w:rsidRPr="00E6487B">
              <w:rPr>
                <w:rFonts w:ascii="Arial" w:hAnsi="Arial" w:cs="Arial"/>
                <w:b/>
                <w:bCs/>
              </w:rPr>
              <w:t>Question Number</w:t>
            </w:r>
          </w:p>
        </w:tc>
        <w:tc>
          <w:tcPr>
            <w:tcW w:w="3853" w:type="dxa"/>
            <w:shd w:val="clear" w:color="auto" w:fill="DAE9F7" w:themeFill="text2" w:themeFillTint="1A"/>
          </w:tcPr>
          <w:p w14:paraId="4DE49C34" w14:textId="44E60A0F" w:rsidR="00E91BA4" w:rsidRPr="00E6487B" w:rsidRDefault="00E91BA4">
            <w:pPr>
              <w:rPr>
                <w:rFonts w:ascii="Arial" w:hAnsi="Arial" w:cs="Arial"/>
                <w:b/>
                <w:bCs/>
              </w:rPr>
            </w:pPr>
            <w:r w:rsidRPr="00E6487B">
              <w:rPr>
                <w:rFonts w:ascii="Arial" w:hAnsi="Arial" w:cs="Arial"/>
                <w:b/>
                <w:bCs/>
              </w:rPr>
              <w:t>Question</w:t>
            </w:r>
          </w:p>
        </w:tc>
        <w:tc>
          <w:tcPr>
            <w:tcW w:w="6050" w:type="dxa"/>
            <w:shd w:val="clear" w:color="auto" w:fill="DAE9F7" w:themeFill="text2" w:themeFillTint="1A"/>
          </w:tcPr>
          <w:p w14:paraId="56495C0B" w14:textId="406FE278" w:rsidR="00E91BA4" w:rsidRPr="00E6487B" w:rsidRDefault="00E91BA4">
            <w:pPr>
              <w:rPr>
                <w:rFonts w:ascii="Arial" w:hAnsi="Arial" w:cs="Arial"/>
                <w:b/>
                <w:bCs/>
              </w:rPr>
            </w:pPr>
            <w:r w:rsidRPr="00E6487B">
              <w:rPr>
                <w:rFonts w:ascii="Arial" w:hAnsi="Arial" w:cs="Arial"/>
                <w:b/>
                <w:bCs/>
              </w:rPr>
              <w:t>Comments Overview</w:t>
            </w:r>
          </w:p>
        </w:tc>
      </w:tr>
      <w:tr w:rsidR="00E6487B" w14:paraId="77697D15" w14:textId="77777777" w:rsidTr="00E6487B">
        <w:tc>
          <w:tcPr>
            <w:tcW w:w="1640" w:type="dxa"/>
          </w:tcPr>
          <w:p w14:paraId="1B32E34A" w14:textId="2C269847" w:rsidR="00E91BA4" w:rsidRPr="00E6487B" w:rsidRDefault="00E91BA4">
            <w:pPr>
              <w:rPr>
                <w:rFonts w:ascii="Arial" w:hAnsi="Arial" w:cs="Arial"/>
              </w:rPr>
            </w:pPr>
            <w:r w:rsidRPr="00E6487B">
              <w:rPr>
                <w:rFonts w:ascii="Arial" w:hAnsi="Arial" w:cs="Arial"/>
              </w:rPr>
              <w:t>CONE</w:t>
            </w:r>
          </w:p>
        </w:tc>
        <w:tc>
          <w:tcPr>
            <w:tcW w:w="1407" w:type="dxa"/>
          </w:tcPr>
          <w:p w14:paraId="799F9630" w14:textId="679A0807" w:rsidR="00E91BA4" w:rsidRPr="00E6487B" w:rsidRDefault="00E91BA4">
            <w:pPr>
              <w:rPr>
                <w:rFonts w:ascii="Arial" w:hAnsi="Arial" w:cs="Arial"/>
              </w:rPr>
            </w:pPr>
            <w:r w:rsidRPr="00E6487B">
              <w:rPr>
                <w:rFonts w:ascii="Arial" w:hAnsi="Arial" w:cs="Arial"/>
              </w:rPr>
              <w:t>1.a</w:t>
            </w:r>
          </w:p>
        </w:tc>
        <w:tc>
          <w:tcPr>
            <w:tcW w:w="3853" w:type="dxa"/>
          </w:tcPr>
          <w:p w14:paraId="240C7431" w14:textId="5BC3B518" w:rsidR="00E91BA4" w:rsidRPr="00E6487B" w:rsidRDefault="00E91BA4">
            <w:pPr>
              <w:rPr>
                <w:rFonts w:ascii="Arial" w:hAnsi="Arial" w:cs="Arial"/>
              </w:rPr>
            </w:pPr>
            <w:r w:rsidRPr="00E6487B">
              <w:rPr>
                <w:rFonts w:ascii="Arial" w:hAnsi="Arial" w:cs="Arial"/>
              </w:rPr>
              <w:t>Does CONE need to be updated for the 2026 reliability standard assessment? Why or why not?</w:t>
            </w:r>
          </w:p>
        </w:tc>
        <w:tc>
          <w:tcPr>
            <w:tcW w:w="6050" w:type="dxa"/>
          </w:tcPr>
          <w:p w14:paraId="7D0EC3E2" w14:textId="238E65C8" w:rsidR="00E91BA4" w:rsidRDefault="00214C00" w:rsidP="00DF4CC8">
            <w:pPr>
              <w:pStyle w:val="ListParagraph"/>
              <w:numPr>
                <w:ilvl w:val="0"/>
                <w:numId w:val="1"/>
              </w:numPr>
              <w:rPr>
                <w:rFonts w:ascii="Arial" w:hAnsi="Arial" w:cs="Arial"/>
              </w:rPr>
            </w:pPr>
            <w:r w:rsidRPr="00DF4CC8">
              <w:rPr>
                <w:rFonts w:ascii="Arial" w:hAnsi="Arial" w:cs="Arial"/>
              </w:rPr>
              <w:t>1</w:t>
            </w:r>
            <w:r w:rsidR="00AE1DE4">
              <w:rPr>
                <w:rFonts w:ascii="Arial" w:hAnsi="Arial" w:cs="Arial"/>
              </w:rPr>
              <w:t>2</w:t>
            </w:r>
            <w:r w:rsidRPr="00DF4CC8">
              <w:rPr>
                <w:rFonts w:ascii="Arial" w:hAnsi="Arial" w:cs="Arial"/>
              </w:rPr>
              <w:t xml:space="preserve"> </w:t>
            </w:r>
            <w:r w:rsidR="00AE1DE4">
              <w:rPr>
                <w:rFonts w:ascii="Arial" w:hAnsi="Arial" w:cs="Arial"/>
              </w:rPr>
              <w:t xml:space="preserve">out of the 13 that </w:t>
            </w:r>
            <w:r w:rsidRPr="00DF4CC8">
              <w:rPr>
                <w:rFonts w:ascii="Arial" w:hAnsi="Arial" w:cs="Arial"/>
              </w:rPr>
              <w:t>commenter</w:t>
            </w:r>
            <w:r w:rsidR="00DF4CC8">
              <w:rPr>
                <w:rFonts w:ascii="Arial" w:hAnsi="Arial" w:cs="Arial"/>
              </w:rPr>
              <w:t>s</w:t>
            </w:r>
            <w:r w:rsidRPr="00DF4CC8">
              <w:rPr>
                <w:rFonts w:ascii="Arial" w:hAnsi="Arial" w:cs="Arial"/>
              </w:rPr>
              <w:t xml:space="preserve"> </w:t>
            </w:r>
            <w:r w:rsidR="00AE1DE4">
              <w:rPr>
                <w:rFonts w:ascii="Arial" w:hAnsi="Arial" w:cs="Arial"/>
              </w:rPr>
              <w:t xml:space="preserve">that provided responses </w:t>
            </w:r>
            <w:r w:rsidRPr="00DF4CC8">
              <w:rPr>
                <w:rFonts w:ascii="Arial" w:hAnsi="Arial" w:cs="Arial"/>
              </w:rPr>
              <w:t xml:space="preserve">support updating </w:t>
            </w:r>
            <w:r w:rsidR="00AE1DE4">
              <w:rPr>
                <w:rFonts w:ascii="Arial" w:hAnsi="Arial" w:cs="Arial"/>
              </w:rPr>
              <w:t xml:space="preserve">the </w:t>
            </w:r>
            <w:r w:rsidRPr="00DF4CC8">
              <w:rPr>
                <w:rFonts w:ascii="Arial" w:hAnsi="Arial" w:cs="Arial"/>
              </w:rPr>
              <w:t>CON</w:t>
            </w:r>
            <w:r w:rsidR="00DF4CC8">
              <w:rPr>
                <w:rFonts w:ascii="Arial" w:hAnsi="Arial" w:cs="Arial"/>
              </w:rPr>
              <w:t>E</w:t>
            </w:r>
          </w:p>
          <w:p w14:paraId="0CD235E0" w14:textId="1B730032" w:rsidR="00DF4CC8" w:rsidRPr="00AE1DE4" w:rsidRDefault="00DF4CC8" w:rsidP="00AE1DE4">
            <w:pPr>
              <w:pStyle w:val="ListParagraph"/>
              <w:numPr>
                <w:ilvl w:val="0"/>
                <w:numId w:val="1"/>
              </w:numPr>
              <w:rPr>
                <w:rFonts w:ascii="Arial" w:hAnsi="Arial" w:cs="Arial"/>
              </w:rPr>
            </w:pPr>
            <w:r>
              <w:rPr>
                <w:rFonts w:ascii="Arial" w:hAnsi="Arial" w:cs="Arial"/>
              </w:rPr>
              <w:t>2 commenters don’t think an update is needed</w:t>
            </w:r>
          </w:p>
        </w:tc>
      </w:tr>
      <w:tr w:rsidR="00E6487B" w14:paraId="249F6102" w14:textId="77777777" w:rsidTr="00E6487B">
        <w:tc>
          <w:tcPr>
            <w:tcW w:w="1640" w:type="dxa"/>
          </w:tcPr>
          <w:p w14:paraId="46F25950" w14:textId="0008B64B" w:rsidR="00E91BA4" w:rsidRPr="00E6487B" w:rsidRDefault="00E91BA4">
            <w:pPr>
              <w:rPr>
                <w:rFonts w:ascii="Arial" w:hAnsi="Arial" w:cs="Arial"/>
              </w:rPr>
            </w:pPr>
            <w:r w:rsidRPr="00E6487B">
              <w:rPr>
                <w:rFonts w:ascii="Arial" w:hAnsi="Arial" w:cs="Arial"/>
              </w:rPr>
              <w:t>CONE</w:t>
            </w:r>
          </w:p>
        </w:tc>
        <w:tc>
          <w:tcPr>
            <w:tcW w:w="1407" w:type="dxa"/>
          </w:tcPr>
          <w:p w14:paraId="2C6705E8" w14:textId="0A465332" w:rsidR="00E91BA4" w:rsidRPr="00E6487B" w:rsidRDefault="00E91BA4">
            <w:pPr>
              <w:rPr>
                <w:rFonts w:ascii="Arial" w:hAnsi="Arial" w:cs="Arial"/>
              </w:rPr>
            </w:pPr>
            <w:r w:rsidRPr="00E6487B">
              <w:rPr>
                <w:rFonts w:ascii="Arial" w:hAnsi="Arial" w:cs="Arial"/>
              </w:rPr>
              <w:t>1.b</w:t>
            </w:r>
          </w:p>
        </w:tc>
        <w:tc>
          <w:tcPr>
            <w:tcW w:w="3853" w:type="dxa"/>
          </w:tcPr>
          <w:p w14:paraId="3918A785" w14:textId="77777777" w:rsidR="00E91BA4" w:rsidRDefault="00E91BA4">
            <w:pPr>
              <w:rPr>
                <w:rFonts w:ascii="Arial" w:hAnsi="Arial" w:cs="Arial"/>
              </w:rPr>
            </w:pPr>
            <w:r w:rsidRPr="00E6487B">
              <w:rPr>
                <w:rFonts w:ascii="Arial" w:hAnsi="Arial" w:cs="Arial"/>
              </w:rPr>
              <w:t xml:space="preserve">If the Commission considers an updated CONE value, are the scope and list of tasks proposed by Brattle and Sargent &amp; Lundy in ERCOT's January 15, </w:t>
            </w:r>
            <w:proofErr w:type="gramStart"/>
            <w:r w:rsidRPr="00E6487B">
              <w:rPr>
                <w:rFonts w:ascii="Arial" w:hAnsi="Arial" w:cs="Arial"/>
              </w:rPr>
              <w:t>2026</w:t>
            </w:r>
            <w:proofErr w:type="gramEnd"/>
            <w:r w:rsidRPr="00E6487B">
              <w:rPr>
                <w:rFonts w:ascii="Arial" w:hAnsi="Arial" w:cs="Arial"/>
              </w:rPr>
              <w:t xml:space="preserve"> filing an acceptable method to update the calculations? If not, please provide recommended modifications to their approach.</w:t>
            </w:r>
          </w:p>
          <w:p w14:paraId="73AADEB3" w14:textId="77777777" w:rsidR="00740313" w:rsidRPr="00740313" w:rsidRDefault="00740313" w:rsidP="00740313">
            <w:pPr>
              <w:rPr>
                <w:rFonts w:ascii="Arial" w:hAnsi="Arial" w:cs="Arial"/>
              </w:rPr>
            </w:pPr>
          </w:p>
          <w:p w14:paraId="7C2FA69F" w14:textId="77777777" w:rsidR="00740313" w:rsidRPr="00740313" w:rsidRDefault="00740313" w:rsidP="00740313">
            <w:pPr>
              <w:rPr>
                <w:rFonts w:ascii="Arial" w:hAnsi="Arial" w:cs="Arial"/>
              </w:rPr>
            </w:pPr>
          </w:p>
          <w:p w14:paraId="7643A4D7" w14:textId="77777777" w:rsidR="00740313" w:rsidRPr="00740313" w:rsidRDefault="00740313" w:rsidP="00740313">
            <w:pPr>
              <w:rPr>
                <w:rFonts w:ascii="Arial" w:hAnsi="Arial" w:cs="Arial"/>
              </w:rPr>
            </w:pPr>
          </w:p>
          <w:p w14:paraId="54B5CA85" w14:textId="77777777" w:rsidR="00740313" w:rsidRDefault="00740313" w:rsidP="00740313">
            <w:pPr>
              <w:rPr>
                <w:rFonts w:ascii="Arial" w:hAnsi="Arial" w:cs="Arial"/>
              </w:rPr>
            </w:pPr>
          </w:p>
          <w:p w14:paraId="466E8554" w14:textId="77777777" w:rsidR="00740313" w:rsidRPr="00740313" w:rsidRDefault="00740313" w:rsidP="00740313">
            <w:pPr>
              <w:rPr>
                <w:rFonts w:ascii="Arial" w:hAnsi="Arial" w:cs="Arial"/>
              </w:rPr>
            </w:pPr>
          </w:p>
          <w:p w14:paraId="584904BD" w14:textId="77777777" w:rsidR="00740313" w:rsidRDefault="00740313" w:rsidP="00740313">
            <w:pPr>
              <w:rPr>
                <w:rFonts w:ascii="Arial" w:hAnsi="Arial" w:cs="Arial"/>
              </w:rPr>
            </w:pPr>
          </w:p>
          <w:p w14:paraId="24F07D00" w14:textId="0447BE66" w:rsidR="00740313" w:rsidRPr="00740313" w:rsidRDefault="00740313" w:rsidP="00740313">
            <w:pPr>
              <w:tabs>
                <w:tab w:val="left" w:pos="1286"/>
              </w:tabs>
              <w:rPr>
                <w:rFonts w:ascii="Arial" w:hAnsi="Arial" w:cs="Arial"/>
              </w:rPr>
            </w:pPr>
            <w:r>
              <w:rPr>
                <w:rFonts w:ascii="Arial" w:hAnsi="Arial" w:cs="Arial"/>
              </w:rPr>
              <w:tab/>
            </w:r>
          </w:p>
        </w:tc>
        <w:tc>
          <w:tcPr>
            <w:tcW w:w="6050" w:type="dxa"/>
          </w:tcPr>
          <w:p w14:paraId="5387C148" w14:textId="77777777" w:rsidR="00757962" w:rsidRDefault="00757962" w:rsidP="00757962">
            <w:pPr>
              <w:pStyle w:val="ListParagraph"/>
              <w:numPr>
                <w:ilvl w:val="0"/>
                <w:numId w:val="1"/>
              </w:numPr>
              <w:rPr>
                <w:rFonts w:ascii="Arial" w:hAnsi="Arial" w:cs="Arial"/>
              </w:rPr>
            </w:pPr>
            <w:r>
              <w:rPr>
                <w:rFonts w:ascii="Arial" w:hAnsi="Arial" w:cs="Arial"/>
              </w:rPr>
              <w:t>Several commenters suggested doing CONE sensitivities</w:t>
            </w:r>
          </w:p>
          <w:p w14:paraId="1A0ED65A" w14:textId="77777777" w:rsidR="00757962" w:rsidRDefault="00757962" w:rsidP="00757962">
            <w:pPr>
              <w:pStyle w:val="ListParagraph"/>
              <w:numPr>
                <w:ilvl w:val="0"/>
                <w:numId w:val="1"/>
              </w:numPr>
              <w:rPr>
                <w:rFonts w:ascii="Arial" w:hAnsi="Arial" w:cs="Arial"/>
              </w:rPr>
            </w:pPr>
            <w:r>
              <w:rPr>
                <w:rFonts w:ascii="Arial" w:hAnsi="Arial" w:cs="Arial"/>
              </w:rPr>
              <w:t>Multiple commenters suggested assessing TEF project costs</w:t>
            </w:r>
          </w:p>
          <w:p w14:paraId="4E33359C" w14:textId="77777777" w:rsidR="00E91BA4" w:rsidRDefault="00757962" w:rsidP="00757962">
            <w:pPr>
              <w:pStyle w:val="ListParagraph"/>
              <w:numPr>
                <w:ilvl w:val="0"/>
                <w:numId w:val="1"/>
              </w:numPr>
              <w:rPr>
                <w:rFonts w:ascii="Arial" w:hAnsi="Arial" w:cs="Arial"/>
              </w:rPr>
            </w:pPr>
            <w:r>
              <w:rPr>
                <w:rFonts w:ascii="Arial" w:hAnsi="Arial" w:cs="Arial"/>
              </w:rPr>
              <w:t>Multiple commenters suggested calculating alternative CONE values (BESS or co-located PV/BESS)</w:t>
            </w:r>
          </w:p>
          <w:p w14:paraId="111781BA" w14:textId="5BD9A8C2" w:rsidR="004513EA" w:rsidRPr="004513EA" w:rsidRDefault="004513EA" w:rsidP="004513EA">
            <w:pPr>
              <w:pStyle w:val="ListParagraph"/>
              <w:numPr>
                <w:ilvl w:val="0"/>
                <w:numId w:val="1"/>
              </w:numPr>
              <w:rPr>
                <w:rFonts w:ascii="Arial" w:hAnsi="Arial" w:cs="Arial"/>
              </w:rPr>
            </w:pPr>
            <w:r w:rsidRPr="004513EA">
              <w:rPr>
                <w:rFonts w:ascii="Arial" w:hAnsi="Arial" w:cs="Arial"/>
              </w:rPr>
              <w:t xml:space="preserve">One commenter stated that it was not </w:t>
            </w:r>
            <w:r w:rsidRPr="004513EA">
              <w:rPr>
                <w:rFonts w:ascii="Arial" w:hAnsi="Arial" w:cs="Arial"/>
              </w:rPr>
              <w:t>prudent to</w:t>
            </w:r>
            <w:r>
              <w:rPr>
                <w:rFonts w:ascii="Arial" w:hAnsi="Arial" w:cs="Arial"/>
              </w:rPr>
              <w:t xml:space="preserve"> </w:t>
            </w:r>
            <w:r w:rsidRPr="004513EA">
              <w:rPr>
                <w:rFonts w:ascii="Arial" w:hAnsi="Arial" w:cs="Arial"/>
              </w:rPr>
              <w:t>“</w:t>
            </w:r>
            <w:r w:rsidRPr="004513EA">
              <w:rPr>
                <w:rFonts w:ascii="Arial" w:hAnsi="Arial" w:cs="Arial"/>
              </w:rPr>
              <w:t>materially change this estimate based on short-term supply chain issues</w:t>
            </w:r>
            <w:r w:rsidRPr="004513EA">
              <w:rPr>
                <w:rFonts w:ascii="Arial" w:hAnsi="Arial" w:cs="Arial"/>
              </w:rPr>
              <w:t>”</w:t>
            </w:r>
          </w:p>
          <w:p w14:paraId="38F831E8" w14:textId="429C5CB4" w:rsidR="00DF25B2" w:rsidRPr="00757962" w:rsidRDefault="00DF25B2" w:rsidP="00DF25B2">
            <w:pPr>
              <w:pStyle w:val="ListParagraph"/>
              <w:numPr>
                <w:ilvl w:val="0"/>
                <w:numId w:val="1"/>
              </w:numPr>
              <w:rPr>
                <w:rFonts w:ascii="Arial" w:hAnsi="Arial" w:cs="Arial"/>
              </w:rPr>
            </w:pPr>
            <w:r>
              <w:rPr>
                <w:rFonts w:ascii="Arial" w:hAnsi="Arial" w:cs="Arial"/>
              </w:rPr>
              <w:t xml:space="preserve">One commenter suggested that the </w:t>
            </w:r>
            <w:r w:rsidRPr="00DF25B2">
              <w:rPr>
                <w:rFonts w:ascii="Arial" w:hAnsi="Arial" w:cs="Arial"/>
              </w:rPr>
              <w:t xml:space="preserve">Commission should choose CONE to </w:t>
            </w:r>
            <w:r>
              <w:rPr>
                <w:rFonts w:ascii="Arial" w:hAnsi="Arial" w:cs="Arial"/>
              </w:rPr>
              <w:t>“</w:t>
            </w:r>
            <w:r w:rsidRPr="00DF25B2">
              <w:rPr>
                <w:rFonts w:ascii="Arial" w:hAnsi="Arial" w:cs="Arial"/>
              </w:rPr>
              <w:t>encourage competition across a broader set of</w:t>
            </w:r>
            <w:r>
              <w:rPr>
                <w:rFonts w:ascii="Arial" w:hAnsi="Arial" w:cs="Arial"/>
              </w:rPr>
              <w:t xml:space="preserve"> </w:t>
            </w:r>
            <w:r w:rsidRPr="00DF25B2">
              <w:rPr>
                <w:rFonts w:ascii="Arial" w:hAnsi="Arial" w:cs="Arial"/>
              </w:rPr>
              <w:t>technologies rather than try to minimize it</w:t>
            </w:r>
            <w:r>
              <w:rPr>
                <w:rFonts w:ascii="Arial" w:hAnsi="Arial" w:cs="Arial"/>
              </w:rPr>
              <w:t>” as was done for the 2024 CONE study</w:t>
            </w:r>
          </w:p>
        </w:tc>
      </w:tr>
      <w:tr w:rsidR="00E6487B" w14:paraId="1A493FD6" w14:textId="77777777" w:rsidTr="00E6487B">
        <w:tc>
          <w:tcPr>
            <w:tcW w:w="1640" w:type="dxa"/>
          </w:tcPr>
          <w:p w14:paraId="2C62F2A8" w14:textId="32402425" w:rsidR="00E91BA4" w:rsidRPr="00E6487B" w:rsidRDefault="00E91BA4">
            <w:pPr>
              <w:rPr>
                <w:rFonts w:ascii="Arial" w:hAnsi="Arial" w:cs="Arial"/>
              </w:rPr>
            </w:pPr>
            <w:r w:rsidRPr="00E6487B">
              <w:rPr>
                <w:rFonts w:ascii="Arial" w:hAnsi="Arial" w:cs="Arial"/>
              </w:rPr>
              <w:lastRenderedPageBreak/>
              <w:t>Load Forecast</w:t>
            </w:r>
          </w:p>
        </w:tc>
        <w:tc>
          <w:tcPr>
            <w:tcW w:w="1407" w:type="dxa"/>
          </w:tcPr>
          <w:p w14:paraId="335A4A74" w14:textId="5A593C16" w:rsidR="00E91BA4" w:rsidRPr="00E6487B" w:rsidRDefault="00E91BA4">
            <w:pPr>
              <w:rPr>
                <w:rFonts w:ascii="Arial" w:hAnsi="Arial" w:cs="Arial"/>
              </w:rPr>
            </w:pPr>
            <w:r w:rsidRPr="00E6487B">
              <w:rPr>
                <w:rFonts w:ascii="Arial" w:hAnsi="Arial" w:cs="Arial"/>
              </w:rPr>
              <w:t>2.a</w:t>
            </w:r>
          </w:p>
        </w:tc>
        <w:tc>
          <w:tcPr>
            <w:tcW w:w="3853" w:type="dxa"/>
          </w:tcPr>
          <w:p w14:paraId="11594765" w14:textId="14907989" w:rsidR="00E91BA4" w:rsidRPr="00E6487B" w:rsidRDefault="00E91BA4">
            <w:pPr>
              <w:rPr>
                <w:rFonts w:ascii="Arial" w:hAnsi="Arial" w:cs="Arial"/>
              </w:rPr>
            </w:pPr>
            <w:r w:rsidRPr="00E6487B">
              <w:rPr>
                <w:rFonts w:ascii="Arial" w:hAnsi="Arial" w:cs="Arial"/>
              </w:rPr>
              <w:t>Should the Commission approve updating the load forecast used in the 2026 reliability assessment to align with the compliance plan being considered in Project No. 58480, even if it will delay work on the reliability assessment?</w:t>
            </w:r>
          </w:p>
        </w:tc>
        <w:tc>
          <w:tcPr>
            <w:tcW w:w="6050" w:type="dxa"/>
          </w:tcPr>
          <w:p w14:paraId="1DCD5503" w14:textId="59D54140" w:rsidR="00757962" w:rsidRDefault="00757962" w:rsidP="00757962">
            <w:pPr>
              <w:pStyle w:val="ListParagraph"/>
              <w:numPr>
                <w:ilvl w:val="0"/>
                <w:numId w:val="1"/>
              </w:numPr>
              <w:rPr>
                <w:rFonts w:ascii="Arial" w:hAnsi="Arial" w:cs="Arial"/>
              </w:rPr>
            </w:pPr>
            <w:r w:rsidRPr="00DF4CC8">
              <w:rPr>
                <w:rFonts w:ascii="Arial" w:hAnsi="Arial" w:cs="Arial"/>
              </w:rPr>
              <w:t>1</w:t>
            </w:r>
            <w:r w:rsidR="00AE1DE4">
              <w:rPr>
                <w:rFonts w:ascii="Arial" w:hAnsi="Arial" w:cs="Arial"/>
              </w:rPr>
              <w:t>4</w:t>
            </w:r>
            <w:r w:rsidRPr="00DF4CC8">
              <w:rPr>
                <w:rFonts w:ascii="Arial" w:hAnsi="Arial" w:cs="Arial"/>
              </w:rPr>
              <w:t xml:space="preserve"> commenter</w:t>
            </w:r>
            <w:r>
              <w:rPr>
                <w:rFonts w:ascii="Arial" w:hAnsi="Arial" w:cs="Arial"/>
              </w:rPr>
              <w:t>s</w:t>
            </w:r>
            <w:r w:rsidRPr="00DF4CC8">
              <w:rPr>
                <w:rFonts w:ascii="Arial" w:hAnsi="Arial" w:cs="Arial"/>
              </w:rPr>
              <w:t xml:space="preserve"> support </w:t>
            </w:r>
            <w:r>
              <w:rPr>
                <w:rFonts w:ascii="Arial" w:hAnsi="Arial" w:cs="Arial"/>
              </w:rPr>
              <w:t>using the RTP Compliant Load Forecast</w:t>
            </w:r>
            <w:r>
              <w:rPr>
                <w:rFonts w:ascii="Arial" w:hAnsi="Arial" w:cs="Arial"/>
              </w:rPr>
              <w:t xml:space="preserve"> even if it causes a schedule dela</w:t>
            </w:r>
            <w:r w:rsidR="00AE1DE4">
              <w:rPr>
                <w:rFonts w:ascii="Arial" w:hAnsi="Arial" w:cs="Arial"/>
              </w:rPr>
              <w:t>y</w:t>
            </w:r>
          </w:p>
          <w:p w14:paraId="20F80371" w14:textId="39EBE396" w:rsidR="00757962" w:rsidRDefault="00757962" w:rsidP="00757962">
            <w:pPr>
              <w:pStyle w:val="ListParagraph"/>
              <w:numPr>
                <w:ilvl w:val="0"/>
                <w:numId w:val="1"/>
              </w:numPr>
              <w:rPr>
                <w:rFonts w:ascii="Arial" w:hAnsi="Arial" w:cs="Arial"/>
              </w:rPr>
            </w:pPr>
            <w:r>
              <w:rPr>
                <w:rFonts w:ascii="Arial" w:hAnsi="Arial" w:cs="Arial"/>
              </w:rPr>
              <w:t>1 commenter opposed its use</w:t>
            </w:r>
          </w:p>
          <w:p w14:paraId="2F5C39C8" w14:textId="6CC7DC54" w:rsidR="00757962" w:rsidRDefault="00757962" w:rsidP="00757962">
            <w:pPr>
              <w:pStyle w:val="ListParagraph"/>
              <w:numPr>
                <w:ilvl w:val="0"/>
                <w:numId w:val="1"/>
              </w:numPr>
              <w:rPr>
                <w:rFonts w:ascii="Arial" w:hAnsi="Arial" w:cs="Arial"/>
              </w:rPr>
            </w:pPr>
            <w:r>
              <w:rPr>
                <w:rFonts w:ascii="Arial" w:hAnsi="Arial" w:cs="Arial"/>
              </w:rPr>
              <w:t>1 commenter declined to comment</w:t>
            </w:r>
          </w:p>
          <w:p w14:paraId="0333B04D" w14:textId="0FE82E62" w:rsidR="00757962" w:rsidRDefault="00757962" w:rsidP="00757962">
            <w:pPr>
              <w:pStyle w:val="ListParagraph"/>
              <w:numPr>
                <w:ilvl w:val="0"/>
                <w:numId w:val="1"/>
              </w:numPr>
              <w:rPr>
                <w:rFonts w:ascii="Arial" w:hAnsi="Arial" w:cs="Arial"/>
              </w:rPr>
            </w:pPr>
            <w:r>
              <w:rPr>
                <w:rFonts w:ascii="Arial" w:hAnsi="Arial" w:cs="Arial"/>
              </w:rPr>
              <w:t>Multiple commenters requested that sufficient public input timelines be preserved in the event of a delay</w:t>
            </w:r>
          </w:p>
          <w:p w14:paraId="2914B3FA" w14:textId="77777777" w:rsidR="00E91BA4" w:rsidRPr="00E6487B" w:rsidRDefault="00E91BA4">
            <w:pPr>
              <w:rPr>
                <w:rFonts w:ascii="Arial" w:hAnsi="Arial" w:cs="Arial"/>
              </w:rPr>
            </w:pPr>
          </w:p>
        </w:tc>
      </w:tr>
      <w:tr w:rsidR="00E6487B" w14:paraId="3997596C" w14:textId="77777777" w:rsidTr="00E6487B">
        <w:tc>
          <w:tcPr>
            <w:tcW w:w="1640" w:type="dxa"/>
          </w:tcPr>
          <w:p w14:paraId="10003AEA" w14:textId="00702BCC" w:rsidR="00E91BA4" w:rsidRPr="00E6487B" w:rsidRDefault="00E91BA4">
            <w:pPr>
              <w:rPr>
                <w:rFonts w:ascii="Arial" w:hAnsi="Arial" w:cs="Arial"/>
              </w:rPr>
            </w:pPr>
            <w:r w:rsidRPr="00E6487B">
              <w:rPr>
                <w:rFonts w:ascii="Arial" w:hAnsi="Arial" w:cs="Arial"/>
              </w:rPr>
              <w:t>Load Forecast</w:t>
            </w:r>
          </w:p>
        </w:tc>
        <w:tc>
          <w:tcPr>
            <w:tcW w:w="1407" w:type="dxa"/>
          </w:tcPr>
          <w:p w14:paraId="1F1D5E66" w14:textId="6B03E8A0" w:rsidR="00E91BA4" w:rsidRPr="00E6487B" w:rsidRDefault="00E91BA4">
            <w:pPr>
              <w:rPr>
                <w:rFonts w:ascii="Arial" w:hAnsi="Arial" w:cs="Arial"/>
              </w:rPr>
            </w:pPr>
            <w:r w:rsidRPr="00E6487B">
              <w:rPr>
                <w:rFonts w:ascii="Arial" w:hAnsi="Arial" w:cs="Arial"/>
              </w:rPr>
              <w:t>2.b</w:t>
            </w:r>
          </w:p>
        </w:tc>
        <w:tc>
          <w:tcPr>
            <w:tcW w:w="3853" w:type="dxa"/>
          </w:tcPr>
          <w:p w14:paraId="0722A932" w14:textId="58C158AB" w:rsidR="00E91BA4" w:rsidRPr="00E6487B" w:rsidRDefault="00E91BA4">
            <w:pPr>
              <w:rPr>
                <w:rFonts w:ascii="Arial" w:hAnsi="Arial" w:cs="Arial"/>
              </w:rPr>
            </w:pPr>
            <w:r w:rsidRPr="00E6487B">
              <w:rPr>
                <w:rFonts w:ascii="Arial" w:hAnsi="Arial" w:cs="Arial"/>
              </w:rPr>
              <w:t>What other considerations should the Commission make regarding the load forecast used for the 2026 and 2029 simulation years?</w:t>
            </w:r>
          </w:p>
        </w:tc>
        <w:tc>
          <w:tcPr>
            <w:tcW w:w="6050" w:type="dxa"/>
          </w:tcPr>
          <w:p w14:paraId="57C19C55" w14:textId="20E4EEC1" w:rsidR="00E91BA4" w:rsidRPr="00757962" w:rsidRDefault="00757962" w:rsidP="00757962">
            <w:pPr>
              <w:pStyle w:val="ListParagraph"/>
              <w:numPr>
                <w:ilvl w:val="0"/>
                <w:numId w:val="2"/>
              </w:numPr>
              <w:rPr>
                <w:rFonts w:ascii="Arial" w:hAnsi="Arial" w:cs="Arial"/>
              </w:rPr>
            </w:pPr>
            <w:r>
              <w:rPr>
                <w:rFonts w:ascii="Arial" w:hAnsi="Arial" w:cs="Arial"/>
              </w:rPr>
              <w:t xml:space="preserve">A few commenters suggested </w:t>
            </w:r>
            <w:r w:rsidR="008A29A7">
              <w:rPr>
                <w:rFonts w:ascii="Arial" w:hAnsi="Arial" w:cs="Arial"/>
              </w:rPr>
              <w:t xml:space="preserve">conducting </w:t>
            </w:r>
            <w:r>
              <w:rPr>
                <w:rFonts w:ascii="Arial" w:hAnsi="Arial" w:cs="Arial"/>
              </w:rPr>
              <w:t>load growth sensitivities</w:t>
            </w:r>
            <w:r w:rsidR="00337C48">
              <w:rPr>
                <w:rFonts w:ascii="Arial" w:hAnsi="Arial" w:cs="Arial"/>
              </w:rPr>
              <w:t xml:space="preserve">; examples cited include </w:t>
            </w:r>
            <w:r>
              <w:rPr>
                <w:rFonts w:ascii="Arial" w:hAnsi="Arial" w:cs="Arial"/>
              </w:rPr>
              <w:t>alternative load growth trajectories, large load curtailment, the likelihood of transmission upgrades being completed by 2029, and transmission cost allocation impacts</w:t>
            </w:r>
          </w:p>
        </w:tc>
      </w:tr>
      <w:tr w:rsidR="00E6487B" w14:paraId="273C36A2" w14:textId="77777777" w:rsidTr="00E6487B">
        <w:tc>
          <w:tcPr>
            <w:tcW w:w="1640" w:type="dxa"/>
          </w:tcPr>
          <w:p w14:paraId="5554E386" w14:textId="77777777" w:rsidR="00E91BA4" w:rsidRDefault="00E91BA4">
            <w:pPr>
              <w:rPr>
                <w:rFonts w:ascii="Arial" w:hAnsi="Arial" w:cs="Arial"/>
              </w:rPr>
            </w:pPr>
            <w:r w:rsidRPr="00E6487B">
              <w:rPr>
                <w:rFonts w:ascii="Arial" w:hAnsi="Arial" w:cs="Arial"/>
              </w:rPr>
              <w:t>CDR Resource Portfolios</w:t>
            </w:r>
          </w:p>
          <w:p w14:paraId="619731C3" w14:textId="77777777" w:rsidR="00740313" w:rsidRPr="00740313" w:rsidRDefault="00740313" w:rsidP="00740313">
            <w:pPr>
              <w:rPr>
                <w:rFonts w:ascii="Arial" w:hAnsi="Arial" w:cs="Arial"/>
              </w:rPr>
            </w:pPr>
          </w:p>
          <w:p w14:paraId="09A13DFC" w14:textId="77777777" w:rsidR="00740313" w:rsidRPr="00740313" w:rsidRDefault="00740313" w:rsidP="00740313">
            <w:pPr>
              <w:rPr>
                <w:rFonts w:ascii="Arial" w:hAnsi="Arial" w:cs="Arial"/>
              </w:rPr>
            </w:pPr>
          </w:p>
          <w:p w14:paraId="17BD1A13" w14:textId="77777777" w:rsidR="00740313" w:rsidRPr="00740313" w:rsidRDefault="00740313" w:rsidP="00740313">
            <w:pPr>
              <w:rPr>
                <w:rFonts w:ascii="Arial" w:hAnsi="Arial" w:cs="Arial"/>
              </w:rPr>
            </w:pPr>
          </w:p>
          <w:p w14:paraId="66521C8E" w14:textId="77777777" w:rsidR="00740313" w:rsidRPr="00740313" w:rsidRDefault="00740313" w:rsidP="00740313">
            <w:pPr>
              <w:rPr>
                <w:rFonts w:ascii="Arial" w:hAnsi="Arial" w:cs="Arial"/>
              </w:rPr>
            </w:pPr>
          </w:p>
          <w:p w14:paraId="65024CED" w14:textId="77777777" w:rsidR="00740313" w:rsidRPr="00740313" w:rsidRDefault="00740313" w:rsidP="00740313">
            <w:pPr>
              <w:rPr>
                <w:rFonts w:ascii="Arial" w:hAnsi="Arial" w:cs="Arial"/>
              </w:rPr>
            </w:pPr>
          </w:p>
          <w:p w14:paraId="60742719" w14:textId="77777777" w:rsidR="00740313" w:rsidRPr="00740313" w:rsidRDefault="00740313" w:rsidP="00740313">
            <w:pPr>
              <w:rPr>
                <w:rFonts w:ascii="Arial" w:hAnsi="Arial" w:cs="Arial"/>
              </w:rPr>
            </w:pPr>
          </w:p>
          <w:p w14:paraId="7C3DC0F9" w14:textId="77777777" w:rsidR="00740313" w:rsidRPr="00740313" w:rsidRDefault="00740313" w:rsidP="00740313">
            <w:pPr>
              <w:rPr>
                <w:rFonts w:ascii="Arial" w:hAnsi="Arial" w:cs="Arial"/>
              </w:rPr>
            </w:pPr>
          </w:p>
          <w:p w14:paraId="548697CD" w14:textId="77777777" w:rsidR="00740313" w:rsidRDefault="00740313" w:rsidP="00740313">
            <w:pPr>
              <w:rPr>
                <w:rFonts w:ascii="Arial" w:hAnsi="Arial" w:cs="Arial"/>
              </w:rPr>
            </w:pPr>
          </w:p>
          <w:p w14:paraId="55840A73" w14:textId="77777777" w:rsidR="00740313" w:rsidRPr="00740313" w:rsidRDefault="00740313" w:rsidP="00740313">
            <w:pPr>
              <w:rPr>
                <w:rFonts w:ascii="Arial" w:hAnsi="Arial" w:cs="Arial"/>
              </w:rPr>
            </w:pPr>
          </w:p>
          <w:p w14:paraId="03A549E9" w14:textId="77777777" w:rsidR="00740313" w:rsidRPr="00740313" w:rsidRDefault="00740313" w:rsidP="00740313">
            <w:pPr>
              <w:rPr>
                <w:rFonts w:ascii="Arial" w:hAnsi="Arial" w:cs="Arial"/>
              </w:rPr>
            </w:pPr>
          </w:p>
          <w:p w14:paraId="64F66B08" w14:textId="77777777" w:rsidR="00740313" w:rsidRPr="00740313" w:rsidRDefault="00740313" w:rsidP="00740313">
            <w:pPr>
              <w:rPr>
                <w:rFonts w:ascii="Arial" w:hAnsi="Arial" w:cs="Arial"/>
              </w:rPr>
            </w:pPr>
          </w:p>
          <w:p w14:paraId="0D708575" w14:textId="77777777" w:rsidR="00740313" w:rsidRDefault="00740313" w:rsidP="00740313">
            <w:pPr>
              <w:rPr>
                <w:rFonts w:ascii="Arial" w:hAnsi="Arial" w:cs="Arial"/>
              </w:rPr>
            </w:pPr>
          </w:p>
          <w:p w14:paraId="4D81BEF5" w14:textId="77777777" w:rsidR="00740313" w:rsidRPr="00740313" w:rsidRDefault="00740313" w:rsidP="00740313">
            <w:pPr>
              <w:rPr>
                <w:rFonts w:ascii="Arial" w:hAnsi="Arial" w:cs="Arial"/>
              </w:rPr>
            </w:pPr>
          </w:p>
          <w:p w14:paraId="1271B1A8" w14:textId="4262F38C" w:rsidR="00740313" w:rsidRPr="00740313" w:rsidRDefault="00740313" w:rsidP="00740313">
            <w:pPr>
              <w:jc w:val="center"/>
              <w:rPr>
                <w:rFonts w:ascii="Arial" w:hAnsi="Arial" w:cs="Arial"/>
              </w:rPr>
            </w:pPr>
          </w:p>
        </w:tc>
        <w:tc>
          <w:tcPr>
            <w:tcW w:w="1407" w:type="dxa"/>
          </w:tcPr>
          <w:p w14:paraId="5A288D14" w14:textId="73E0CEFD" w:rsidR="00E91BA4" w:rsidRPr="00E6487B" w:rsidRDefault="00E91BA4">
            <w:pPr>
              <w:rPr>
                <w:rFonts w:ascii="Arial" w:hAnsi="Arial" w:cs="Arial"/>
              </w:rPr>
            </w:pPr>
            <w:r w:rsidRPr="00E6487B">
              <w:rPr>
                <w:rFonts w:ascii="Arial" w:hAnsi="Arial" w:cs="Arial"/>
              </w:rPr>
              <w:t>3.1</w:t>
            </w:r>
          </w:p>
        </w:tc>
        <w:tc>
          <w:tcPr>
            <w:tcW w:w="3853" w:type="dxa"/>
          </w:tcPr>
          <w:p w14:paraId="2D81B412" w14:textId="77777777" w:rsidR="00E91BA4" w:rsidRPr="00E6487B" w:rsidRDefault="00E91BA4">
            <w:pPr>
              <w:rPr>
                <w:rFonts w:ascii="Arial" w:hAnsi="Arial" w:cs="Arial"/>
              </w:rPr>
            </w:pPr>
            <w:r w:rsidRPr="00E6487B">
              <w:rPr>
                <w:rFonts w:ascii="Arial" w:hAnsi="Arial" w:cs="Arial"/>
              </w:rPr>
              <w:t>ERCOT proposed using the December 2025 Capacity, Demand, and Reserves (CDR) Report to create the base portfolio for evaluating the bulk power system in 2026 and 2029. This includes resource additions and retirements.</w:t>
            </w:r>
          </w:p>
          <w:p w14:paraId="73C56D6F" w14:textId="77777777" w:rsidR="00E91BA4" w:rsidRPr="00E6487B" w:rsidRDefault="00E91BA4">
            <w:pPr>
              <w:rPr>
                <w:rFonts w:ascii="Arial" w:hAnsi="Arial" w:cs="Arial"/>
              </w:rPr>
            </w:pPr>
          </w:p>
          <w:p w14:paraId="7E4E5754" w14:textId="69260CC9" w:rsidR="00E91BA4" w:rsidRPr="00E6487B" w:rsidRDefault="00E91BA4">
            <w:pPr>
              <w:rPr>
                <w:rFonts w:ascii="Arial" w:hAnsi="Arial" w:cs="Arial"/>
              </w:rPr>
            </w:pPr>
            <w:r w:rsidRPr="00E6487B">
              <w:rPr>
                <w:rFonts w:ascii="Arial" w:hAnsi="Arial" w:cs="Arial"/>
              </w:rPr>
              <w:t>Does the generation portfolio in the December 2025 CDR Report adequately capture the resource mix in both 2026 and 2029? If not, what additional assumptions should be made about resource additions and retirements?</w:t>
            </w:r>
          </w:p>
        </w:tc>
        <w:tc>
          <w:tcPr>
            <w:tcW w:w="6050" w:type="dxa"/>
          </w:tcPr>
          <w:p w14:paraId="596D284C" w14:textId="62B4483A" w:rsidR="00E91BA4" w:rsidRDefault="00080830" w:rsidP="00337C48">
            <w:pPr>
              <w:pStyle w:val="ListParagraph"/>
              <w:numPr>
                <w:ilvl w:val="0"/>
                <w:numId w:val="2"/>
              </w:numPr>
              <w:rPr>
                <w:rFonts w:ascii="Arial" w:hAnsi="Arial" w:cs="Arial"/>
              </w:rPr>
            </w:pPr>
            <w:r>
              <w:rPr>
                <w:rFonts w:ascii="Arial" w:hAnsi="Arial" w:cs="Arial"/>
              </w:rPr>
              <w:t>While commenters were fine with the December CDR’s 2026 portfolio, 10 commenters recommended that the 2029 generation portfolio be augmented</w:t>
            </w:r>
            <w:r w:rsidR="000556B4">
              <w:rPr>
                <w:rFonts w:ascii="Arial" w:hAnsi="Arial" w:cs="Arial"/>
              </w:rPr>
              <w:t xml:space="preserve"> with additional capacity</w:t>
            </w:r>
            <w:r>
              <w:rPr>
                <w:rFonts w:ascii="Arial" w:hAnsi="Arial" w:cs="Arial"/>
              </w:rPr>
              <w:t>. Many cited adding all the TEF project capacity or loosening eligibility criteria to include more queue capacity</w:t>
            </w:r>
          </w:p>
          <w:p w14:paraId="1E791C37" w14:textId="069EB96B" w:rsidR="00080830" w:rsidRPr="00337C48" w:rsidRDefault="00080830" w:rsidP="000556B4">
            <w:pPr>
              <w:pStyle w:val="ListParagraph"/>
              <w:numPr>
                <w:ilvl w:val="0"/>
                <w:numId w:val="2"/>
              </w:numPr>
              <w:rPr>
                <w:rFonts w:ascii="Arial" w:hAnsi="Arial" w:cs="Arial"/>
              </w:rPr>
            </w:pPr>
            <w:r>
              <w:rPr>
                <w:rFonts w:ascii="Arial" w:hAnsi="Arial" w:cs="Arial"/>
              </w:rPr>
              <w:t xml:space="preserve">One commenter recommended applying a 1-year commercial delay </w:t>
            </w:r>
            <w:r w:rsidR="000556B4">
              <w:rPr>
                <w:rFonts w:ascii="Arial" w:hAnsi="Arial" w:cs="Arial"/>
              </w:rPr>
              <w:t>to planned projects</w:t>
            </w:r>
            <w:r>
              <w:rPr>
                <w:rFonts w:ascii="Arial" w:hAnsi="Arial" w:cs="Arial"/>
              </w:rPr>
              <w:t xml:space="preserve"> line with the Aurora </w:t>
            </w:r>
            <w:r w:rsidR="000256A8">
              <w:rPr>
                <w:rFonts w:ascii="Arial" w:hAnsi="Arial" w:cs="Arial"/>
              </w:rPr>
              <w:t xml:space="preserve">2025 </w:t>
            </w:r>
            <w:r>
              <w:rPr>
                <w:rFonts w:ascii="Arial" w:hAnsi="Arial" w:cs="Arial"/>
              </w:rPr>
              <w:t>study</w:t>
            </w:r>
            <w:r w:rsidR="000556B4">
              <w:rPr>
                <w:rFonts w:ascii="Arial" w:hAnsi="Arial" w:cs="Arial"/>
              </w:rPr>
              <w:t xml:space="preserve"> (</w:t>
            </w:r>
            <w:r w:rsidR="000556B4" w:rsidRPr="000556B4">
              <w:rPr>
                <w:rFonts w:ascii="Arial" w:hAnsi="Arial" w:cs="Arial"/>
                <w:i/>
                <w:iCs/>
              </w:rPr>
              <w:t>Assessment of</w:t>
            </w:r>
            <w:r w:rsidR="000556B4" w:rsidRPr="000556B4">
              <w:rPr>
                <w:rFonts w:ascii="Arial" w:hAnsi="Arial" w:cs="Arial"/>
                <w:i/>
                <w:iCs/>
              </w:rPr>
              <w:t xml:space="preserve"> </w:t>
            </w:r>
            <w:r w:rsidR="000556B4" w:rsidRPr="000556B4">
              <w:rPr>
                <w:rFonts w:ascii="Arial" w:hAnsi="Arial" w:cs="Arial"/>
                <w:i/>
                <w:iCs/>
              </w:rPr>
              <w:t>Resource Adequacy Needs</w:t>
            </w:r>
            <w:r w:rsidR="000556B4" w:rsidRPr="000556B4">
              <w:rPr>
                <w:rFonts w:ascii="Arial" w:hAnsi="Arial" w:cs="Arial"/>
                <w:i/>
                <w:iCs/>
              </w:rPr>
              <w:t xml:space="preserve"> </w:t>
            </w:r>
            <w:r w:rsidR="000556B4" w:rsidRPr="000556B4">
              <w:rPr>
                <w:rFonts w:ascii="Arial" w:hAnsi="Arial" w:cs="Arial"/>
                <w:i/>
                <w:iCs/>
              </w:rPr>
              <w:t>in the ERCOT Market</w:t>
            </w:r>
            <w:r w:rsidR="000556B4">
              <w:rPr>
                <w:rFonts w:ascii="Arial" w:hAnsi="Arial" w:cs="Arial"/>
              </w:rPr>
              <w:t>)</w:t>
            </w:r>
          </w:p>
        </w:tc>
      </w:tr>
      <w:tr w:rsidR="00E6487B" w14:paraId="73E7EBC3" w14:textId="77777777" w:rsidTr="00E6487B">
        <w:tc>
          <w:tcPr>
            <w:tcW w:w="1640" w:type="dxa"/>
          </w:tcPr>
          <w:p w14:paraId="0F8CB77D" w14:textId="54964839" w:rsidR="00E91BA4" w:rsidRPr="00E6487B" w:rsidRDefault="00E91BA4">
            <w:pPr>
              <w:rPr>
                <w:rFonts w:ascii="Arial" w:hAnsi="Arial" w:cs="Arial"/>
              </w:rPr>
            </w:pPr>
            <w:r w:rsidRPr="00E6487B">
              <w:rPr>
                <w:rFonts w:ascii="Arial" w:hAnsi="Arial" w:cs="Arial"/>
              </w:rPr>
              <w:lastRenderedPageBreak/>
              <w:t>Magnitude Criterion</w:t>
            </w:r>
          </w:p>
        </w:tc>
        <w:tc>
          <w:tcPr>
            <w:tcW w:w="1407" w:type="dxa"/>
          </w:tcPr>
          <w:p w14:paraId="6909B39A" w14:textId="2EB92351" w:rsidR="00E91BA4" w:rsidRPr="00E6487B" w:rsidRDefault="00E91BA4">
            <w:pPr>
              <w:rPr>
                <w:rFonts w:ascii="Arial" w:hAnsi="Arial" w:cs="Arial"/>
              </w:rPr>
            </w:pPr>
            <w:r w:rsidRPr="00E6487B">
              <w:rPr>
                <w:rFonts w:ascii="Arial" w:hAnsi="Arial" w:cs="Arial"/>
              </w:rPr>
              <w:t>4.a</w:t>
            </w:r>
          </w:p>
        </w:tc>
        <w:tc>
          <w:tcPr>
            <w:tcW w:w="3853" w:type="dxa"/>
          </w:tcPr>
          <w:p w14:paraId="66D1C57D" w14:textId="77777777" w:rsidR="00E91BA4" w:rsidRPr="00E6487B" w:rsidRDefault="00E91BA4">
            <w:pPr>
              <w:rPr>
                <w:rFonts w:ascii="Arial" w:hAnsi="Arial" w:cs="Arial"/>
              </w:rPr>
            </w:pPr>
            <w:r w:rsidRPr="00E6487B">
              <w:rPr>
                <w:rFonts w:ascii="Arial" w:hAnsi="Arial" w:cs="Arial"/>
              </w:rPr>
              <w:t>Based on information provided by the transmission operators, ERCOT proposed using 13,988 MW as the magnitude criterion of the reliability standard for the 2026 simulation year. For the 2029 simulation year, ERCOT proposes scaling the 2026 magnitude value by the ratio of the 75th percentile load forecast for 2029 to the 75th percentile load forecast for 2026, resulting in a magnitude value of 14,509 MW for the 2029 simulation year.</w:t>
            </w:r>
          </w:p>
          <w:p w14:paraId="3E1685C7" w14:textId="77777777" w:rsidR="00E91BA4" w:rsidRPr="00E6487B" w:rsidRDefault="00E91BA4">
            <w:pPr>
              <w:rPr>
                <w:rFonts w:ascii="Arial" w:hAnsi="Arial" w:cs="Arial"/>
              </w:rPr>
            </w:pPr>
          </w:p>
          <w:p w14:paraId="343C0AAA" w14:textId="50D0AE25" w:rsidR="00E91BA4" w:rsidRPr="00E6487B" w:rsidRDefault="00E91BA4">
            <w:pPr>
              <w:rPr>
                <w:rFonts w:ascii="Arial" w:hAnsi="Arial" w:cs="Arial"/>
              </w:rPr>
            </w:pPr>
            <w:r w:rsidRPr="00E6487B">
              <w:rPr>
                <w:rFonts w:ascii="Arial" w:hAnsi="Arial" w:cs="Arial"/>
              </w:rPr>
              <w:t>Should the Commission use these values for the magnitude criterion in the 2026 and 2029 simulation years? If not, what modifications to these values should be made?</w:t>
            </w:r>
          </w:p>
        </w:tc>
        <w:tc>
          <w:tcPr>
            <w:tcW w:w="6050" w:type="dxa"/>
          </w:tcPr>
          <w:p w14:paraId="657CDAEA" w14:textId="412AF7A0" w:rsidR="000256A8" w:rsidRDefault="000256A8" w:rsidP="000256A8">
            <w:pPr>
              <w:pStyle w:val="ListParagraph"/>
              <w:numPr>
                <w:ilvl w:val="0"/>
                <w:numId w:val="3"/>
              </w:numPr>
              <w:rPr>
                <w:rFonts w:ascii="Arial" w:hAnsi="Arial" w:cs="Arial"/>
              </w:rPr>
            </w:pPr>
            <w:r>
              <w:rPr>
                <w:rFonts w:ascii="Arial" w:hAnsi="Arial" w:cs="Arial"/>
              </w:rPr>
              <w:t>Most commenters support the 2026 value, but express some concerns with estimating a 2029 value; examples include the following:</w:t>
            </w:r>
          </w:p>
          <w:p w14:paraId="4BAD69D5" w14:textId="77777777" w:rsidR="000256A8" w:rsidRDefault="000256A8" w:rsidP="000256A8">
            <w:pPr>
              <w:pStyle w:val="ListParagraph"/>
              <w:numPr>
                <w:ilvl w:val="1"/>
                <w:numId w:val="3"/>
              </w:numPr>
              <w:rPr>
                <w:rFonts w:ascii="Arial" w:hAnsi="Arial" w:cs="Arial"/>
              </w:rPr>
            </w:pPr>
            <w:r>
              <w:rPr>
                <w:rFonts w:ascii="Arial" w:hAnsi="Arial" w:cs="Arial"/>
              </w:rPr>
              <w:t>The new 2026 RTP compliance load forecast may be materially different than a scaled value based on the current “ERCOT Adjusted” load forecast</w:t>
            </w:r>
          </w:p>
          <w:p w14:paraId="1EB5A8D2" w14:textId="5CB8C117" w:rsidR="00E91BA4" w:rsidRDefault="00794E9D" w:rsidP="000256A8">
            <w:pPr>
              <w:pStyle w:val="ListParagraph"/>
              <w:numPr>
                <w:ilvl w:val="1"/>
                <w:numId w:val="3"/>
              </w:numPr>
              <w:rPr>
                <w:rFonts w:ascii="Arial" w:hAnsi="Arial" w:cs="Arial"/>
              </w:rPr>
            </w:pPr>
            <w:r>
              <w:rPr>
                <w:rFonts w:ascii="Arial" w:hAnsi="Arial" w:cs="Arial"/>
              </w:rPr>
              <w:t>SB6</w:t>
            </w:r>
            <w:r w:rsidR="000256A8">
              <w:rPr>
                <w:rFonts w:ascii="Arial" w:hAnsi="Arial" w:cs="Arial"/>
              </w:rPr>
              <w:t xml:space="preserve"> </w:t>
            </w:r>
            <w:r>
              <w:rPr>
                <w:rFonts w:ascii="Arial" w:hAnsi="Arial" w:cs="Arial"/>
              </w:rPr>
              <w:t xml:space="preserve">rule </w:t>
            </w:r>
            <w:r w:rsidR="000256A8">
              <w:rPr>
                <w:rFonts w:ascii="Arial" w:hAnsi="Arial" w:cs="Arial"/>
              </w:rPr>
              <w:t>finalization may require updating large load curtailment and demand response assumptions</w:t>
            </w:r>
          </w:p>
          <w:p w14:paraId="42DDAFA8" w14:textId="77777777" w:rsidR="000256A8" w:rsidRDefault="000256A8" w:rsidP="000256A8">
            <w:pPr>
              <w:pStyle w:val="ListParagraph"/>
              <w:numPr>
                <w:ilvl w:val="1"/>
                <w:numId w:val="3"/>
              </w:numPr>
              <w:rPr>
                <w:rFonts w:ascii="Arial" w:hAnsi="Arial" w:cs="Arial"/>
              </w:rPr>
            </w:pPr>
            <w:r>
              <w:rPr>
                <w:rFonts w:ascii="Arial" w:hAnsi="Arial" w:cs="Arial"/>
              </w:rPr>
              <w:t>The 75</w:t>
            </w:r>
            <w:r w:rsidRPr="000256A8">
              <w:rPr>
                <w:rFonts w:ascii="Arial" w:hAnsi="Arial" w:cs="Arial"/>
                <w:vertAlign w:val="superscript"/>
              </w:rPr>
              <w:t>th</w:t>
            </w:r>
            <w:r>
              <w:rPr>
                <w:rFonts w:ascii="Arial" w:hAnsi="Arial" w:cs="Arial"/>
              </w:rPr>
              <w:t xml:space="preserve"> percentile load forecast assumption is too low</w:t>
            </w:r>
          </w:p>
          <w:p w14:paraId="7E71EEED" w14:textId="1B23579B" w:rsidR="000256A8" w:rsidRPr="000256A8" w:rsidRDefault="000256A8" w:rsidP="000256A8">
            <w:pPr>
              <w:pStyle w:val="ListParagraph"/>
              <w:numPr>
                <w:ilvl w:val="1"/>
                <w:numId w:val="3"/>
              </w:numPr>
              <w:rPr>
                <w:rFonts w:ascii="Arial" w:hAnsi="Arial" w:cs="Arial"/>
              </w:rPr>
            </w:pPr>
            <w:r>
              <w:rPr>
                <w:rFonts w:ascii="Arial" w:hAnsi="Arial" w:cs="Arial"/>
              </w:rPr>
              <w:t>The estimated magnitude understates “potential rotatable load”</w:t>
            </w:r>
          </w:p>
        </w:tc>
      </w:tr>
      <w:tr w:rsidR="00E6487B" w14:paraId="4F4F70B3" w14:textId="77777777" w:rsidTr="00E6487B">
        <w:tc>
          <w:tcPr>
            <w:tcW w:w="1640" w:type="dxa"/>
          </w:tcPr>
          <w:p w14:paraId="44F41390" w14:textId="50B4583F" w:rsidR="00E91BA4" w:rsidRPr="00E6487B" w:rsidRDefault="00E91BA4">
            <w:pPr>
              <w:rPr>
                <w:rFonts w:ascii="Arial" w:hAnsi="Arial" w:cs="Arial"/>
              </w:rPr>
            </w:pPr>
            <w:r w:rsidRPr="00E6487B">
              <w:rPr>
                <w:rFonts w:ascii="Arial" w:hAnsi="Arial" w:cs="Arial"/>
              </w:rPr>
              <w:t>Fuel prices</w:t>
            </w:r>
          </w:p>
        </w:tc>
        <w:tc>
          <w:tcPr>
            <w:tcW w:w="1407" w:type="dxa"/>
          </w:tcPr>
          <w:p w14:paraId="2A3C2712" w14:textId="34B76E9F" w:rsidR="00E91BA4" w:rsidRPr="00E6487B" w:rsidRDefault="007B1FDF">
            <w:pPr>
              <w:rPr>
                <w:rFonts w:ascii="Arial" w:hAnsi="Arial" w:cs="Arial"/>
              </w:rPr>
            </w:pPr>
            <w:r w:rsidRPr="00E6487B">
              <w:rPr>
                <w:rFonts w:ascii="Arial" w:hAnsi="Arial" w:cs="Arial"/>
              </w:rPr>
              <w:t>5</w:t>
            </w:r>
            <w:r w:rsidR="00E91BA4" w:rsidRPr="00E6487B">
              <w:rPr>
                <w:rFonts w:ascii="Arial" w:hAnsi="Arial" w:cs="Arial"/>
              </w:rPr>
              <w:t>.a</w:t>
            </w:r>
          </w:p>
        </w:tc>
        <w:tc>
          <w:tcPr>
            <w:tcW w:w="3853" w:type="dxa"/>
          </w:tcPr>
          <w:p w14:paraId="5BCFD492" w14:textId="77777777" w:rsidR="007B1FDF" w:rsidRPr="00E6487B" w:rsidRDefault="007B1FDF">
            <w:pPr>
              <w:rPr>
                <w:rFonts w:ascii="Arial" w:hAnsi="Arial" w:cs="Arial"/>
              </w:rPr>
            </w:pPr>
            <w:r w:rsidRPr="00E6487B">
              <w:rPr>
                <w:rFonts w:ascii="Arial" w:hAnsi="Arial" w:cs="Arial"/>
              </w:rPr>
              <w:t>ERCOT proposed using the EIA' s 2025 Annual Energy Outlook and EIA Form 923 data to determine the natural gas and coal prices for the 2026 and 2029 simulation years. This results in prices of $2.84/MMBtu for natural gas and $2.47/MMBtu for coal in 2026 and $3.16/MMBtu for natural gas and $2.41/MMBtu for coal in 2029.</w:t>
            </w:r>
          </w:p>
          <w:p w14:paraId="510544CE" w14:textId="77777777" w:rsidR="007B1FDF" w:rsidRPr="00E6487B" w:rsidRDefault="007B1FDF">
            <w:pPr>
              <w:rPr>
                <w:rFonts w:ascii="Arial" w:hAnsi="Arial" w:cs="Arial"/>
              </w:rPr>
            </w:pPr>
          </w:p>
          <w:p w14:paraId="60B3AE03" w14:textId="4F1AC506" w:rsidR="00E91BA4" w:rsidRPr="00E6487B" w:rsidRDefault="00E91BA4">
            <w:pPr>
              <w:rPr>
                <w:rFonts w:ascii="Arial" w:hAnsi="Arial" w:cs="Arial"/>
              </w:rPr>
            </w:pPr>
            <w:r w:rsidRPr="00E6487B">
              <w:rPr>
                <w:rFonts w:ascii="Arial" w:hAnsi="Arial" w:cs="Arial"/>
              </w:rPr>
              <w:lastRenderedPageBreak/>
              <w:t>Are these assumptions for fuel prices for the 2026/2029 simulation years reasonable? If not, what alternative sources of information should be considered to determine these fuels prices?</w:t>
            </w:r>
          </w:p>
        </w:tc>
        <w:tc>
          <w:tcPr>
            <w:tcW w:w="6050" w:type="dxa"/>
          </w:tcPr>
          <w:p w14:paraId="26F6F132" w14:textId="314BACF4" w:rsidR="00E91BA4" w:rsidRDefault="00500B1E" w:rsidP="00C044C7">
            <w:pPr>
              <w:pStyle w:val="ListParagraph"/>
              <w:numPr>
                <w:ilvl w:val="0"/>
                <w:numId w:val="3"/>
              </w:numPr>
              <w:rPr>
                <w:rFonts w:ascii="Arial" w:hAnsi="Arial" w:cs="Arial"/>
              </w:rPr>
            </w:pPr>
            <w:r>
              <w:rPr>
                <w:rFonts w:ascii="Arial" w:hAnsi="Arial" w:cs="Arial"/>
              </w:rPr>
              <w:lastRenderedPageBreak/>
              <w:t>4 commenters thought that the 2024 AEO prices were reasonable</w:t>
            </w:r>
          </w:p>
          <w:p w14:paraId="1307A304" w14:textId="4C9D0651" w:rsidR="00C044C7" w:rsidRDefault="00500B1E" w:rsidP="00C044C7">
            <w:pPr>
              <w:pStyle w:val="ListParagraph"/>
              <w:numPr>
                <w:ilvl w:val="0"/>
                <w:numId w:val="3"/>
              </w:numPr>
              <w:rPr>
                <w:rFonts w:ascii="Arial" w:hAnsi="Arial" w:cs="Arial"/>
              </w:rPr>
            </w:pPr>
            <w:r>
              <w:rPr>
                <w:rFonts w:ascii="Arial" w:hAnsi="Arial" w:cs="Arial"/>
              </w:rPr>
              <w:t>3 commenters stated that the gas prices were too low, recommending that they be replaced with more recent forward market hub prices; other commenters</w:t>
            </w:r>
          </w:p>
          <w:p w14:paraId="349F5A22" w14:textId="10DDE785" w:rsidR="00500B1E" w:rsidRDefault="00500B1E" w:rsidP="00C044C7">
            <w:pPr>
              <w:pStyle w:val="ListParagraph"/>
              <w:numPr>
                <w:ilvl w:val="0"/>
                <w:numId w:val="3"/>
              </w:numPr>
              <w:rPr>
                <w:rFonts w:ascii="Arial" w:hAnsi="Arial" w:cs="Arial"/>
              </w:rPr>
            </w:pPr>
            <w:r>
              <w:rPr>
                <w:rFonts w:ascii="Arial" w:hAnsi="Arial" w:cs="Arial"/>
              </w:rPr>
              <w:t>1 commenter suggested using more recent price forecasts but declined to provide specifics</w:t>
            </w:r>
          </w:p>
          <w:p w14:paraId="68278613" w14:textId="12809D96" w:rsidR="00C044C7" w:rsidRPr="00583606" w:rsidRDefault="00500B1E" w:rsidP="00583606">
            <w:pPr>
              <w:pStyle w:val="ListParagraph"/>
              <w:numPr>
                <w:ilvl w:val="0"/>
                <w:numId w:val="3"/>
              </w:numPr>
              <w:rPr>
                <w:rFonts w:ascii="Arial" w:hAnsi="Arial" w:cs="Arial"/>
              </w:rPr>
            </w:pPr>
            <w:r>
              <w:rPr>
                <w:rFonts w:ascii="Arial" w:hAnsi="Arial" w:cs="Arial"/>
              </w:rPr>
              <w:t>5 commenters declined to address the fuel price questions</w:t>
            </w:r>
          </w:p>
        </w:tc>
      </w:tr>
      <w:tr w:rsidR="00E6487B" w14:paraId="1B589F9E" w14:textId="77777777" w:rsidTr="00E6487B">
        <w:tc>
          <w:tcPr>
            <w:tcW w:w="1640" w:type="dxa"/>
          </w:tcPr>
          <w:p w14:paraId="163F0315" w14:textId="74A4B740" w:rsidR="00E91BA4" w:rsidRPr="00E6487B" w:rsidRDefault="00E91BA4">
            <w:pPr>
              <w:rPr>
                <w:rFonts w:ascii="Arial" w:hAnsi="Arial" w:cs="Arial"/>
              </w:rPr>
            </w:pPr>
            <w:r w:rsidRPr="00E6487B">
              <w:rPr>
                <w:rFonts w:ascii="Arial" w:hAnsi="Arial" w:cs="Arial"/>
              </w:rPr>
              <w:t>Fuel</w:t>
            </w:r>
            <w:r w:rsidRPr="00E6487B">
              <w:rPr>
                <w:rFonts w:ascii="Arial" w:hAnsi="Arial" w:cs="Arial"/>
              </w:rPr>
              <w:t xml:space="preserve"> prices</w:t>
            </w:r>
          </w:p>
        </w:tc>
        <w:tc>
          <w:tcPr>
            <w:tcW w:w="1407" w:type="dxa"/>
          </w:tcPr>
          <w:p w14:paraId="1AA1ED6A" w14:textId="4BFB55A2" w:rsidR="00E91BA4" w:rsidRPr="00E6487B" w:rsidRDefault="007B1FDF">
            <w:pPr>
              <w:rPr>
                <w:rFonts w:ascii="Arial" w:hAnsi="Arial" w:cs="Arial"/>
              </w:rPr>
            </w:pPr>
            <w:r w:rsidRPr="00E6487B">
              <w:rPr>
                <w:rFonts w:ascii="Arial" w:hAnsi="Arial" w:cs="Arial"/>
              </w:rPr>
              <w:t>5</w:t>
            </w:r>
            <w:r w:rsidR="00E91BA4" w:rsidRPr="00E6487B">
              <w:rPr>
                <w:rFonts w:ascii="Arial" w:hAnsi="Arial" w:cs="Arial"/>
              </w:rPr>
              <w:t>.b</w:t>
            </w:r>
          </w:p>
        </w:tc>
        <w:tc>
          <w:tcPr>
            <w:tcW w:w="3853" w:type="dxa"/>
          </w:tcPr>
          <w:p w14:paraId="511DB7F9" w14:textId="2240DD17" w:rsidR="00E91BA4" w:rsidRPr="00E6487B" w:rsidRDefault="00E91BA4">
            <w:pPr>
              <w:rPr>
                <w:rFonts w:ascii="Arial" w:hAnsi="Arial" w:cs="Arial"/>
              </w:rPr>
            </w:pPr>
            <w:r w:rsidRPr="00E6487B">
              <w:rPr>
                <w:rFonts w:ascii="Arial" w:hAnsi="Arial" w:cs="Arial"/>
              </w:rPr>
              <w:t>Should any sensitivity analyses on these fuel prices be considered?</w:t>
            </w:r>
          </w:p>
        </w:tc>
        <w:tc>
          <w:tcPr>
            <w:tcW w:w="6050" w:type="dxa"/>
          </w:tcPr>
          <w:p w14:paraId="57E43249" w14:textId="77777777" w:rsidR="00583606" w:rsidRDefault="00583606" w:rsidP="00583606">
            <w:pPr>
              <w:pStyle w:val="ListParagraph"/>
              <w:numPr>
                <w:ilvl w:val="0"/>
                <w:numId w:val="3"/>
              </w:numPr>
              <w:rPr>
                <w:rFonts w:ascii="Arial" w:hAnsi="Arial" w:cs="Arial"/>
              </w:rPr>
            </w:pPr>
            <w:r>
              <w:rPr>
                <w:rFonts w:ascii="Arial" w:hAnsi="Arial" w:cs="Arial"/>
              </w:rPr>
              <w:t>11 commenters recommended that sensitivities be conducted, such as high/low values</w:t>
            </w:r>
          </w:p>
          <w:p w14:paraId="479BD362" w14:textId="4473EEFE" w:rsidR="00583606" w:rsidRDefault="00583606" w:rsidP="00583606">
            <w:pPr>
              <w:pStyle w:val="ListParagraph"/>
              <w:numPr>
                <w:ilvl w:val="0"/>
                <w:numId w:val="3"/>
              </w:numPr>
              <w:rPr>
                <w:rFonts w:ascii="Arial" w:hAnsi="Arial" w:cs="Arial"/>
              </w:rPr>
            </w:pPr>
            <w:r>
              <w:rPr>
                <w:rFonts w:ascii="Arial" w:hAnsi="Arial" w:cs="Arial"/>
              </w:rPr>
              <w:t>One commenter</w:t>
            </w:r>
            <w:r>
              <w:rPr>
                <w:rFonts w:ascii="Arial" w:hAnsi="Arial" w:cs="Arial"/>
              </w:rPr>
              <w:t xml:space="preserve"> recommended including “</w:t>
            </w:r>
            <w:r w:rsidRPr="00C044C7">
              <w:rPr>
                <w:rFonts w:ascii="Arial" w:hAnsi="Arial" w:cs="Arial"/>
              </w:rPr>
              <w:t>weather-year daily gas-price modeling</w:t>
            </w:r>
            <w:r>
              <w:rPr>
                <w:rFonts w:ascii="Arial" w:hAnsi="Arial" w:cs="Arial"/>
              </w:rPr>
              <w:t xml:space="preserve">” to </w:t>
            </w:r>
            <w:r w:rsidRPr="00C044C7">
              <w:rPr>
                <w:rFonts w:ascii="Arial" w:hAnsi="Arial" w:cs="Arial"/>
              </w:rPr>
              <w:t xml:space="preserve">capture </w:t>
            </w:r>
            <w:r>
              <w:rPr>
                <w:rFonts w:ascii="Arial" w:hAnsi="Arial" w:cs="Arial"/>
              </w:rPr>
              <w:t xml:space="preserve">price </w:t>
            </w:r>
            <w:r w:rsidRPr="00C044C7">
              <w:rPr>
                <w:rFonts w:ascii="Arial" w:hAnsi="Arial" w:cs="Arial"/>
              </w:rPr>
              <w:t>volatility during extreme weather events</w:t>
            </w:r>
            <w:r>
              <w:rPr>
                <w:rFonts w:ascii="Arial" w:hAnsi="Arial" w:cs="Arial"/>
              </w:rPr>
              <w:t>, and consider a “hybridized index approach” that reflects gas supply diversity across the ERCOT region</w:t>
            </w:r>
          </w:p>
          <w:p w14:paraId="7C27BBB2" w14:textId="77777777" w:rsidR="00E91BA4" w:rsidRPr="00E6487B" w:rsidRDefault="00E91BA4">
            <w:pPr>
              <w:rPr>
                <w:rFonts w:ascii="Arial" w:hAnsi="Arial" w:cs="Arial"/>
              </w:rPr>
            </w:pPr>
          </w:p>
        </w:tc>
      </w:tr>
      <w:tr w:rsidR="00E6487B" w14:paraId="23D84198" w14:textId="77777777" w:rsidTr="00E6487B">
        <w:tc>
          <w:tcPr>
            <w:tcW w:w="1640" w:type="dxa"/>
          </w:tcPr>
          <w:p w14:paraId="06D82988" w14:textId="57150EDF" w:rsidR="00E91BA4" w:rsidRPr="00E6487B" w:rsidRDefault="007B1FDF">
            <w:pPr>
              <w:rPr>
                <w:rFonts w:ascii="Arial" w:hAnsi="Arial" w:cs="Arial"/>
              </w:rPr>
            </w:pPr>
            <w:r w:rsidRPr="00E6487B">
              <w:rPr>
                <w:rFonts w:ascii="Arial" w:hAnsi="Arial" w:cs="Arial"/>
              </w:rPr>
              <w:t>Historical weather years</w:t>
            </w:r>
          </w:p>
        </w:tc>
        <w:tc>
          <w:tcPr>
            <w:tcW w:w="1407" w:type="dxa"/>
          </w:tcPr>
          <w:p w14:paraId="31F01EEE" w14:textId="668587DF" w:rsidR="00E91BA4" w:rsidRPr="00E6487B" w:rsidRDefault="007B1FDF">
            <w:pPr>
              <w:rPr>
                <w:rFonts w:ascii="Arial" w:hAnsi="Arial" w:cs="Arial"/>
              </w:rPr>
            </w:pPr>
            <w:r w:rsidRPr="00E6487B">
              <w:rPr>
                <w:rFonts w:ascii="Arial" w:hAnsi="Arial" w:cs="Arial"/>
              </w:rPr>
              <w:t>6.a</w:t>
            </w:r>
          </w:p>
        </w:tc>
        <w:tc>
          <w:tcPr>
            <w:tcW w:w="3853" w:type="dxa"/>
          </w:tcPr>
          <w:p w14:paraId="2F053EFB" w14:textId="77777777" w:rsidR="00E91BA4" w:rsidRPr="00E6487B" w:rsidRDefault="007B1FDF">
            <w:pPr>
              <w:rPr>
                <w:rFonts w:ascii="Arial" w:hAnsi="Arial" w:cs="Arial"/>
              </w:rPr>
            </w:pPr>
            <w:r w:rsidRPr="00E6487B">
              <w:rPr>
                <w:rFonts w:ascii="Arial" w:hAnsi="Arial" w:cs="Arial"/>
              </w:rPr>
              <w:t>For previous reliability assessments, ERCOT has treated all historical weather years as having equal probability. For this assessment, ERCOT proposed weighing recent years more heavily.</w:t>
            </w:r>
          </w:p>
          <w:p w14:paraId="039D9BA0" w14:textId="77777777" w:rsidR="007B1FDF" w:rsidRPr="00E6487B" w:rsidRDefault="007B1FDF">
            <w:pPr>
              <w:rPr>
                <w:rFonts w:ascii="Arial" w:hAnsi="Arial" w:cs="Arial"/>
              </w:rPr>
            </w:pPr>
          </w:p>
          <w:p w14:paraId="63DF6295" w14:textId="556B1D06" w:rsidR="007B1FDF" w:rsidRPr="00E6487B" w:rsidRDefault="007B1FDF">
            <w:pPr>
              <w:rPr>
                <w:rFonts w:ascii="Arial" w:hAnsi="Arial" w:cs="Arial"/>
              </w:rPr>
            </w:pPr>
            <w:r w:rsidRPr="00E6487B">
              <w:rPr>
                <w:rFonts w:ascii="Arial" w:hAnsi="Arial" w:cs="Arial"/>
              </w:rPr>
              <w:t xml:space="preserve">Should the Commission consider not treating all historical weather </w:t>
            </w:r>
            <w:proofErr w:type="gramStart"/>
            <w:r w:rsidRPr="00E6487B">
              <w:rPr>
                <w:rFonts w:ascii="Arial" w:hAnsi="Arial" w:cs="Arial"/>
              </w:rPr>
              <w:t>years</w:t>
            </w:r>
            <w:proofErr w:type="gramEnd"/>
            <w:r w:rsidRPr="00E6487B">
              <w:rPr>
                <w:rFonts w:ascii="Arial" w:hAnsi="Arial" w:cs="Arial"/>
              </w:rPr>
              <w:t xml:space="preserve"> as having equal probability? If yes, do you agree with ERCOT' s proposed </w:t>
            </w:r>
            <w:proofErr w:type="gramStart"/>
            <w:r w:rsidRPr="00E6487B">
              <w:rPr>
                <w:rFonts w:ascii="Arial" w:hAnsi="Arial" w:cs="Arial"/>
              </w:rPr>
              <w:t>weighting</w:t>
            </w:r>
            <w:proofErr w:type="gramEnd"/>
            <w:r w:rsidRPr="00E6487B">
              <w:rPr>
                <w:rFonts w:ascii="Arial" w:hAnsi="Arial" w:cs="Arial"/>
              </w:rPr>
              <w:t xml:space="preserve"> of weather years?</w:t>
            </w:r>
          </w:p>
        </w:tc>
        <w:tc>
          <w:tcPr>
            <w:tcW w:w="6050" w:type="dxa"/>
          </w:tcPr>
          <w:p w14:paraId="0BD5CAF8" w14:textId="0A1A8E41" w:rsidR="00160AE3" w:rsidRPr="00836A73" w:rsidRDefault="00160AE3" w:rsidP="00836A73">
            <w:pPr>
              <w:pStyle w:val="ListParagraph"/>
              <w:numPr>
                <w:ilvl w:val="0"/>
                <w:numId w:val="4"/>
              </w:numPr>
              <w:rPr>
                <w:rFonts w:ascii="Arial" w:hAnsi="Arial" w:cs="Arial"/>
              </w:rPr>
            </w:pPr>
            <w:r>
              <w:rPr>
                <w:rFonts w:ascii="Arial" w:hAnsi="Arial" w:cs="Arial"/>
              </w:rPr>
              <w:t>9 out of the 11 commenters that responded did not support the proposed reweighting method</w:t>
            </w:r>
          </w:p>
        </w:tc>
      </w:tr>
      <w:tr w:rsidR="00E91BA4" w14:paraId="121E678B" w14:textId="77777777" w:rsidTr="00E6487B">
        <w:tc>
          <w:tcPr>
            <w:tcW w:w="1640" w:type="dxa"/>
          </w:tcPr>
          <w:p w14:paraId="3218D0A7" w14:textId="794008D0" w:rsidR="00E91BA4" w:rsidRPr="00E6487B" w:rsidRDefault="007B1FDF">
            <w:pPr>
              <w:rPr>
                <w:rFonts w:ascii="Arial" w:hAnsi="Arial" w:cs="Arial"/>
              </w:rPr>
            </w:pPr>
            <w:r w:rsidRPr="00E6487B">
              <w:rPr>
                <w:rFonts w:ascii="Arial" w:hAnsi="Arial" w:cs="Arial"/>
              </w:rPr>
              <w:t>Historical weather years</w:t>
            </w:r>
          </w:p>
        </w:tc>
        <w:tc>
          <w:tcPr>
            <w:tcW w:w="1407" w:type="dxa"/>
          </w:tcPr>
          <w:p w14:paraId="7D0973F3" w14:textId="5B8D3DD2" w:rsidR="00E91BA4" w:rsidRPr="00E6487B" w:rsidRDefault="007B1FDF">
            <w:pPr>
              <w:rPr>
                <w:rFonts w:ascii="Arial" w:hAnsi="Arial" w:cs="Arial"/>
              </w:rPr>
            </w:pPr>
            <w:r w:rsidRPr="00E6487B">
              <w:rPr>
                <w:rFonts w:ascii="Arial" w:hAnsi="Arial" w:cs="Arial"/>
              </w:rPr>
              <w:t>6.b</w:t>
            </w:r>
          </w:p>
        </w:tc>
        <w:tc>
          <w:tcPr>
            <w:tcW w:w="3853" w:type="dxa"/>
          </w:tcPr>
          <w:p w14:paraId="6EB236F2" w14:textId="0D2D5BE1" w:rsidR="00E91BA4" w:rsidRPr="00E6487B" w:rsidRDefault="007B1FDF">
            <w:pPr>
              <w:rPr>
                <w:rFonts w:ascii="Arial" w:hAnsi="Arial" w:cs="Arial"/>
              </w:rPr>
            </w:pPr>
            <w:r w:rsidRPr="00E6487B">
              <w:rPr>
                <w:rFonts w:ascii="Arial" w:hAnsi="Arial" w:cs="Arial"/>
              </w:rPr>
              <w:t xml:space="preserve">If you have an alternative weighting methodology, please provide additional details on your proposal. Please include justification for why your approach </w:t>
            </w:r>
            <w:r w:rsidRPr="00E6487B">
              <w:rPr>
                <w:rFonts w:ascii="Arial" w:hAnsi="Arial" w:cs="Arial"/>
              </w:rPr>
              <w:lastRenderedPageBreak/>
              <w:t>is better than what ERCOT has proposed.</w:t>
            </w:r>
          </w:p>
        </w:tc>
        <w:tc>
          <w:tcPr>
            <w:tcW w:w="6050" w:type="dxa"/>
          </w:tcPr>
          <w:p w14:paraId="45F2E3EA" w14:textId="66722A54" w:rsidR="00E91BA4" w:rsidRPr="00836A73" w:rsidRDefault="00836A73" w:rsidP="00836A73">
            <w:pPr>
              <w:pStyle w:val="ListParagraph"/>
              <w:numPr>
                <w:ilvl w:val="0"/>
                <w:numId w:val="6"/>
              </w:numPr>
              <w:rPr>
                <w:rFonts w:ascii="Arial" w:hAnsi="Arial" w:cs="Arial"/>
              </w:rPr>
            </w:pPr>
            <w:r w:rsidRPr="00836A73">
              <w:rPr>
                <w:rFonts w:ascii="Arial" w:hAnsi="Arial" w:cs="Arial"/>
              </w:rPr>
              <w:lastRenderedPageBreak/>
              <w:t xml:space="preserve">The non-supporters recommended either (1) conducting a rigorous probabilistic analysis based on meteorological expertise, or (2) </w:t>
            </w:r>
            <w:r w:rsidRPr="00836A73">
              <w:rPr>
                <w:rFonts w:ascii="Arial" w:hAnsi="Arial" w:cs="Arial"/>
              </w:rPr>
              <w:t>focusing</w:t>
            </w:r>
            <w:r w:rsidRPr="00836A73">
              <w:rPr>
                <w:rFonts w:ascii="Arial" w:hAnsi="Arial" w:cs="Arial"/>
              </w:rPr>
              <w:t xml:space="preserve"> on reweighting just the extreme weather outliers</w:t>
            </w:r>
          </w:p>
        </w:tc>
      </w:tr>
      <w:tr w:rsidR="00E91BA4" w14:paraId="0C31C3CB" w14:textId="77777777" w:rsidTr="00E6487B">
        <w:tc>
          <w:tcPr>
            <w:tcW w:w="1640" w:type="dxa"/>
          </w:tcPr>
          <w:p w14:paraId="337709AD" w14:textId="257D4932" w:rsidR="00E91BA4" w:rsidRPr="00E6487B" w:rsidRDefault="007B1FDF">
            <w:pPr>
              <w:rPr>
                <w:rFonts w:ascii="Arial" w:hAnsi="Arial" w:cs="Arial"/>
              </w:rPr>
            </w:pPr>
            <w:r w:rsidRPr="00E6487B">
              <w:rPr>
                <w:rFonts w:ascii="Arial" w:hAnsi="Arial" w:cs="Arial"/>
              </w:rPr>
              <w:t>Zonal SERVM Modeling</w:t>
            </w:r>
          </w:p>
        </w:tc>
        <w:tc>
          <w:tcPr>
            <w:tcW w:w="1407" w:type="dxa"/>
          </w:tcPr>
          <w:p w14:paraId="78BB04F1" w14:textId="21552E75" w:rsidR="00E91BA4" w:rsidRPr="00E6487B" w:rsidRDefault="007B1FDF">
            <w:pPr>
              <w:rPr>
                <w:rFonts w:ascii="Arial" w:hAnsi="Arial" w:cs="Arial"/>
              </w:rPr>
            </w:pPr>
            <w:r w:rsidRPr="00E6487B">
              <w:rPr>
                <w:rFonts w:ascii="Arial" w:hAnsi="Arial" w:cs="Arial"/>
              </w:rPr>
              <w:t>7.a</w:t>
            </w:r>
          </w:p>
        </w:tc>
        <w:tc>
          <w:tcPr>
            <w:tcW w:w="3853" w:type="dxa"/>
          </w:tcPr>
          <w:p w14:paraId="58ED01C1" w14:textId="77777777" w:rsidR="00E91BA4" w:rsidRPr="00E6487B" w:rsidRDefault="007B1FDF">
            <w:pPr>
              <w:rPr>
                <w:rFonts w:ascii="Arial" w:hAnsi="Arial" w:cs="Arial"/>
              </w:rPr>
            </w:pPr>
            <w:r w:rsidRPr="00E6487B">
              <w:rPr>
                <w:rFonts w:ascii="Arial" w:hAnsi="Arial" w:cs="Arial"/>
              </w:rPr>
              <w:t>ERCOT proposed using the multi-area reliability and economic dispatch modeling capability in SERVM to assess resource adequacy on a zonal basis that would account for transmission constraints between defined transmission zones. ERCOT states that any results from this analysis would be informational and not used to determine compliance with the reliability standard.</w:t>
            </w:r>
          </w:p>
          <w:p w14:paraId="1CA0FACE" w14:textId="77777777" w:rsidR="007B1FDF" w:rsidRPr="00E6487B" w:rsidRDefault="007B1FDF">
            <w:pPr>
              <w:rPr>
                <w:rFonts w:ascii="Arial" w:hAnsi="Arial" w:cs="Arial"/>
              </w:rPr>
            </w:pPr>
          </w:p>
          <w:p w14:paraId="39B97C40" w14:textId="16BFFF07" w:rsidR="007B1FDF" w:rsidRPr="00E6487B" w:rsidRDefault="007B1FDF" w:rsidP="007B1FDF">
            <w:pPr>
              <w:rPr>
                <w:rFonts w:ascii="Arial" w:hAnsi="Arial" w:cs="Arial"/>
              </w:rPr>
            </w:pPr>
            <w:r w:rsidRPr="00E6487B">
              <w:rPr>
                <w:rFonts w:ascii="Arial" w:hAnsi="Arial" w:cs="Arial"/>
              </w:rPr>
              <w:t>Should the Commission approve an assessment of reliability metrics at the zonal level, understanding that these results would be purely informational and not used to determine compliance with the reliability standard?</w:t>
            </w:r>
          </w:p>
        </w:tc>
        <w:tc>
          <w:tcPr>
            <w:tcW w:w="6050" w:type="dxa"/>
          </w:tcPr>
          <w:p w14:paraId="557D94EF" w14:textId="1670B742" w:rsidR="00DA1556" w:rsidRDefault="00DA1556" w:rsidP="00836A73">
            <w:pPr>
              <w:pStyle w:val="ListParagraph"/>
              <w:numPr>
                <w:ilvl w:val="0"/>
                <w:numId w:val="5"/>
              </w:numPr>
              <w:rPr>
                <w:rFonts w:ascii="Arial" w:hAnsi="Arial" w:cs="Arial"/>
              </w:rPr>
            </w:pPr>
            <w:r>
              <w:rPr>
                <w:rFonts w:ascii="Arial" w:hAnsi="Arial" w:cs="Arial"/>
              </w:rPr>
              <w:t>Support for conducting a zonal study was evenly divided among the 12 commenters that responded.</w:t>
            </w:r>
          </w:p>
          <w:p w14:paraId="2C8E2FD9" w14:textId="27D37ADA" w:rsidR="00DA1556" w:rsidRDefault="00AB0882" w:rsidP="00836A73">
            <w:pPr>
              <w:pStyle w:val="ListParagraph"/>
              <w:numPr>
                <w:ilvl w:val="0"/>
                <w:numId w:val="5"/>
              </w:numPr>
              <w:rPr>
                <w:rFonts w:ascii="Arial" w:hAnsi="Arial" w:cs="Arial"/>
              </w:rPr>
            </w:pPr>
            <w:r>
              <w:rPr>
                <w:rFonts w:ascii="Arial" w:hAnsi="Arial" w:cs="Arial"/>
              </w:rPr>
              <w:t>Several</w:t>
            </w:r>
            <w:r w:rsidR="00DA1556">
              <w:rPr>
                <w:rFonts w:ascii="Arial" w:hAnsi="Arial" w:cs="Arial"/>
              </w:rPr>
              <w:t xml:space="preserve"> commenters supporting a zonal study</w:t>
            </w:r>
            <w:r>
              <w:rPr>
                <w:rFonts w:ascii="Arial" w:hAnsi="Arial" w:cs="Arial"/>
              </w:rPr>
              <w:t xml:space="preserve"> </w:t>
            </w:r>
            <w:r w:rsidR="00DA1556">
              <w:rPr>
                <w:rFonts w:ascii="Arial" w:hAnsi="Arial" w:cs="Arial"/>
              </w:rPr>
              <w:t>emphasiz</w:t>
            </w:r>
            <w:r>
              <w:rPr>
                <w:rFonts w:ascii="Arial" w:hAnsi="Arial" w:cs="Arial"/>
              </w:rPr>
              <w:t>ed</w:t>
            </w:r>
            <w:r w:rsidR="00DA1556">
              <w:rPr>
                <w:rFonts w:ascii="Arial" w:hAnsi="Arial" w:cs="Arial"/>
              </w:rPr>
              <w:t xml:space="preserve"> the need </w:t>
            </w:r>
            <w:r>
              <w:rPr>
                <w:rFonts w:ascii="Arial" w:hAnsi="Arial" w:cs="Arial"/>
              </w:rPr>
              <w:t>for the Commission to not consider it for compliance purposes.</w:t>
            </w:r>
          </w:p>
          <w:p w14:paraId="37202CA8" w14:textId="09BA56BC" w:rsidR="00AB0882" w:rsidRDefault="00AB0882" w:rsidP="00836A73">
            <w:pPr>
              <w:pStyle w:val="ListParagraph"/>
              <w:numPr>
                <w:ilvl w:val="0"/>
                <w:numId w:val="5"/>
              </w:numPr>
              <w:rPr>
                <w:rFonts w:ascii="Arial" w:hAnsi="Arial" w:cs="Arial"/>
              </w:rPr>
            </w:pPr>
            <w:r>
              <w:rPr>
                <w:rFonts w:ascii="Arial" w:hAnsi="Arial" w:cs="Arial"/>
              </w:rPr>
              <w:t>Commenters voicing opposition stated that more rigorous analysis and modeling improvements are needed before considering study results for compliance purposes</w:t>
            </w:r>
          </w:p>
          <w:p w14:paraId="6AE2EFD6" w14:textId="13C8E1C5" w:rsidR="00AB0882" w:rsidRDefault="00AB0882" w:rsidP="00836A73">
            <w:pPr>
              <w:pStyle w:val="ListParagraph"/>
              <w:numPr>
                <w:ilvl w:val="0"/>
                <w:numId w:val="5"/>
              </w:numPr>
              <w:rPr>
                <w:rFonts w:ascii="Arial" w:hAnsi="Arial" w:cs="Arial"/>
              </w:rPr>
            </w:pPr>
            <w:r>
              <w:rPr>
                <w:rFonts w:ascii="Arial" w:hAnsi="Arial" w:cs="Arial"/>
              </w:rPr>
              <w:t xml:space="preserve">One commenter cautioned that zonal study results could be </w:t>
            </w:r>
            <w:r w:rsidRPr="00836A73">
              <w:rPr>
                <w:rFonts w:ascii="Arial" w:hAnsi="Arial" w:cs="Arial"/>
              </w:rPr>
              <w:t xml:space="preserve">used on their own as </w:t>
            </w:r>
            <w:r>
              <w:rPr>
                <w:rFonts w:ascii="Arial" w:hAnsi="Arial" w:cs="Arial"/>
              </w:rPr>
              <w:t>“</w:t>
            </w:r>
            <w:r w:rsidRPr="00836A73">
              <w:rPr>
                <w:rFonts w:ascii="Arial" w:hAnsi="Arial" w:cs="Arial"/>
              </w:rPr>
              <w:t>justification for future transmission cost allocation or expansion mandates without separate evidence and Commission review.</w:t>
            </w:r>
            <w:r>
              <w:rPr>
                <w:rFonts w:ascii="Arial" w:hAnsi="Arial" w:cs="Arial"/>
              </w:rPr>
              <w:t>”</w:t>
            </w:r>
          </w:p>
          <w:p w14:paraId="1BE06FE7" w14:textId="3950290C" w:rsidR="00E91BA4" w:rsidRPr="00836A73" w:rsidRDefault="00AB0882" w:rsidP="00AB0882">
            <w:pPr>
              <w:pStyle w:val="ListParagraph"/>
              <w:numPr>
                <w:ilvl w:val="0"/>
                <w:numId w:val="5"/>
              </w:numPr>
              <w:rPr>
                <w:rFonts w:ascii="Arial" w:hAnsi="Arial" w:cs="Arial"/>
              </w:rPr>
            </w:pPr>
            <w:r>
              <w:rPr>
                <w:rFonts w:ascii="Arial" w:hAnsi="Arial" w:cs="Arial"/>
              </w:rPr>
              <w:t>A few commenters stated that a zonal study would address issues that are more appropriately addressed in the RTP process.</w:t>
            </w:r>
          </w:p>
        </w:tc>
      </w:tr>
      <w:tr w:rsidR="007B1FDF" w14:paraId="0EEA339A" w14:textId="77777777" w:rsidTr="00E6487B">
        <w:tc>
          <w:tcPr>
            <w:tcW w:w="1640" w:type="dxa"/>
          </w:tcPr>
          <w:p w14:paraId="7C6A289D" w14:textId="41FE54FE" w:rsidR="007B1FDF" w:rsidRPr="00E6487B" w:rsidRDefault="007B1FDF">
            <w:pPr>
              <w:rPr>
                <w:rFonts w:ascii="Arial" w:hAnsi="Arial" w:cs="Arial"/>
              </w:rPr>
            </w:pPr>
            <w:r w:rsidRPr="00E6487B">
              <w:rPr>
                <w:rFonts w:ascii="Arial" w:hAnsi="Arial" w:cs="Arial"/>
              </w:rPr>
              <w:t>Zonal SERVM Modeling</w:t>
            </w:r>
          </w:p>
        </w:tc>
        <w:tc>
          <w:tcPr>
            <w:tcW w:w="1407" w:type="dxa"/>
          </w:tcPr>
          <w:p w14:paraId="0FA50CFE" w14:textId="633AC649" w:rsidR="007B1FDF" w:rsidRPr="00E6487B" w:rsidRDefault="007B1FDF">
            <w:pPr>
              <w:rPr>
                <w:rFonts w:ascii="Arial" w:hAnsi="Arial" w:cs="Arial"/>
              </w:rPr>
            </w:pPr>
            <w:r w:rsidRPr="00E6487B">
              <w:rPr>
                <w:rFonts w:ascii="Arial" w:hAnsi="Arial" w:cs="Arial"/>
              </w:rPr>
              <w:t>7.b</w:t>
            </w:r>
          </w:p>
        </w:tc>
        <w:tc>
          <w:tcPr>
            <w:tcW w:w="3853" w:type="dxa"/>
          </w:tcPr>
          <w:p w14:paraId="49F02CC9" w14:textId="681EA77C" w:rsidR="007B1FDF" w:rsidRPr="00E6487B" w:rsidRDefault="007B1FDF">
            <w:pPr>
              <w:rPr>
                <w:rFonts w:ascii="Arial" w:hAnsi="Arial" w:cs="Arial"/>
              </w:rPr>
            </w:pPr>
            <w:r w:rsidRPr="00E6487B">
              <w:rPr>
                <w:rFonts w:ascii="Arial" w:hAnsi="Arial" w:cs="Arial"/>
              </w:rPr>
              <w:t>If so, do you have any proposed modifications to the approach ERCOT has recommended?</w:t>
            </w:r>
          </w:p>
        </w:tc>
        <w:tc>
          <w:tcPr>
            <w:tcW w:w="6050" w:type="dxa"/>
          </w:tcPr>
          <w:p w14:paraId="34FD2D14" w14:textId="77777777" w:rsidR="007B1FDF" w:rsidRDefault="00AB0882" w:rsidP="00AB0882">
            <w:pPr>
              <w:pStyle w:val="ListParagraph"/>
              <w:numPr>
                <w:ilvl w:val="0"/>
                <w:numId w:val="7"/>
              </w:numPr>
              <w:rPr>
                <w:rFonts w:ascii="Arial" w:hAnsi="Arial" w:cs="Arial"/>
              </w:rPr>
            </w:pPr>
            <w:r>
              <w:rPr>
                <w:rFonts w:ascii="Arial" w:hAnsi="Arial" w:cs="Arial"/>
              </w:rPr>
              <w:t>Commenters provided no specific proposed modifications</w:t>
            </w:r>
          </w:p>
          <w:p w14:paraId="1DF303EC" w14:textId="3E84F0BF" w:rsidR="00AB0882" w:rsidRPr="00AB0882" w:rsidRDefault="00AB0882" w:rsidP="00AB0882">
            <w:pPr>
              <w:pStyle w:val="ListParagraph"/>
              <w:numPr>
                <w:ilvl w:val="0"/>
                <w:numId w:val="7"/>
              </w:numPr>
              <w:rPr>
                <w:rFonts w:ascii="Arial" w:hAnsi="Arial" w:cs="Arial"/>
              </w:rPr>
            </w:pPr>
            <w:r>
              <w:rPr>
                <w:rFonts w:ascii="Arial" w:hAnsi="Arial" w:cs="Arial"/>
              </w:rPr>
              <w:t xml:space="preserve">One commenter suggested </w:t>
            </w:r>
            <w:r w:rsidR="005D4A9F">
              <w:rPr>
                <w:rFonts w:ascii="Arial" w:hAnsi="Arial" w:cs="Arial"/>
              </w:rPr>
              <w:t xml:space="preserve">that </w:t>
            </w:r>
            <w:r>
              <w:rPr>
                <w:rFonts w:ascii="Arial" w:hAnsi="Arial" w:cs="Arial"/>
              </w:rPr>
              <w:t xml:space="preserve">a zonal study could help inform </w:t>
            </w:r>
            <w:r w:rsidR="005D4A9F">
              <w:rPr>
                <w:rFonts w:ascii="Arial" w:hAnsi="Arial" w:cs="Arial"/>
              </w:rPr>
              <w:t xml:space="preserve">the </w:t>
            </w:r>
            <w:r>
              <w:rPr>
                <w:rFonts w:ascii="Arial" w:hAnsi="Arial" w:cs="Arial"/>
              </w:rPr>
              <w:t xml:space="preserve">updating </w:t>
            </w:r>
            <w:r w:rsidR="00E9229A">
              <w:rPr>
                <w:rFonts w:ascii="Arial" w:hAnsi="Arial" w:cs="Arial"/>
              </w:rPr>
              <w:t>of</w:t>
            </w:r>
            <w:r>
              <w:rPr>
                <w:rFonts w:ascii="Arial" w:hAnsi="Arial" w:cs="Arial"/>
              </w:rPr>
              <w:t xml:space="preserve"> existing</w:t>
            </w:r>
            <w:r w:rsidR="003B3C8A">
              <w:rPr>
                <w:rFonts w:ascii="Arial" w:hAnsi="Arial" w:cs="Arial"/>
              </w:rPr>
              <w:t xml:space="preserve"> load zones</w:t>
            </w:r>
          </w:p>
        </w:tc>
      </w:tr>
      <w:tr w:rsidR="007B1FDF" w14:paraId="31A76F4E" w14:textId="77777777" w:rsidTr="00E6487B">
        <w:tc>
          <w:tcPr>
            <w:tcW w:w="1640" w:type="dxa"/>
          </w:tcPr>
          <w:p w14:paraId="291690C7" w14:textId="056043B0" w:rsidR="007B1FDF" w:rsidRPr="00E6487B" w:rsidRDefault="007B1FDF">
            <w:pPr>
              <w:rPr>
                <w:rFonts w:ascii="Arial" w:hAnsi="Arial" w:cs="Arial"/>
              </w:rPr>
            </w:pPr>
            <w:r w:rsidRPr="00E6487B">
              <w:rPr>
                <w:rFonts w:ascii="Arial" w:hAnsi="Arial" w:cs="Arial"/>
              </w:rPr>
              <w:t>Weather-ization Effectiveness</w:t>
            </w:r>
          </w:p>
        </w:tc>
        <w:tc>
          <w:tcPr>
            <w:tcW w:w="1407" w:type="dxa"/>
          </w:tcPr>
          <w:p w14:paraId="61BCECFF" w14:textId="7BCC3490" w:rsidR="007B1FDF" w:rsidRPr="00E6487B" w:rsidRDefault="007B1FDF">
            <w:pPr>
              <w:rPr>
                <w:rFonts w:ascii="Arial" w:hAnsi="Arial" w:cs="Arial"/>
              </w:rPr>
            </w:pPr>
            <w:r w:rsidRPr="00E6487B">
              <w:rPr>
                <w:rFonts w:ascii="Arial" w:hAnsi="Arial" w:cs="Arial"/>
              </w:rPr>
              <w:t>8.a</w:t>
            </w:r>
          </w:p>
        </w:tc>
        <w:tc>
          <w:tcPr>
            <w:tcW w:w="3853" w:type="dxa"/>
          </w:tcPr>
          <w:p w14:paraId="09A16806" w14:textId="77777777" w:rsidR="007B1FDF" w:rsidRPr="00E6487B" w:rsidRDefault="007B1FDF">
            <w:pPr>
              <w:rPr>
                <w:rFonts w:ascii="Arial" w:hAnsi="Arial" w:cs="Arial"/>
              </w:rPr>
            </w:pPr>
            <w:r w:rsidRPr="00E6487B">
              <w:rPr>
                <w:rFonts w:ascii="Arial" w:hAnsi="Arial" w:cs="Arial"/>
              </w:rPr>
              <w:t xml:space="preserve">ERCOT proposed modifying how the model accounts for the effectiveness of the Commission's weatherization rule 16 TAC § 25.55. Previously, it was </w:t>
            </w:r>
            <w:r w:rsidRPr="00E6487B">
              <w:rPr>
                <w:rFonts w:ascii="Arial" w:hAnsi="Arial" w:cs="Arial"/>
              </w:rPr>
              <w:lastRenderedPageBreak/>
              <w:t>estimated to reduce weather-related outages by 85%, however under ERCOT' s proposed approach, the rule' s effectiveness would decline during extreme temperatures.</w:t>
            </w:r>
          </w:p>
          <w:p w14:paraId="43555277" w14:textId="77777777" w:rsidR="007B1FDF" w:rsidRPr="00E6487B" w:rsidRDefault="007B1FDF">
            <w:pPr>
              <w:rPr>
                <w:rFonts w:ascii="Arial" w:hAnsi="Arial" w:cs="Arial"/>
              </w:rPr>
            </w:pPr>
          </w:p>
          <w:p w14:paraId="27DCD026" w14:textId="3B497506" w:rsidR="007B1FDF" w:rsidRPr="00E6487B" w:rsidRDefault="007B1FDF">
            <w:pPr>
              <w:rPr>
                <w:rFonts w:ascii="Arial" w:hAnsi="Arial" w:cs="Arial"/>
              </w:rPr>
            </w:pPr>
            <w:r w:rsidRPr="00E6487B">
              <w:rPr>
                <w:rFonts w:ascii="Arial" w:hAnsi="Arial" w:cs="Arial"/>
              </w:rPr>
              <w:t>Do you agree with ERCOT's recommendation to deviate from the 85% effectiveness for the weatherization rule?</w:t>
            </w:r>
          </w:p>
        </w:tc>
        <w:tc>
          <w:tcPr>
            <w:tcW w:w="6050" w:type="dxa"/>
          </w:tcPr>
          <w:p w14:paraId="04873A34" w14:textId="77777777" w:rsidR="007B1FDF" w:rsidRDefault="000A3525" w:rsidP="000A3525">
            <w:pPr>
              <w:pStyle w:val="ListParagraph"/>
              <w:numPr>
                <w:ilvl w:val="0"/>
                <w:numId w:val="8"/>
              </w:numPr>
              <w:rPr>
                <w:rFonts w:ascii="Arial" w:hAnsi="Arial" w:cs="Arial"/>
              </w:rPr>
            </w:pPr>
            <w:r>
              <w:rPr>
                <w:rFonts w:ascii="Arial" w:hAnsi="Arial" w:cs="Arial"/>
              </w:rPr>
              <w:lastRenderedPageBreak/>
              <w:t>Out of the 12 commenters that provided responses, 7 did not support the modified approach</w:t>
            </w:r>
          </w:p>
          <w:p w14:paraId="193403D6" w14:textId="77777777" w:rsidR="000A3525" w:rsidRDefault="000A3525" w:rsidP="000A3525">
            <w:pPr>
              <w:pStyle w:val="ListParagraph"/>
              <w:numPr>
                <w:ilvl w:val="0"/>
                <w:numId w:val="8"/>
              </w:numPr>
              <w:rPr>
                <w:rFonts w:ascii="Arial" w:hAnsi="Arial" w:cs="Arial"/>
              </w:rPr>
            </w:pPr>
            <w:r>
              <w:rPr>
                <w:rFonts w:ascii="Arial" w:hAnsi="Arial" w:cs="Arial"/>
              </w:rPr>
              <w:t xml:space="preserve">Several commenters stated that the operational experience during Winter Storm FERC does not </w:t>
            </w:r>
            <w:r>
              <w:rPr>
                <w:rFonts w:ascii="Arial" w:hAnsi="Arial" w:cs="Arial"/>
              </w:rPr>
              <w:lastRenderedPageBreak/>
              <w:t>support the declining effectiveness during extremely low temperatures</w:t>
            </w:r>
          </w:p>
          <w:p w14:paraId="5ACBB668" w14:textId="2CD0BC63" w:rsidR="000A3525" w:rsidRDefault="000A3525" w:rsidP="000A3525">
            <w:pPr>
              <w:pStyle w:val="ListParagraph"/>
              <w:numPr>
                <w:ilvl w:val="0"/>
                <w:numId w:val="8"/>
              </w:numPr>
              <w:rPr>
                <w:rFonts w:ascii="Arial" w:hAnsi="Arial" w:cs="Arial"/>
              </w:rPr>
            </w:pPr>
            <w:r>
              <w:rPr>
                <w:rFonts w:ascii="Arial" w:hAnsi="Arial" w:cs="Arial"/>
              </w:rPr>
              <w:t>A few comments suggested that the starting 85% effectiveness rate should be increased to reflect ongoing weatherization improvements since the 85% was adopted (e.g., up to 95%)</w:t>
            </w:r>
          </w:p>
          <w:p w14:paraId="5D2A0FA7" w14:textId="0927CE30" w:rsidR="000A3525" w:rsidRPr="000A3525" w:rsidRDefault="000A3525" w:rsidP="000A3525">
            <w:pPr>
              <w:pStyle w:val="ListParagraph"/>
              <w:numPr>
                <w:ilvl w:val="0"/>
                <w:numId w:val="8"/>
              </w:numPr>
              <w:rPr>
                <w:rFonts w:ascii="Arial" w:hAnsi="Arial" w:cs="Arial"/>
              </w:rPr>
            </w:pPr>
            <w:r>
              <w:rPr>
                <w:rFonts w:ascii="Arial" w:hAnsi="Arial" w:cs="Arial"/>
              </w:rPr>
              <w:t>One commenter that supports the modifications suggests accounting for potential lack of weatherization for critical infrastructure</w:t>
            </w:r>
          </w:p>
        </w:tc>
      </w:tr>
      <w:tr w:rsidR="007B1FDF" w14:paraId="1E411DBF" w14:textId="77777777" w:rsidTr="00E6487B">
        <w:tc>
          <w:tcPr>
            <w:tcW w:w="1640" w:type="dxa"/>
          </w:tcPr>
          <w:p w14:paraId="7067D670" w14:textId="13E05A3B" w:rsidR="007B1FDF" w:rsidRPr="00E6487B" w:rsidRDefault="007B1FDF">
            <w:pPr>
              <w:rPr>
                <w:rFonts w:ascii="Arial" w:hAnsi="Arial" w:cs="Arial"/>
              </w:rPr>
            </w:pPr>
            <w:r w:rsidRPr="00E6487B">
              <w:rPr>
                <w:rFonts w:ascii="Arial" w:hAnsi="Arial" w:cs="Arial"/>
              </w:rPr>
              <w:lastRenderedPageBreak/>
              <w:t>Outage Modeling</w:t>
            </w:r>
          </w:p>
        </w:tc>
        <w:tc>
          <w:tcPr>
            <w:tcW w:w="1407" w:type="dxa"/>
          </w:tcPr>
          <w:p w14:paraId="5A9A74FB" w14:textId="01BD6023" w:rsidR="007B1FDF" w:rsidRPr="00E6487B" w:rsidRDefault="007B1FDF">
            <w:pPr>
              <w:rPr>
                <w:rFonts w:ascii="Arial" w:hAnsi="Arial" w:cs="Arial"/>
              </w:rPr>
            </w:pPr>
            <w:r w:rsidRPr="00E6487B">
              <w:rPr>
                <w:rFonts w:ascii="Arial" w:hAnsi="Arial" w:cs="Arial"/>
              </w:rPr>
              <w:t>9.a</w:t>
            </w:r>
          </w:p>
        </w:tc>
        <w:tc>
          <w:tcPr>
            <w:tcW w:w="3853" w:type="dxa"/>
          </w:tcPr>
          <w:p w14:paraId="7286A968" w14:textId="2624E00C" w:rsidR="007B1FDF" w:rsidRPr="00E6487B" w:rsidRDefault="007B1FDF">
            <w:pPr>
              <w:rPr>
                <w:rFonts w:ascii="Arial" w:hAnsi="Arial" w:cs="Arial"/>
              </w:rPr>
            </w:pPr>
            <w:r w:rsidRPr="00E6487B">
              <w:rPr>
                <w:rFonts w:ascii="Arial" w:hAnsi="Arial" w:cs="Arial"/>
              </w:rPr>
              <w:t>Are the assumptions for generation and ESR outage modeling reasonable? If not, what modifications do you propose?</w:t>
            </w:r>
          </w:p>
        </w:tc>
        <w:tc>
          <w:tcPr>
            <w:tcW w:w="6050" w:type="dxa"/>
          </w:tcPr>
          <w:p w14:paraId="1F402CED" w14:textId="77777777" w:rsidR="007B1FDF" w:rsidRDefault="004513EA" w:rsidP="004513EA">
            <w:pPr>
              <w:pStyle w:val="ListParagraph"/>
              <w:numPr>
                <w:ilvl w:val="0"/>
                <w:numId w:val="10"/>
              </w:numPr>
              <w:rPr>
                <w:rFonts w:ascii="Arial" w:hAnsi="Arial" w:cs="Arial"/>
              </w:rPr>
            </w:pPr>
            <w:r w:rsidRPr="004513EA">
              <w:rPr>
                <w:rFonts w:ascii="Arial" w:hAnsi="Arial" w:cs="Arial"/>
              </w:rPr>
              <w:t xml:space="preserve">5 commenters that </w:t>
            </w:r>
            <w:r>
              <w:rPr>
                <w:rFonts w:ascii="Arial" w:hAnsi="Arial" w:cs="Arial"/>
              </w:rPr>
              <w:t>stated</w:t>
            </w:r>
            <w:r w:rsidRPr="004513EA">
              <w:rPr>
                <w:rFonts w:ascii="Arial" w:hAnsi="Arial" w:cs="Arial"/>
              </w:rPr>
              <w:t xml:space="preserve"> an opinion on generation/ESR outages support</w:t>
            </w:r>
            <w:r>
              <w:rPr>
                <w:rFonts w:ascii="Arial" w:hAnsi="Arial" w:cs="Arial"/>
              </w:rPr>
              <w:t>ed the assumptions</w:t>
            </w:r>
          </w:p>
          <w:p w14:paraId="7818DED3" w14:textId="77777777" w:rsidR="004513EA" w:rsidRDefault="004513EA" w:rsidP="004513EA">
            <w:pPr>
              <w:pStyle w:val="ListParagraph"/>
              <w:numPr>
                <w:ilvl w:val="0"/>
                <w:numId w:val="10"/>
              </w:numPr>
              <w:rPr>
                <w:rFonts w:ascii="Arial" w:hAnsi="Arial" w:cs="Arial"/>
              </w:rPr>
            </w:pPr>
            <w:r>
              <w:rPr>
                <w:rFonts w:ascii="Arial" w:hAnsi="Arial" w:cs="Arial"/>
              </w:rPr>
              <w:t>One commenter that did not support the generation/ESR outage assumptions stated a concern that there could be double-counting generation outages due to “combining thermal and weather-related outages</w:t>
            </w:r>
            <w:r w:rsidR="00511EC9">
              <w:rPr>
                <w:rFonts w:ascii="Arial" w:hAnsi="Arial" w:cs="Arial"/>
              </w:rPr>
              <w:t>”</w:t>
            </w:r>
            <w:r>
              <w:rPr>
                <w:rFonts w:ascii="Arial" w:hAnsi="Arial" w:cs="Arial"/>
              </w:rPr>
              <w:t>; the same commenter recommended more transparency on the outage calculations</w:t>
            </w:r>
          </w:p>
          <w:p w14:paraId="57614AC7" w14:textId="77777777" w:rsidR="00511EC9" w:rsidRDefault="00511EC9" w:rsidP="004513EA">
            <w:pPr>
              <w:pStyle w:val="ListParagraph"/>
              <w:numPr>
                <w:ilvl w:val="0"/>
                <w:numId w:val="10"/>
              </w:numPr>
              <w:rPr>
                <w:rFonts w:ascii="Arial" w:hAnsi="Arial" w:cs="Arial"/>
              </w:rPr>
            </w:pPr>
            <w:r>
              <w:rPr>
                <w:rFonts w:ascii="Arial" w:hAnsi="Arial" w:cs="Arial"/>
              </w:rPr>
              <w:t>One commenter suggested incorporating precipitation data as part of the probabilistic extreme weather event modeling</w:t>
            </w:r>
          </w:p>
          <w:p w14:paraId="331DEE06" w14:textId="30A0333D" w:rsidR="00511EC9" w:rsidRPr="004513EA" w:rsidRDefault="00511EC9" w:rsidP="004513EA">
            <w:pPr>
              <w:pStyle w:val="ListParagraph"/>
              <w:numPr>
                <w:ilvl w:val="0"/>
                <w:numId w:val="10"/>
              </w:numPr>
              <w:rPr>
                <w:rFonts w:ascii="Arial" w:hAnsi="Arial" w:cs="Arial"/>
              </w:rPr>
            </w:pPr>
            <w:r>
              <w:rPr>
                <w:rFonts w:ascii="Arial" w:hAnsi="Arial" w:cs="Arial"/>
              </w:rPr>
              <w:t>One commenter recommended that the Commission consider sensitivity analysis focusing on correlated fuel risks during extreme weather events</w:t>
            </w:r>
          </w:p>
        </w:tc>
      </w:tr>
      <w:tr w:rsidR="007B1FDF" w14:paraId="4371BA74" w14:textId="77777777" w:rsidTr="00E6487B">
        <w:tc>
          <w:tcPr>
            <w:tcW w:w="1640" w:type="dxa"/>
          </w:tcPr>
          <w:p w14:paraId="1E5FF606" w14:textId="6769F5B2" w:rsidR="007B1FDF" w:rsidRPr="00E6487B" w:rsidRDefault="007B1FDF">
            <w:pPr>
              <w:rPr>
                <w:rFonts w:ascii="Arial" w:hAnsi="Arial" w:cs="Arial"/>
              </w:rPr>
            </w:pPr>
            <w:r w:rsidRPr="00E6487B">
              <w:rPr>
                <w:rFonts w:ascii="Arial" w:hAnsi="Arial" w:cs="Arial"/>
              </w:rPr>
              <w:t>Outage Modeling</w:t>
            </w:r>
          </w:p>
        </w:tc>
        <w:tc>
          <w:tcPr>
            <w:tcW w:w="1407" w:type="dxa"/>
          </w:tcPr>
          <w:p w14:paraId="626E0C8F" w14:textId="434C2960" w:rsidR="007B1FDF" w:rsidRPr="00E6487B" w:rsidRDefault="007B1FDF">
            <w:pPr>
              <w:rPr>
                <w:rFonts w:ascii="Arial" w:hAnsi="Arial" w:cs="Arial"/>
              </w:rPr>
            </w:pPr>
            <w:r w:rsidRPr="00E6487B">
              <w:rPr>
                <w:rFonts w:ascii="Arial" w:hAnsi="Arial" w:cs="Arial"/>
              </w:rPr>
              <w:t>9.b</w:t>
            </w:r>
          </w:p>
        </w:tc>
        <w:tc>
          <w:tcPr>
            <w:tcW w:w="3853" w:type="dxa"/>
          </w:tcPr>
          <w:p w14:paraId="32E4B59F" w14:textId="06F1B524" w:rsidR="007B1FDF" w:rsidRPr="00E6487B" w:rsidRDefault="007B1FDF">
            <w:pPr>
              <w:rPr>
                <w:rFonts w:ascii="Arial" w:hAnsi="Arial" w:cs="Arial"/>
              </w:rPr>
            </w:pPr>
            <w:r w:rsidRPr="00E6487B">
              <w:rPr>
                <w:rFonts w:ascii="Arial" w:hAnsi="Arial" w:cs="Arial"/>
              </w:rPr>
              <w:t>How should ERCOT treat planned transmission outages in the model?</w:t>
            </w:r>
          </w:p>
        </w:tc>
        <w:tc>
          <w:tcPr>
            <w:tcW w:w="6050" w:type="dxa"/>
          </w:tcPr>
          <w:p w14:paraId="30E1D16D" w14:textId="77777777" w:rsidR="007B1FDF" w:rsidRDefault="004513EA" w:rsidP="004513EA">
            <w:pPr>
              <w:pStyle w:val="ListParagraph"/>
              <w:numPr>
                <w:ilvl w:val="0"/>
                <w:numId w:val="9"/>
              </w:numPr>
              <w:rPr>
                <w:rFonts w:ascii="Arial" w:hAnsi="Arial" w:cs="Arial"/>
              </w:rPr>
            </w:pPr>
            <w:r>
              <w:rPr>
                <w:rFonts w:ascii="Arial" w:hAnsi="Arial" w:cs="Arial"/>
              </w:rPr>
              <w:t>All commenters that responded to this question stated that transmission outages should only be considered in a zonal study</w:t>
            </w:r>
          </w:p>
          <w:p w14:paraId="0B186F47" w14:textId="554F246E" w:rsidR="004513EA" w:rsidRPr="004513EA" w:rsidRDefault="004513EA" w:rsidP="004513EA">
            <w:pPr>
              <w:pStyle w:val="ListParagraph"/>
              <w:numPr>
                <w:ilvl w:val="0"/>
                <w:numId w:val="9"/>
              </w:numPr>
              <w:rPr>
                <w:rFonts w:ascii="Arial" w:hAnsi="Arial" w:cs="Arial"/>
              </w:rPr>
            </w:pPr>
          </w:p>
        </w:tc>
      </w:tr>
    </w:tbl>
    <w:p w14:paraId="00EB7187" w14:textId="77777777" w:rsidR="007F7BA4" w:rsidRDefault="007F7BA4"/>
    <w:p w14:paraId="51D6A978" w14:textId="18EE689F" w:rsidR="00E6487B" w:rsidRPr="00E6487B" w:rsidRDefault="00E6487B">
      <w:pPr>
        <w:rPr>
          <w:rFonts w:ascii="Arial" w:hAnsi="Arial" w:cs="Arial"/>
        </w:rPr>
      </w:pPr>
      <w:r>
        <w:rPr>
          <w:rFonts w:ascii="Arial" w:hAnsi="Arial" w:cs="Arial"/>
        </w:rPr>
        <w:t xml:space="preserve">10. </w:t>
      </w:r>
      <w:r w:rsidRPr="00E6487B">
        <w:rPr>
          <w:rFonts w:ascii="Arial" w:hAnsi="Arial" w:cs="Arial"/>
        </w:rPr>
        <w:t>Comments/Recommendations for assumptions not covered above</w:t>
      </w:r>
    </w:p>
    <w:tbl>
      <w:tblPr>
        <w:tblStyle w:val="TableGrid"/>
        <w:tblW w:w="13490" w:type="dxa"/>
        <w:tblLayout w:type="fixed"/>
        <w:tblLook w:val="04A0" w:firstRow="1" w:lastRow="0" w:firstColumn="1" w:lastColumn="0" w:noHBand="0" w:noVBand="1"/>
      </w:tblPr>
      <w:tblGrid>
        <w:gridCol w:w="535"/>
        <w:gridCol w:w="12955"/>
      </w:tblGrid>
      <w:tr w:rsidR="00D40165" w14:paraId="4864A1BD" w14:textId="77777777" w:rsidTr="00D40165">
        <w:tc>
          <w:tcPr>
            <w:tcW w:w="535" w:type="dxa"/>
          </w:tcPr>
          <w:p w14:paraId="0B2F7B19" w14:textId="1D4B021A" w:rsidR="00D40165" w:rsidRPr="00740313" w:rsidRDefault="00D40165">
            <w:pPr>
              <w:rPr>
                <w:rFonts w:ascii="Arial" w:hAnsi="Arial" w:cs="Arial"/>
              </w:rPr>
            </w:pPr>
            <w:r w:rsidRPr="00740313">
              <w:rPr>
                <w:rFonts w:ascii="Arial" w:hAnsi="Arial" w:cs="Arial"/>
              </w:rPr>
              <w:t>1</w:t>
            </w:r>
          </w:p>
        </w:tc>
        <w:tc>
          <w:tcPr>
            <w:tcW w:w="12955" w:type="dxa"/>
          </w:tcPr>
          <w:p w14:paraId="24E0352C" w14:textId="2C3F15AE" w:rsidR="00D40165" w:rsidRPr="00740313" w:rsidRDefault="00D40165">
            <w:pPr>
              <w:rPr>
                <w:rFonts w:ascii="Arial" w:hAnsi="Arial" w:cs="Arial"/>
              </w:rPr>
            </w:pPr>
            <w:r w:rsidRPr="00740313">
              <w:rPr>
                <w:rFonts w:ascii="Arial" w:hAnsi="Arial" w:cs="Arial"/>
              </w:rPr>
              <w:t>A three-year look-ahead for the reliability assessments does not provide sufficient time to evaluate market design changes from design through successful “time to market.”</w:t>
            </w:r>
          </w:p>
        </w:tc>
      </w:tr>
      <w:tr w:rsidR="00D40165" w14:paraId="4AF3F70E" w14:textId="77777777" w:rsidTr="00D40165">
        <w:tc>
          <w:tcPr>
            <w:tcW w:w="535" w:type="dxa"/>
          </w:tcPr>
          <w:p w14:paraId="7B2707BD" w14:textId="619C5ADD" w:rsidR="00D40165" w:rsidRPr="00740313" w:rsidRDefault="00D40165">
            <w:pPr>
              <w:rPr>
                <w:rFonts w:ascii="Arial" w:hAnsi="Arial" w:cs="Arial"/>
              </w:rPr>
            </w:pPr>
            <w:r w:rsidRPr="00740313">
              <w:rPr>
                <w:rFonts w:ascii="Arial" w:hAnsi="Arial" w:cs="Arial"/>
              </w:rPr>
              <w:t>2</w:t>
            </w:r>
          </w:p>
        </w:tc>
        <w:tc>
          <w:tcPr>
            <w:tcW w:w="12955" w:type="dxa"/>
          </w:tcPr>
          <w:p w14:paraId="0CD7B97F" w14:textId="37921B1D" w:rsidR="00D40165" w:rsidRPr="00740313" w:rsidRDefault="00D40165">
            <w:pPr>
              <w:rPr>
                <w:rFonts w:ascii="Arial" w:hAnsi="Arial" w:cs="Arial"/>
              </w:rPr>
            </w:pPr>
            <w:r w:rsidRPr="00740313">
              <w:rPr>
                <w:rFonts w:ascii="Arial" w:hAnsi="Arial" w:cs="Arial"/>
              </w:rPr>
              <w:t>ERCOT should consider discounting Emergency Response Service (ERS) response by up to 50% within its reliability standard assessment based upon historic performance of these resources.</w:t>
            </w:r>
          </w:p>
        </w:tc>
      </w:tr>
      <w:tr w:rsidR="00D40165" w14:paraId="29F5881B" w14:textId="77777777" w:rsidTr="00D40165">
        <w:tc>
          <w:tcPr>
            <w:tcW w:w="535" w:type="dxa"/>
          </w:tcPr>
          <w:p w14:paraId="5779AA07" w14:textId="4656ABB3" w:rsidR="00D40165" w:rsidRPr="00740313" w:rsidRDefault="00D40165">
            <w:pPr>
              <w:rPr>
                <w:rFonts w:ascii="Arial" w:hAnsi="Arial" w:cs="Arial"/>
              </w:rPr>
            </w:pPr>
            <w:r w:rsidRPr="00740313">
              <w:rPr>
                <w:rFonts w:ascii="Arial" w:hAnsi="Arial" w:cs="Arial"/>
              </w:rPr>
              <w:t>3</w:t>
            </w:r>
          </w:p>
        </w:tc>
        <w:tc>
          <w:tcPr>
            <w:tcW w:w="12955" w:type="dxa"/>
          </w:tcPr>
          <w:p w14:paraId="69CAF3BD" w14:textId="2360E68E" w:rsidR="00D40165" w:rsidRPr="00740313" w:rsidRDefault="00D40165">
            <w:pPr>
              <w:rPr>
                <w:rFonts w:ascii="Arial" w:hAnsi="Arial" w:cs="Arial"/>
              </w:rPr>
            </w:pPr>
            <w:r w:rsidRPr="00740313">
              <w:rPr>
                <w:rFonts w:ascii="Arial" w:hAnsi="Arial" w:cs="Arial"/>
              </w:rPr>
              <w:t>ERCOT notes its intention to investigate "if and how the Emergency Pricing Program (EPP) can be implemented in SERVM" but does not provide any details on how this logic would be employed. LCRA encourages ERCOT to include the EPP logic to more precisely discount scarcity pricing during a modeled shortage event - this will be necessary to calibrate subsequent market design solutions appropriately.</w:t>
            </w:r>
          </w:p>
        </w:tc>
      </w:tr>
      <w:tr w:rsidR="00D40165" w14:paraId="1FF57C4F" w14:textId="77777777" w:rsidTr="00D40165">
        <w:tc>
          <w:tcPr>
            <w:tcW w:w="535" w:type="dxa"/>
          </w:tcPr>
          <w:p w14:paraId="5A67FA54" w14:textId="0605BC96" w:rsidR="00D40165" w:rsidRPr="00740313" w:rsidRDefault="00D40165">
            <w:pPr>
              <w:rPr>
                <w:rFonts w:ascii="Arial" w:hAnsi="Arial" w:cs="Arial"/>
              </w:rPr>
            </w:pPr>
            <w:r w:rsidRPr="00740313">
              <w:rPr>
                <w:rFonts w:ascii="Arial" w:hAnsi="Arial" w:cs="Arial"/>
              </w:rPr>
              <w:t>4</w:t>
            </w:r>
          </w:p>
        </w:tc>
        <w:tc>
          <w:tcPr>
            <w:tcW w:w="12955" w:type="dxa"/>
          </w:tcPr>
          <w:p w14:paraId="4B73439B" w14:textId="6E166119" w:rsidR="00D40165" w:rsidRPr="00740313" w:rsidRDefault="00D40165">
            <w:pPr>
              <w:rPr>
                <w:rFonts w:ascii="Arial" w:hAnsi="Arial" w:cs="Arial"/>
              </w:rPr>
            </w:pPr>
            <w:r w:rsidRPr="00740313">
              <w:rPr>
                <w:rFonts w:ascii="Arial" w:hAnsi="Arial" w:cs="Arial"/>
              </w:rPr>
              <w:t>ERCOT should also include a comparative analysis of the modeled generation used in the reliability standard assessment as compared to the modeled generation used within the 2026 RTP.</w:t>
            </w:r>
          </w:p>
        </w:tc>
      </w:tr>
      <w:tr w:rsidR="00D40165" w14:paraId="3D43C1C7" w14:textId="77777777" w:rsidTr="00D40165">
        <w:tc>
          <w:tcPr>
            <w:tcW w:w="535" w:type="dxa"/>
          </w:tcPr>
          <w:p w14:paraId="7F27AEFC" w14:textId="25206FB4" w:rsidR="00D40165" w:rsidRPr="00740313" w:rsidRDefault="00D40165">
            <w:pPr>
              <w:rPr>
                <w:rFonts w:ascii="Arial" w:hAnsi="Arial" w:cs="Arial"/>
              </w:rPr>
            </w:pPr>
            <w:r w:rsidRPr="00740313">
              <w:rPr>
                <w:rFonts w:ascii="Arial" w:hAnsi="Arial" w:cs="Arial"/>
              </w:rPr>
              <w:t>5</w:t>
            </w:r>
          </w:p>
        </w:tc>
        <w:tc>
          <w:tcPr>
            <w:tcW w:w="12955" w:type="dxa"/>
          </w:tcPr>
          <w:p w14:paraId="71F774AB" w14:textId="7FCFA900" w:rsidR="00D40165" w:rsidRPr="00740313" w:rsidRDefault="00D40165">
            <w:pPr>
              <w:rPr>
                <w:rFonts w:ascii="Arial" w:hAnsi="Arial" w:cs="Arial"/>
              </w:rPr>
            </w:pPr>
            <w:r w:rsidRPr="00740313">
              <w:rPr>
                <w:rFonts w:ascii="Arial" w:hAnsi="Arial" w:cs="Arial"/>
              </w:rPr>
              <w:t xml:space="preserve">When conducting long-term projections of this nature, uncertainty is unavoidable. Providing a broader range of scenarios and sensitivities, </w:t>
            </w:r>
            <w:proofErr w:type="gramStart"/>
            <w:r w:rsidRPr="00740313">
              <w:rPr>
                <w:rFonts w:ascii="Arial" w:hAnsi="Arial" w:cs="Arial"/>
              </w:rPr>
              <w:t>similar to</w:t>
            </w:r>
            <w:proofErr w:type="gramEnd"/>
            <w:r w:rsidRPr="00740313">
              <w:rPr>
                <w:rFonts w:ascii="Arial" w:hAnsi="Arial" w:cs="Arial"/>
              </w:rPr>
              <w:t xml:space="preserve"> the approach used in the CDR report, would offer the Commission a more complete picture of potential outcomes.</w:t>
            </w:r>
          </w:p>
        </w:tc>
      </w:tr>
      <w:tr w:rsidR="00D40165" w14:paraId="6B90C8A1" w14:textId="77777777" w:rsidTr="00D40165">
        <w:tc>
          <w:tcPr>
            <w:tcW w:w="535" w:type="dxa"/>
          </w:tcPr>
          <w:p w14:paraId="7A54FF0B" w14:textId="686A227B" w:rsidR="00D40165" w:rsidRPr="00740313" w:rsidRDefault="00D40165">
            <w:pPr>
              <w:rPr>
                <w:rFonts w:ascii="Arial" w:hAnsi="Arial" w:cs="Arial"/>
              </w:rPr>
            </w:pPr>
            <w:r w:rsidRPr="00740313">
              <w:rPr>
                <w:rFonts w:ascii="Arial" w:hAnsi="Arial" w:cs="Arial"/>
              </w:rPr>
              <w:t>6</w:t>
            </w:r>
          </w:p>
        </w:tc>
        <w:tc>
          <w:tcPr>
            <w:tcW w:w="12955" w:type="dxa"/>
          </w:tcPr>
          <w:p w14:paraId="6B6DBA4B" w14:textId="1385E43F" w:rsidR="00D40165" w:rsidRPr="00740313" w:rsidRDefault="00D40165">
            <w:pPr>
              <w:rPr>
                <w:rFonts w:ascii="Arial" w:hAnsi="Arial" w:cs="Arial"/>
              </w:rPr>
            </w:pPr>
            <w:r w:rsidRPr="00740313">
              <w:rPr>
                <w:rFonts w:ascii="Arial" w:hAnsi="Arial" w:cs="Arial"/>
              </w:rPr>
              <w:t>Additional efforts examining adjustments to Ancillary Service Demand Curves ("ASDC"s) and increases to the system-wide offer cap would further support evaluation of market-design options intended to incentivize the development of additional dispatchable generation</w:t>
            </w:r>
            <w:r w:rsidRPr="00740313">
              <w:rPr>
                <w:rFonts w:ascii="Arial" w:hAnsi="Arial" w:cs="Arial"/>
              </w:rPr>
              <w:t>.</w:t>
            </w:r>
          </w:p>
        </w:tc>
      </w:tr>
      <w:tr w:rsidR="00D40165" w14:paraId="0674B132" w14:textId="77777777" w:rsidTr="00D40165">
        <w:tc>
          <w:tcPr>
            <w:tcW w:w="535" w:type="dxa"/>
          </w:tcPr>
          <w:p w14:paraId="2A071B7B" w14:textId="4AB9BD92" w:rsidR="00D40165" w:rsidRPr="00740313" w:rsidRDefault="00D40165">
            <w:pPr>
              <w:rPr>
                <w:rFonts w:ascii="Arial" w:hAnsi="Arial" w:cs="Arial"/>
              </w:rPr>
            </w:pPr>
            <w:r w:rsidRPr="00740313">
              <w:rPr>
                <w:rFonts w:ascii="Arial" w:hAnsi="Arial" w:cs="Arial"/>
              </w:rPr>
              <w:t>7</w:t>
            </w:r>
          </w:p>
        </w:tc>
        <w:tc>
          <w:tcPr>
            <w:tcW w:w="12955" w:type="dxa"/>
          </w:tcPr>
          <w:p w14:paraId="2C6DAC38" w14:textId="68DE3075" w:rsidR="00D40165" w:rsidRPr="00740313" w:rsidRDefault="00D40165">
            <w:pPr>
              <w:rPr>
                <w:rFonts w:ascii="Arial" w:hAnsi="Arial" w:cs="Arial"/>
              </w:rPr>
            </w:pPr>
            <w:r w:rsidRPr="00740313">
              <w:rPr>
                <w:rFonts w:ascii="Arial" w:hAnsi="Arial" w:cs="Arial"/>
              </w:rPr>
              <w:t>ERCOT should provide greater transparency into Energy Storage Resource modeling specifically storage durations, cycling limits, and round-trip efficiency because these parameters materially influence how storage contributes to reliability outcomes and are necessary for stakeholders to interpret SERVM results accurately.</w:t>
            </w:r>
          </w:p>
        </w:tc>
      </w:tr>
      <w:tr w:rsidR="00D40165" w14:paraId="37FECBE6" w14:textId="77777777" w:rsidTr="00D40165">
        <w:tc>
          <w:tcPr>
            <w:tcW w:w="535" w:type="dxa"/>
          </w:tcPr>
          <w:p w14:paraId="7A95052C" w14:textId="52AA71AA" w:rsidR="00D40165" w:rsidRPr="00740313" w:rsidRDefault="00D40165">
            <w:pPr>
              <w:rPr>
                <w:rFonts w:ascii="Arial" w:hAnsi="Arial" w:cs="Arial"/>
              </w:rPr>
            </w:pPr>
            <w:r w:rsidRPr="00740313">
              <w:rPr>
                <w:rFonts w:ascii="Arial" w:hAnsi="Arial" w:cs="Arial"/>
              </w:rPr>
              <w:t>8</w:t>
            </w:r>
          </w:p>
        </w:tc>
        <w:tc>
          <w:tcPr>
            <w:tcW w:w="12955" w:type="dxa"/>
          </w:tcPr>
          <w:p w14:paraId="45BE7E44" w14:textId="39BBEC29" w:rsidR="00D40165" w:rsidRPr="00740313" w:rsidRDefault="00740313" w:rsidP="00740313">
            <w:pPr>
              <w:rPr>
                <w:rFonts w:ascii="Arial" w:hAnsi="Arial" w:cs="Arial"/>
              </w:rPr>
            </w:pPr>
            <w:r w:rsidRPr="00740313">
              <w:rPr>
                <w:rFonts w:ascii="Arial" w:hAnsi="Arial" w:cs="Arial"/>
              </w:rPr>
              <w:t>D</w:t>
            </w:r>
            <w:r w:rsidR="00D40165" w:rsidRPr="00740313">
              <w:rPr>
                <w:rFonts w:ascii="Arial" w:hAnsi="Arial" w:cs="Arial"/>
              </w:rPr>
              <w:t>oes not support mirroring the 2026 AS plan for 2029 given ongoing uncertainty around DRRS design.</w:t>
            </w:r>
          </w:p>
        </w:tc>
      </w:tr>
      <w:tr w:rsidR="00D40165" w14:paraId="1B2979BF" w14:textId="77777777" w:rsidTr="00D40165">
        <w:tc>
          <w:tcPr>
            <w:tcW w:w="535" w:type="dxa"/>
          </w:tcPr>
          <w:p w14:paraId="56FE78FF" w14:textId="6FD7689D" w:rsidR="00D40165" w:rsidRPr="00740313" w:rsidRDefault="00D40165">
            <w:pPr>
              <w:rPr>
                <w:rFonts w:ascii="Arial" w:hAnsi="Arial" w:cs="Arial"/>
              </w:rPr>
            </w:pPr>
            <w:r w:rsidRPr="00740313">
              <w:rPr>
                <w:rFonts w:ascii="Arial" w:hAnsi="Arial" w:cs="Arial"/>
              </w:rPr>
              <w:t>9</w:t>
            </w:r>
          </w:p>
        </w:tc>
        <w:tc>
          <w:tcPr>
            <w:tcW w:w="12955" w:type="dxa"/>
          </w:tcPr>
          <w:p w14:paraId="068443CB" w14:textId="320FE14F" w:rsidR="00D40165" w:rsidRPr="00740313" w:rsidRDefault="00740313">
            <w:pPr>
              <w:rPr>
                <w:rFonts w:ascii="Arial" w:hAnsi="Arial" w:cs="Arial"/>
              </w:rPr>
            </w:pPr>
            <w:r w:rsidRPr="00740313">
              <w:rPr>
                <w:rFonts w:ascii="Arial" w:hAnsi="Arial" w:cs="Arial"/>
              </w:rPr>
              <w:t>U</w:t>
            </w:r>
            <w:r w:rsidR="00D40165" w:rsidRPr="00740313">
              <w:rPr>
                <w:rFonts w:ascii="Arial" w:hAnsi="Arial" w:cs="Arial"/>
              </w:rPr>
              <w:t>rges the Commission to prioritize ERCOT's energy-only market fundamentals throughout the assessment.</w:t>
            </w:r>
          </w:p>
        </w:tc>
      </w:tr>
      <w:tr w:rsidR="00D40165" w14:paraId="561EE57D" w14:textId="77777777" w:rsidTr="00D40165">
        <w:tc>
          <w:tcPr>
            <w:tcW w:w="535" w:type="dxa"/>
          </w:tcPr>
          <w:p w14:paraId="46367912" w14:textId="4ED59C61" w:rsidR="00D40165" w:rsidRPr="00740313" w:rsidRDefault="00D40165">
            <w:pPr>
              <w:rPr>
                <w:rFonts w:ascii="Arial" w:hAnsi="Arial" w:cs="Arial"/>
              </w:rPr>
            </w:pPr>
            <w:r w:rsidRPr="00740313">
              <w:rPr>
                <w:rFonts w:ascii="Arial" w:hAnsi="Arial" w:cs="Arial"/>
              </w:rPr>
              <w:t>10</w:t>
            </w:r>
          </w:p>
        </w:tc>
        <w:tc>
          <w:tcPr>
            <w:tcW w:w="12955" w:type="dxa"/>
          </w:tcPr>
          <w:p w14:paraId="2130544E" w14:textId="2FA0D5CB" w:rsidR="00D40165" w:rsidRPr="00740313" w:rsidRDefault="00740313">
            <w:pPr>
              <w:rPr>
                <w:rFonts w:ascii="Arial" w:hAnsi="Arial" w:cs="Arial"/>
              </w:rPr>
            </w:pPr>
            <w:r w:rsidRPr="00740313">
              <w:rPr>
                <w:rFonts w:ascii="Arial" w:hAnsi="Arial" w:cs="Arial"/>
              </w:rPr>
              <w:t>R</w:t>
            </w:r>
            <w:r w:rsidR="00D40165" w:rsidRPr="00740313">
              <w:rPr>
                <w:rFonts w:ascii="Arial" w:hAnsi="Arial" w:cs="Arial"/>
              </w:rPr>
              <w:t>ecommends that the assumptions for the 2029 ancillary service procurement methodology, including DRRS, be clarified and subjected to meaningful stakeholder review before being finalized, as they can materially affect scarcity outcomes and reliability metrics.</w:t>
            </w:r>
          </w:p>
        </w:tc>
      </w:tr>
      <w:tr w:rsidR="00D40165" w14:paraId="6EE64C93" w14:textId="77777777" w:rsidTr="00D40165">
        <w:tc>
          <w:tcPr>
            <w:tcW w:w="535" w:type="dxa"/>
          </w:tcPr>
          <w:p w14:paraId="5B3653D8" w14:textId="022828FC" w:rsidR="00D40165" w:rsidRPr="00740313" w:rsidRDefault="00D40165">
            <w:pPr>
              <w:rPr>
                <w:rFonts w:ascii="Arial" w:hAnsi="Arial" w:cs="Arial"/>
              </w:rPr>
            </w:pPr>
            <w:r w:rsidRPr="00740313">
              <w:rPr>
                <w:rFonts w:ascii="Arial" w:hAnsi="Arial" w:cs="Arial"/>
              </w:rPr>
              <w:t>11</w:t>
            </w:r>
          </w:p>
        </w:tc>
        <w:tc>
          <w:tcPr>
            <w:tcW w:w="12955" w:type="dxa"/>
          </w:tcPr>
          <w:p w14:paraId="7A56CC3D" w14:textId="45B63ED8" w:rsidR="00D40165" w:rsidRPr="00740313" w:rsidRDefault="00D40165">
            <w:pPr>
              <w:rPr>
                <w:rFonts w:ascii="Arial" w:hAnsi="Arial" w:cs="Arial"/>
              </w:rPr>
            </w:pPr>
            <w:r w:rsidRPr="00740313">
              <w:rPr>
                <w:rFonts w:ascii="Arial" w:hAnsi="Arial" w:cs="Arial"/>
              </w:rPr>
              <w:t>ERCOT should be required to disclose its modeling assumptions regarding the ESR fleet, including the distribution of durations (e.g., 1-hour, 2-hour, and 4-hour ESRs), any imposed daily or annual cycling limits, and the presumed round-trip efficiency.</w:t>
            </w:r>
          </w:p>
        </w:tc>
      </w:tr>
      <w:tr w:rsidR="00D40165" w14:paraId="735FEAE3" w14:textId="77777777" w:rsidTr="00D40165">
        <w:tc>
          <w:tcPr>
            <w:tcW w:w="535" w:type="dxa"/>
          </w:tcPr>
          <w:p w14:paraId="57DDDEB2" w14:textId="2A24CEF5" w:rsidR="00D40165" w:rsidRPr="00740313" w:rsidRDefault="00D40165">
            <w:pPr>
              <w:rPr>
                <w:rFonts w:ascii="Arial" w:hAnsi="Arial" w:cs="Arial"/>
              </w:rPr>
            </w:pPr>
            <w:r w:rsidRPr="00740313">
              <w:rPr>
                <w:rFonts w:ascii="Arial" w:hAnsi="Arial" w:cs="Arial"/>
              </w:rPr>
              <w:t>12</w:t>
            </w:r>
          </w:p>
        </w:tc>
        <w:tc>
          <w:tcPr>
            <w:tcW w:w="12955" w:type="dxa"/>
          </w:tcPr>
          <w:p w14:paraId="14148C88" w14:textId="2498FF53" w:rsidR="00D40165" w:rsidRPr="00740313" w:rsidRDefault="00D40165">
            <w:pPr>
              <w:rPr>
                <w:rFonts w:ascii="Arial" w:hAnsi="Arial" w:cs="Arial"/>
              </w:rPr>
            </w:pPr>
            <w:r w:rsidRPr="00740313">
              <w:rPr>
                <w:rFonts w:ascii="Arial" w:hAnsi="Arial" w:cs="Arial"/>
              </w:rPr>
              <w:t>ERCOT should include additional price responsive demand reductions from growth in distributed generation, particularly natural gas distributed generation, that is not already captured in the model from the growth of LFLs.</w:t>
            </w:r>
          </w:p>
        </w:tc>
      </w:tr>
      <w:tr w:rsidR="00D40165" w14:paraId="6D9C7137" w14:textId="77777777" w:rsidTr="00D40165">
        <w:tc>
          <w:tcPr>
            <w:tcW w:w="535" w:type="dxa"/>
          </w:tcPr>
          <w:p w14:paraId="451F8404" w14:textId="4AD831AB" w:rsidR="00D40165" w:rsidRPr="00740313" w:rsidRDefault="00D40165">
            <w:pPr>
              <w:rPr>
                <w:rFonts w:ascii="Arial" w:hAnsi="Arial" w:cs="Arial"/>
              </w:rPr>
            </w:pPr>
            <w:r w:rsidRPr="00740313">
              <w:rPr>
                <w:rFonts w:ascii="Arial" w:hAnsi="Arial" w:cs="Arial"/>
              </w:rPr>
              <w:t>13</w:t>
            </w:r>
          </w:p>
        </w:tc>
        <w:tc>
          <w:tcPr>
            <w:tcW w:w="12955" w:type="dxa"/>
          </w:tcPr>
          <w:p w14:paraId="41C2EA1F" w14:textId="5B4E7DBA" w:rsidR="00D40165" w:rsidRPr="00740313" w:rsidRDefault="00D40165">
            <w:pPr>
              <w:rPr>
                <w:rFonts w:ascii="Arial" w:hAnsi="Arial" w:cs="Arial"/>
              </w:rPr>
            </w:pPr>
            <w:r w:rsidRPr="00740313">
              <w:rPr>
                <w:rFonts w:ascii="Arial" w:hAnsi="Arial" w:cs="Arial"/>
              </w:rPr>
              <w:t>ERCOT should utilize a modeling assumption for Private Use Network (PUN) Generators based on their actual performance during key reliability periods.</w:t>
            </w:r>
          </w:p>
        </w:tc>
      </w:tr>
      <w:tr w:rsidR="00D40165" w14:paraId="731C6B9D" w14:textId="77777777" w:rsidTr="00D40165">
        <w:tc>
          <w:tcPr>
            <w:tcW w:w="535" w:type="dxa"/>
          </w:tcPr>
          <w:p w14:paraId="722E91B6" w14:textId="1E40AF34" w:rsidR="00D40165" w:rsidRPr="00740313" w:rsidRDefault="00D40165">
            <w:pPr>
              <w:rPr>
                <w:rFonts w:ascii="Arial" w:hAnsi="Arial" w:cs="Arial"/>
              </w:rPr>
            </w:pPr>
            <w:r w:rsidRPr="00740313">
              <w:rPr>
                <w:rFonts w:ascii="Arial" w:hAnsi="Arial" w:cs="Arial"/>
              </w:rPr>
              <w:lastRenderedPageBreak/>
              <w:t>14</w:t>
            </w:r>
          </w:p>
        </w:tc>
        <w:tc>
          <w:tcPr>
            <w:tcW w:w="12955" w:type="dxa"/>
          </w:tcPr>
          <w:p w14:paraId="25B02F89" w14:textId="201B4CDD" w:rsidR="00D40165" w:rsidRPr="00740313" w:rsidRDefault="00D40165">
            <w:pPr>
              <w:rPr>
                <w:rFonts w:ascii="Arial" w:hAnsi="Arial" w:cs="Arial"/>
              </w:rPr>
            </w:pPr>
            <w:r w:rsidRPr="00740313">
              <w:rPr>
                <w:rFonts w:ascii="Arial" w:hAnsi="Arial" w:cs="Arial"/>
              </w:rPr>
              <w:t>ERCOT should adopt a reliability-focused battery optimization instead of economic optimization.</w:t>
            </w:r>
          </w:p>
        </w:tc>
      </w:tr>
      <w:tr w:rsidR="00D40165" w14:paraId="14A5A4A2" w14:textId="77777777" w:rsidTr="00D40165">
        <w:tc>
          <w:tcPr>
            <w:tcW w:w="535" w:type="dxa"/>
          </w:tcPr>
          <w:p w14:paraId="285132D5" w14:textId="1214541B" w:rsidR="00D40165" w:rsidRPr="00740313" w:rsidRDefault="00D40165">
            <w:pPr>
              <w:rPr>
                <w:rFonts w:ascii="Arial" w:hAnsi="Arial" w:cs="Arial"/>
              </w:rPr>
            </w:pPr>
            <w:r w:rsidRPr="00740313">
              <w:rPr>
                <w:rFonts w:ascii="Arial" w:hAnsi="Arial" w:cs="Arial"/>
              </w:rPr>
              <w:t>15</w:t>
            </w:r>
          </w:p>
        </w:tc>
        <w:tc>
          <w:tcPr>
            <w:tcW w:w="12955" w:type="dxa"/>
          </w:tcPr>
          <w:p w14:paraId="245965DD" w14:textId="70DBA43C" w:rsidR="00D40165" w:rsidRPr="00740313" w:rsidRDefault="00D40165">
            <w:pPr>
              <w:rPr>
                <w:rFonts w:ascii="Arial" w:hAnsi="Arial" w:cs="Arial"/>
              </w:rPr>
            </w:pPr>
            <w:r w:rsidRPr="00740313">
              <w:rPr>
                <w:rFonts w:ascii="Arial" w:hAnsi="Arial" w:cs="Arial"/>
              </w:rPr>
              <w:t xml:space="preserve">The Commission should </w:t>
            </w:r>
            <w:r w:rsidRPr="00740313">
              <w:rPr>
                <w:rFonts w:ascii="Arial" w:hAnsi="Arial" w:cs="Arial"/>
              </w:rPr>
              <w:t xml:space="preserve">have ERCOT </w:t>
            </w:r>
            <w:r w:rsidRPr="00740313">
              <w:rPr>
                <w:rFonts w:ascii="Arial" w:hAnsi="Arial" w:cs="Arial"/>
              </w:rPr>
              <w:t>determine, and if necessary, manually adjust, the number of extreme events included in the SERVM modeling as it could skew the results.</w:t>
            </w:r>
          </w:p>
        </w:tc>
      </w:tr>
      <w:tr w:rsidR="00D40165" w14:paraId="5022258F" w14:textId="77777777" w:rsidTr="00D40165">
        <w:tc>
          <w:tcPr>
            <w:tcW w:w="535" w:type="dxa"/>
          </w:tcPr>
          <w:p w14:paraId="0591DC6B" w14:textId="3E790FAC" w:rsidR="00D40165" w:rsidRPr="00740313" w:rsidRDefault="009114E2">
            <w:pPr>
              <w:rPr>
                <w:rFonts w:ascii="Arial" w:hAnsi="Arial" w:cs="Arial"/>
              </w:rPr>
            </w:pPr>
            <w:r w:rsidRPr="00740313">
              <w:rPr>
                <w:rFonts w:ascii="Arial" w:hAnsi="Arial" w:cs="Arial"/>
              </w:rPr>
              <w:t>16</w:t>
            </w:r>
          </w:p>
        </w:tc>
        <w:tc>
          <w:tcPr>
            <w:tcW w:w="12955" w:type="dxa"/>
          </w:tcPr>
          <w:p w14:paraId="31A98A0F" w14:textId="70CEED24" w:rsidR="00D40165" w:rsidRPr="00740313" w:rsidRDefault="00D40165">
            <w:pPr>
              <w:rPr>
                <w:rFonts w:ascii="Arial" w:hAnsi="Arial" w:cs="Arial"/>
              </w:rPr>
            </w:pPr>
            <w:r w:rsidRPr="00740313">
              <w:rPr>
                <w:rFonts w:ascii="Arial" w:hAnsi="Arial" w:cs="Arial"/>
              </w:rPr>
              <w:t xml:space="preserve">When appropriate, the Commission should </w:t>
            </w:r>
            <w:r w:rsidRPr="00740313">
              <w:rPr>
                <w:rFonts w:ascii="Arial" w:hAnsi="Arial" w:cs="Arial"/>
              </w:rPr>
              <w:t xml:space="preserve">have ERCOT </w:t>
            </w:r>
            <w:r w:rsidRPr="00740313">
              <w:rPr>
                <w:rFonts w:ascii="Arial" w:hAnsi="Arial" w:cs="Arial"/>
              </w:rPr>
              <w:t>scale 2026 data for the 2029 modeling</w:t>
            </w:r>
            <w:r w:rsidRPr="00740313">
              <w:rPr>
                <w:rFonts w:ascii="Arial" w:hAnsi="Arial" w:cs="Arial"/>
              </w:rPr>
              <w:t xml:space="preserve"> (e.g., Conservation Load Reduction, Emergency Response Service</w:t>
            </w:r>
            <w:r w:rsidR="009114E2" w:rsidRPr="00740313">
              <w:rPr>
                <w:rFonts w:ascii="Arial" w:hAnsi="Arial" w:cs="Arial"/>
              </w:rPr>
              <w:t xml:space="preserve"> procured relative to the cap</w:t>
            </w:r>
            <w:r w:rsidRPr="00740313">
              <w:rPr>
                <w:rFonts w:ascii="Arial" w:hAnsi="Arial" w:cs="Arial"/>
              </w:rPr>
              <w:t>)</w:t>
            </w:r>
          </w:p>
        </w:tc>
      </w:tr>
      <w:tr w:rsidR="00D40165" w14:paraId="4B951208" w14:textId="77777777" w:rsidTr="00D40165">
        <w:tc>
          <w:tcPr>
            <w:tcW w:w="535" w:type="dxa"/>
          </w:tcPr>
          <w:p w14:paraId="2432AB72" w14:textId="5406918B" w:rsidR="00D40165" w:rsidRPr="00740313" w:rsidRDefault="009114E2">
            <w:pPr>
              <w:rPr>
                <w:rFonts w:ascii="Arial" w:hAnsi="Arial" w:cs="Arial"/>
              </w:rPr>
            </w:pPr>
            <w:r w:rsidRPr="00740313">
              <w:rPr>
                <w:rFonts w:ascii="Arial" w:hAnsi="Arial" w:cs="Arial"/>
              </w:rPr>
              <w:t>17</w:t>
            </w:r>
          </w:p>
        </w:tc>
        <w:tc>
          <w:tcPr>
            <w:tcW w:w="12955" w:type="dxa"/>
          </w:tcPr>
          <w:p w14:paraId="71FF070D" w14:textId="383E972B" w:rsidR="009114E2" w:rsidRPr="00740313" w:rsidRDefault="009114E2" w:rsidP="009114E2">
            <w:pPr>
              <w:rPr>
                <w:rFonts w:ascii="Arial" w:hAnsi="Arial" w:cs="Arial"/>
              </w:rPr>
            </w:pPr>
            <w:r w:rsidRPr="00740313">
              <w:rPr>
                <w:rFonts w:ascii="Arial" w:hAnsi="Arial" w:cs="Arial"/>
              </w:rPr>
              <w:t>If there are proposed changes coming to the AS methodology,</w:t>
            </w:r>
            <w:r w:rsidRPr="00740313">
              <w:rPr>
                <w:rFonts w:ascii="Arial" w:hAnsi="Arial" w:cs="Arial"/>
              </w:rPr>
              <w:t xml:space="preserve"> </w:t>
            </w:r>
            <w:r w:rsidRPr="00740313">
              <w:rPr>
                <w:rFonts w:ascii="Arial" w:hAnsi="Arial" w:cs="Arial"/>
              </w:rPr>
              <w:t>including dynamic procurement and a probabilistic assessment, those should consider how AS</w:t>
            </w:r>
            <w:r w:rsidRPr="00740313">
              <w:rPr>
                <w:rFonts w:ascii="Arial" w:hAnsi="Arial" w:cs="Arial"/>
              </w:rPr>
              <w:t xml:space="preserve"> </w:t>
            </w:r>
            <w:r w:rsidRPr="00740313">
              <w:rPr>
                <w:rFonts w:ascii="Arial" w:hAnsi="Arial" w:cs="Arial"/>
              </w:rPr>
              <w:t>quantities will change over the future study years (2027-2029). Further, PURA §39. 159(b) and (c)</w:t>
            </w:r>
            <w:r w:rsidRPr="00740313">
              <w:rPr>
                <w:rFonts w:ascii="Arial" w:hAnsi="Arial" w:cs="Arial"/>
              </w:rPr>
              <w:t xml:space="preserve"> </w:t>
            </w:r>
            <w:r w:rsidRPr="00740313">
              <w:rPr>
                <w:rFonts w:ascii="Arial" w:hAnsi="Arial" w:cs="Arial"/>
              </w:rPr>
              <w:t>require ERCOT to achieve reliability objectives through AS and reliability services from dispatchable</w:t>
            </w:r>
          </w:p>
          <w:p w14:paraId="46E7F454" w14:textId="65540024" w:rsidR="00D40165" w:rsidRPr="00740313" w:rsidRDefault="009114E2" w:rsidP="009114E2">
            <w:pPr>
              <w:rPr>
                <w:rFonts w:ascii="Arial" w:hAnsi="Arial" w:cs="Arial"/>
              </w:rPr>
            </w:pPr>
            <w:r w:rsidRPr="00740313">
              <w:rPr>
                <w:rFonts w:ascii="Arial" w:hAnsi="Arial" w:cs="Arial"/>
              </w:rPr>
              <w:t>resources. Whether it is decided that ERCOT should continue to procure to meet a Watch or some</w:t>
            </w:r>
            <w:r w:rsidRPr="00740313">
              <w:rPr>
                <w:rFonts w:ascii="Arial" w:hAnsi="Arial" w:cs="Arial"/>
              </w:rPr>
              <w:t xml:space="preserve"> </w:t>
            </w:r>
            <w:r w:rsidRPr="00740313">
              <w:rPr>
                <w:rFonts w:ascii="Arial" w:hAnsi="Arial" w:cs="Arial"/>
              </w:rPr>
              <w:t>lower value of reserves, there should be a way to account for which AS quantities will meet the</w:t>
            </w:r>
            <w:r w:rsidRPr="00740313">
              <w:rPr>
                <w:rFonts w:ascii="Arial" w:hAnsi="Arial" w:cs="Arial"/>
              </w:rPr>
              <w:t xml:space="preserve"> </w:t>
            </w:r>
            <w:r w:rsidRPr="00740313">
              <w:rPr>
                <w:rFonts w:ascii="Arial" w:hAnsi="Arial" w:cs="Arial"/>
              </w:rPr>
              <w:t>reliability standard over time.</w:t>
            </w:r>
          </w:p>
        </w:tc>
      </w:tr>
    </w:tbl>
    <w:p w14:paraId="5BD42AC8" w14:textId="77777777" w:rsidR="00E6487B" w:rsidRDefault="00E6487B"/>
    <w:sectPr w:rsidR="00E6487B" w:rsidSect="00740313">
      <w:headerReference w:type="default" r:id="rId7"/>
      <w:footerReference w:type="default" r:id="rId8"/>
      <w:headerReference w:type="first" r:id="rId9"/>
      <w:footerReference w:type="first" r:id="rId10"/>
      <w:pgSz w:w="15840" w:h="12240" w:orient="landscape"/>
      <w:pgMar w:top="630" w:right="1440" w:bottom="1170" w:left="1440" w:header="720" w:footer="1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CCB3" w14:textId="77777777" w:rsidR="00182A0D" w:rsidRDefault="00182A0D" w:rsidP="00182A0D">
      <w:pPr>
        <w:spacing w:after="0" w:line="240" w:lineRule="auto"/>
      </w:pPr>
      <w:r>
        <w:separator/>
      </w:r>
    </w:p>
  </w:endnote>
  <w:endnote w:type="continuationSeparator" w:id="0">
    <w:p w14:paraId="13147454" w14:textId="77777777" w:rsidR="00182A0D" w:rsidRDefault="00182A0D" w:rsidP="0018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241E" w14:textId="1A3EDCBC" w:rsidR="00740313" w:rsidRDefault="00740313" w:rsidP="00740313">
    <w:pPr>
      <w:pStyle w:val="Footer"/>
    </w:pPr>
    <w:r>
      <w:t>PUBLIC</w:t>
    </w:r>
    <w:r>
      <w:tab/>
      <w:t xml:space="preserve">                                                                            </w:t>
    </w:r>
    <w:sdt>
      <w:sdtPr>
        <w:id w:val="-9130046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30B57EC" w14:textId="291E918A" w:rsidR="00740313" w:rsidRDefault="00740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272373"/>
      <w:docPartObj>
        <w:docPartGallery w:val="Page Numbers (Bottom of Page)"/>
        <w:docPartUnique/>
      </w:docPartObj>
    </w:sdtPr>
    <w:sdtEndPr>
      <w:rPr>
        <w:noProof/>
      </w:rPr>
    </w:sdtEndPr>
    <w:sdtContent>
      <w:p w14:paraId="07C178E6" w14:textId="6DC21079" w:rsidR="00740313" w:rsidRDefault="00740313" w:rsidP="00740313">
        <w:pPr>
          <w:pStyle w:val="Footer"/>
        </w:pPr>
        <w:r>
          <w:t>PUBLIC</w:t>
        </w:r>
        <w:r>
          <w:tab/>
          <w:t xml:space="preserve">                                                                   </w:t>
        </w:r>
        <w:r>
          <w:fldChar w:fldCharType="begin"/>
        </w:r>
        <w:r>
          <w:instrText xml:space="preserve"> PAGE   \* MERGEFORMAT </w:instrText>
        </w:r>
        <w:r>
          <w:fldChar w:fldCharType="separate"/>
        </w:r>
        <w:r>
          <w:rPr>
            <w:noProof/>
          </w:rPr>
          <w:t>2</w:t>
        </w:r>
        <w:r>
          <w:rPr>
            <w:noProof/>
          </w:rPr>
          <w:fldChar w:fldCharType="end"/>
        </w:r>
      </w:p>
    </w:sdtContent>
  </w:sdt>
  <w:p w14:paraId="173EA33B" w14:textId="1C575248" w:rsidR="00740313" w:rsidRDefault="00740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8F04" w14:textId="77777777" w:rsidR="00182A0D" w:rsidRDefault="00182A0D" w:rsidP="00182A0D">
      <w:pPr>
        <w:spacing w:after="0" w:line="240" w:lineRule="auto"/>
      </w:pPr>
      <w:r>
        <w:separator/>
      </w:r>
    </w:p>
  </w:footnote>
  <w:footnote w:type="continuationSeparator" w:id="0">
    <w:p w14:paraId="4DC9B909" w14:textId="77777777" w:rsidR="00182A0D" w:rsidRDefault="00182A0D" w:rsidP="0018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7E87" w14:textId="7A3D91D5" w:rsidR="00182A0D" w:rsidRDefault="00182A0D">
    <w:pPr>
      <w:pStyle w:val="Header"/>
    </w:pPr>
  </w:p>
  <w:p w14:paraId="0008391C" w14:textId="77777777" w:rsidR="00182A0D" w:rsidRDefault="00182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14D0" w14:textId="271091FD" w:rsidR="00182A0D" w:rsidRDefault="00182A0D">
    <w:pPr>
      <w:pStyle w:val="Header"/>
    </w:pPr>
    <w:r>
      <w:rPr>
        <w:noProof/>
      </w:rPr>
      <w:drawing>
        <wp:inline distT="0" distB="0" distL="0" distR="0" wp14:anchorId="41BD6942" wp14:editId="1A7BD45B">
          <wp:extent cx="1817914" cy="908957"/>
          <wp:effectExtent l="0" t="0" r="0" b="0"/>
          <wp:docPr id="151506437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66578" name="Picture 1" descr="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782" cy="9158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ED7"/>
    <w:multiLevelType w:val="hybridMultilevel"/>
    <w:tmpl w:val="76DC6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C61F10"/>
    <w:multiLevelType w:val="hybridMultilevel"/>
    <w:tmpl w:val="4C8A99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946EC"/>
    <w:multiLevelType w:val="hybridMultilevel"/>
    <w:tmpl w:val="12768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BA5B27"/>
    <w:multiLevelType w:val="hybridMultilevel"/>
    <w:tmpl w:val="63DE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F7057"/>
    <w:multiLevelType w:val="hybridMultilevel"/>
    <w:tmpl w:val="02D29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961A08"/>
    <w:multiLevelType w:val="hybridMultilevel"/>
    <w:tmpl w:val="AD60A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657CC4"/>
    <w:multiLevelType w:val="hybridMultilevel"/>
    <w:tmpl w:val="7CC04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6E4EF5"/>
    <w:multiLevelType w:val="hybridMultilevel"/>
    <w:tmpl w:val="1C208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6739F7"/>
    <w:multiLevelType w:val="hybridMultilevel"/>
    <w:tmpl w:val="E5A46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027C3D"/>
    <w:multiLevelType w:val="hybridMultilevel"/>
    <w:tmpl w:val="0CCE7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EE5ABB"/>
    <w:multiLevelType w:val="hybridMultilevel"/>
    <w:tmpl w:val="F70E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9616194">
    <w:abstractNumId w:val="0"/>
  </w:num>
  <w:num w:numId="2" w16cid:durableId="205068614">
    <w:abstractNumId w:val="7"/>
  </w:num>
  <w:num w:numId="3" w16cid:durableId="826168321">
    <w:abstractNumId w:val="1"/>
  </w:num>
  <w:num w:numId="4" w16cid:durableId="1839880110">
    <w:abstractNumId w:val="9"/>
  </w:num>
  <w:num w:numId="5" w16cid:durableId="1686638553">
    <w:abstractNumId w:val="4"/>
  </w:num>
  <w:num w:numId="6" w16cid:durableId="1383556722">
    <w:abstractNumId w:val="8"/>
  </w:num>
  <w:num w:numId="7" w16cid:durableId="1504465888">
    <w:abstractNumId w:val="10"/>
  </w:num>
  <w:num w:numId="8" w16cid:durableId="283268937">
    <w:abstractNumId w:val="6"/>
  </w:num>
  <w:num w:numId="9" w16cid:durableId="372005928">
    <w:abstractNumId w:val="5"/>
  </w:num>
  <w:num w:numId="10" w16cid:durableId="1321470082">
    <w:abstractNumId w:val="2"/>
  </w:num>
  <w:num w:numId="11" w16cid:durableId="1539706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77"/>
    <w:rsid w:val="000256A8"/>
    <w:rsid w:val="000556B4"/>
    <w:rsid w:val="00080830"/>
    <w:rsid w:val="000A3525"/>
    <w:rsid w:val="000E4D46"/>
    <w:rsid w:val="00160AE3"/>
    <w:rsid w:val="00182A0D"/>
    <w:rsid w:val="00214C00"/>
    <w:rsid w:val="002F4A2D"/>
    <w:rsid w:val="00337C48"/>
    <w:rsid w:val="00363D77"/>
    <w:rsid w:val="003B3C8A"/>
    <w:rsid w:val="004513EA"/>
    <w:rsid w:val="004773F2"/>
    <w:rsid w:val="00482F15"/>
    <w:rsid w:val="004B28FE"/>
    <w:rsid w:val="00500B1E"/>
    <w:rsid w:val="00511EC9"/>
    <w:rsid w:val="00583606"/>
    <w:rsid w:val="005D4A9F"/>
    <w:rsid w:val="00740313"/>
    <w:rsid w:val="00757962"/>
    <w:rsid w:val="00775FB4"/>
    <w:rsid w:val="00791842"/>
    <w:rsid w:val="00794E9D"/>
    <w:rsid w:val="007B1FDF"/>
    <w:rsid w:val="007F7BA4"/>
    <w:rsid w:val="00836A73"/>
    <w:rsid w:val="008753C0"/>
    <w:rsid w:val="008A29A7"/>
    <w:rsid w:val="009114E2"/>
    <w:rsid w:val="009F5599"/>
    <w:rsid w:val="00AB0882"/>
    <w:rsid w:val="00AE1DE4"/>
    <w:rsid w:val="00C044C7"/>
    <w:rsid w:val="00C05FA8"/>
    <w:rsid w:val="00C86912"/>
    <w:rsid w:val="00CB42FB"/>
    <w:rsid w:val="00D40165"/>
    <w:rsid w:val="00DA1556"/>
    <w:rsid w:val="00DF25B2"/>
    <w:rsid w:val="00DF4CC8"/>
    <w:rsid w:val="00E33A1B"/>
    <w:rsid w:val="00E6487B"/>
    <w:rsid w:val="00E91BA4"/>
    <w:rsid w:val="00E9229A"/>
    <w:rsid w:val="00F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405ED"/>
  <w15:chartTrackingRefBased/>
  <w15:docId w15:val="{76393894-FD2A-46C4-924A-29CA2FB7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D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D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D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D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D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D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D77"/>
    <w:rPr>
      <w:rFonts w:eastAsiaTheme="majorEastAsia" w:cstheme="majorBidi"/>
      <w:color w:val="272727" w:themeColor="text1" w:themeTint="D8"/>
    </w:rPr>
  </w:style>
  <w:style w:type="paragraph" w:styleId="Title">
    <w:name w:val="Title"/>
    <w:basedOn w:val="Normal"/>
    <w:next w:val="Normal"/>
    <w:link w:val="TitleChar"/>
    <w:uiPriority w:val="10"/>
    <w:qFormat/>
    <w:rsid w:val="00363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D77"/>
    <w:pPr>
      <w:spacing w:before="160"/>
      <w:jc w:val="center"/>
    </w:pPr>
    <w:rPr>
      <w:i/>
      <w:iCs/>
      <w:color w:val="404040" w:themeColor="text1" w:themeTint="BF"/>
    </w:rPr>
  </w:style>
  <w:style w:type="character" w:customStyle="1" w:styleId="QuoteChar">
    <w:name w:val="Quote Char"/>
    <w:basedOn w:val="DefaultParagraphFont"/>
    <w:link w:val="Quote"/>
    <w:uiPriority w:val="29"/>
    <w:rsid w:val="00363D77"/>
    <w:rPr>
      <w:i/>
      <w:iCs/>
      <w:color w:val="404040" w:themeColor="text1" w:themeTint="BF"/>
    </w:rPr>
  </w:style>
  <w:style w:type="paragraph" w:styleId="ListParagraph">
    <w:name w:val="List Paragraph"/>
    <w:basedOn w:val="Normal"/>
    <w:uiPriority w:val="34"/>
    <w:qFormat/>
    <w:rsid w:val="00363D77"/>
    <w:pPr>
      <w:ind w:left="720"/>
      <w:contextualSpacing/>
    </w:pPr>
  </w:style>
  <w:style w:type="character" w:styleId="IntenseEmphasis">
    <w:name w:val="Intense Emphasis"/>
    <w:basedOn w:val="DefaultParagraphFont"/>
    <w:uiPriority w:val="21"/>
    <w:qFormat/>
    <w:rsid w:val="00363D77"/>
    <w:rPr>
      <w:i/>
      <w:iCs/>
      <w:color w:val="0F4761" w:themeColor="accent1" w:themeShade="BF"/>
    </w:rPr>
  </w:style>
  <w:style w:type="paragraph" w:styleId="IntenseQuote">
    <w:name w:val="Intense Quote"/>
    <w:basedOn w:val="Normal"/>
    <w:next w:val="Normal"/>
    <w:link w:val="IntenseQuoteChar"/>
    <w:uiPriority w:val="30"/>
    <w:qFormat/>
    <w:rsid w:val="00363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D77"/>
    <w:rPr>
      <w:i/>
      <w:iCs/>
      <w:color w:val="0F4761" w:themeColor="accent1" w:themeShade="BF"/>
    </w:rPr>
  </w:style>
  <w:style w:type="character" w:styleId="IntenseReference">
    <w:name w:val="Intense Reference"/>
    <w:basedOn w:val="DefaultParagraphFont"/>
    <w:uiPriority w:val="32"/>
    <w:qFormat/>
    <w:rsid w:val="00363D77"/>
    <w:rPr>
      <w:b/>
      <w:bCs/>
      <w:smallCaps/>
      <w:color w:val="0F4761" w:themeColor="accent1" w:themeShade="BF"/>
      <w:spacing w:val="5"/>
    </w:rPr>
  </w:style>
  <w:style w:type="table" w:styleId="TableGrid">
    <w:name w:val="Table Grid"/>
    <w:basedOn w:val="TableNormal"/>
    <w:uiPriority w:val="39"/>
    <w:rsid w:val="00363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A0D"/>
  </w:style>
  <w:style w:type="paragraph" w:styleId="Footer">
    <w:name w:val="footer"/>
    <w:basedOn w:val="Normal"/>
    <w:link w:val="FooterChar"/>
    <w:uiPriority w:val="99"/>
    <w:unhideWhenUsed/>
    <w:rsid w:val="00182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2042</Words>
  <Characters>12007</Characters>
  <Application>Microsoft Office Word</Application>
  <DocSecurity>0</DocSecurity>
  <Lines>218</Lines>
  <Paragraphs>104</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Warnken, Pete</dc:creator>
  <cp:keywords/>
  <dc:description/>
  <cp:lastModifiedBy>Warnken, Pete</cp:lastModifiedBy>
  <cp:revision>2</cp:revision>
  <dcterms:created xsi:type="dcterms:W3CDTF">2026-03-17T20:08:00Z</dcterms:created>
  <dcterms:modified xsi:type="dcterms:W3CDTF">2026-03-17T20:08:00Z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2026-03-17T00:58:18Z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b9fad384-b6d7-418e-bf86-a35e8fe92275</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