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66A4E3E6" w14:textId="77777777">
        <w:tc>
          <w:tcPr>
            <w:tcW w:w="1620" w:type="dxa"/>
            <w:tcBorders>
              <w:bottom w:val="single" w:sz="4" w:space="0" w:color="auto"/>
            </w:tcBorders>
            <w:shd w:val="clear" w:color="auto" w:fill="FFFFFF"/>
            <w:vAlign w:val="center"/>
          </w:tcPr>
          <w:p w14:paraId="186EA22E" w14:textId="4194CB4B"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67507136" w14:textId="007860F8" w:rsidR="00152993" w:rsidRDefault="009E6F56">
            <w:pPr>
              <w:pStyle w:val="Header"/>
            </w:pPr>
            <w:hyperlink r:id="rId7" w:history="1">
              <w:r w:rsidRPr="009E6F56">
                <w:rPr>
                  <w:rStyle w:val="Hyperlink"/>
                </w:rPr>
                <w:t>1310</w:t>
              </w:r>
            </w:hyperlink>
          </w:p>
        </w:tc>
        <w:tc>
          <w:tcPr>
            <w:tcW w:w="900" w:type="dxa"/>
            <w:tcBorders>
              <w:bottom w:val="single" w:sz="4" w:space="0" w:color="auto"/>
            </w:tcBorders>
            <w:shd w:val="clear" w:color="auto" w:fill="FFFFFF"/>
            <w:vAlign w:val="center"/>
          </w:tcPr>
          <w:p w14:paraId="14140ECB" w14:textId="77777777" w:rsidR="00152993" w:rsidRDefault="00EE6681">
            <w:pPr>
              <w:pStyle w:val="Header"/>
            </w:pPr>
            <w:r>
              <w:t>N</w:t>
            </w:r>
            <w:r w:rsidR="00152993">
              <w:t>PRR Title</w:t>
            </w:r>
          </w:p>
        </w:tc>
        <w:tc>
          <w:tcPr>
            <w:tcW w:w="6660" w:type="dxa"/>
            <w:tcBorders>
              <w:bottom w:val="single" w:sz="4" w:space="0" w:color="auto"/>
            </w:tcBorders>
            <w:vAlign w:val="center"/>
          </w:tcPr>
          <w:p w14:paraId="608843FB" w14:textId="225408BB" w:rsidR="00152993" w:rsidRDefault="009E6F56">
            <w:pPr>
              <w:pStyle w:val="Header"/>
            </w:pPr>
            <w:bookmarkStart w:id="0" w:name="_Hlk223628656"/>
            <w:r w:rsidRPr="009E6F56">
              <w:t>Dispatchable Reliability Reserve Service Plus Energy Storage Resource Participation and Release Factor</w:t>
            </w:r>
            <w:bookmarkEnd w:id="0"/>
          </w:p>
        </w:tc>
      </w:tr>
      <w:tr w:rsidR="00152993" w14:paraId="72576CEC" w14:textId="77777777">
        <w:trPr>
          <w:trHeight w:val="413"/>
        </w:trPr>
        <w:tc>
          <w:tcPr>
            <w:tcW w:w="2880" w:type="dxa"/>
            <w:gridSpan w:val="2"/>
            <w:tcBorders>
              <w:top w:val="nil"/>
              <w:left w:val="nil"/>
              <w:bottom w:val="single" w:sz="4" w:space="0" w:color="auto"/>
              <w:right w:val="nil"/>
            </w:tcBorders>
            <w:vAlign w:val="center"/>
          </w:tcPr>
          <w:p w14:paraId="5EC7E81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61F85A9" w14:textId="77777777" w:rsidR="00152993" w:rsidRDefault="00152993">
            <w:pPr>
              <w:pStyle w:val="NormalArial"/>
            </w:pPr>
          </w:p>
        </w:tc>
      </w:tr>
      <w:tr w:rsidR="00152993" w14:paraId="4E1C13CE"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EFA9358"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DF36951" w14:textId="25DB3D84" w:rsidR="00152993" w:rsidRDefault="00AD77A6">
            <w:pPr>
              <w:pStyle w:val="NormalArial"/>
            </w:pPr>
            <w:r>
              <w:t>March</w:t>
            </w:r>
            <w:r w:rsidR="00E91436">
              <w:t xml:space="preserve"> </w:t>
            </w:r>
            <w:r>
              <w:t>6</w:t>
            </w:r>
            <w:r w:rsidR="00E91436">
              <w:t>,</w:t>
            </w:r>
            <w:r w:rsidR="009E6F56">
              <w:t xml:space="preserve"> 2026</w:t>
            </w:r>
          </w:p>
        </w:tc>
      </w:tr>
    </w:tbl>
    <w:p w14:paraId="3E141AF0" w14:textId="77777777" w:rsidR="00F02486" w:rsidRDefault="00F0248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02486" w14:paraId="047DC511" w14:textId="77777777" w:rsidTr="00F548DE">
        <w:trPr>
          <w:trHeight w:val="440"/>
        </w:trPr>
        <w:tc>
          <w:tcPr>
            <w:tcW w:w="10440" w:type="dxa"/>
            <w:gridSpan w:val="2"/>
            <w:tcBorders>
              <w:top w:val="single" w:sz="4" w:space="0" w:color="auto"/>
            </w:tcBorders>
            <w:shd w:val="clear" w:color="auto" w:fill="FFFFFF"/>
            <w:vAlign w:val="center"/>
          </w:tcPr>
          <w:p w14:paraId="0741DB11" w14:textId="77777777" w:rsidR="00F02486" w:rsidRDefault="00F02486" w:rsidP="00F548DE">
            <w:pPr>
              <w:pStyle w:val="Header"/>
              <w:jc w:val="center"/>
            </w:pPr>
            <w:r>
              <w:t>Submitter’s Information</w:t>
            </w:r>
          </w:p>
        </w:tc>
      </w:tr>
      <w:tr w:rsidR="00F02486" w14:paraId="3791A2E9" w14:textId="77777777" w:rsidTr="00F548DE">
        <w:trPr>
          <w:trHeight w:val="350"/>
        </w:trPr>
        <w:tc>
          <w:tcPr>
            <w:tcW w:w="2880" w:type="dxa"/>
            <w:shd w:val="clear" w:color="auto" w:fill="FFFFFF"/>
            <w:vAlign w:val="center"/>
          </w:tcPr>
          <w:p w14:paraId="67FDBEE4" w14:textId="77777777" w:rsidR="00F02486" w:rsidRPr="00EC55B3" w:rsidRDefault="00F02486" w:rsidP="00F548DE">
            <w:pPr>
              <w:pStyle w:val="Header"/>
            </w:pPr>
            <w:r w:rsidRPr="00EC55B3">
              <w:t>Name</w:t>
            </w:r>
          </w:p>
        </w:tc>
        <w:tc>
          <w:tcPr>
            <w:tcW w:w="7560" w:type="dxa"/>
            <w:vAlign w:val="center"/>
          </w:tcPr>
          <w:p w14:paraId="0C9126FE" w14:textId="77777777" w:rsidR="00F02486" w:rsidRDefault="00F02486" w:rsidP="00F548DE">
            <w:pPr>
              <w:pStyle w:val="NormalArial"/>
            </w:pPr>
            <w:r w:rsidRPr="00D21547">
              <w:t>Judd Messer, Texas Vice President / Charlie Hemmeline, Senior Director</w:t>
            </w:r>
          </w:p>
        </w:tc>
      </w:tr>
      <w:tr w:rsidR="00F02486" w14:paraId="3A66D2C9" w14:textId="77777777" w:rsidTr="00F548DE">
        <w:trPr>
          <w:trHeight w:val="350"/>
        </w:trPr>
        <w:tc>
          <w:tcPr>
            <w:tcW w:w="2880" w:type="dxa"/>
            <w:shd w:val="clear" w:color="auto" w:fill="FFFFFF"/>
            <w:vAlign w:val="center"/>
          </w:tcPr>
          <w:p w14:paraId="692386CE" w14:textId="77777777" w:rsidR="00F02486" w:rsidRPr="00EC55B3" w:rsidRDefault="00F02486" w:rsidP="00F548DE">
            <w:pPr>
              <w:pStyle w:val="Header"/>
            </w:pPr>
            <w:r w:rsidRPr="00EC55B3">
              <w:t>E-mail Address</w:t>
            </w:r>
          </w:p>
        </w:tc>
        <w:tc>
          <w:tcPr>
            <w:tcW w:w="7560" w:type="dxa"/>
            <w:vAlign w:val="center"/>
          </w:tcPr>
          <w:p w14:paraId="12F77597" w14:textId="77777777" w:rsidR="00F02486" w:rsidRDefault="00F02486" w:rsidP="00F548DE">
            <w:pPr>
              <w:pStyle w:val="NormalArial"/>
            </w:pPr>
            <w:hyperlink r:id="rId8" w:history="1">
              <w:r w:rsidRPr="00EB5C41">
                <w:rPr>
                  <w:rStyle w:val="Hyperlink"/>
                </w:rPr>
                <w:t>Judd.Messer@poweralliance.org</w:t>
              </w:r>
            </w:hyperlink>
            <w:r>
              <w:t xml:space="preserve"> </w:t>
            </w:r>
            <w:r w:rsidRPr="00D21547">
              <w:t xml:space="preserve">/ </w:t>
            </w:r>
            <w:hyperlink r:id="rId9" w:history="1">
              <w:r w:rsidRPr="00EB5C41">
                <w:rPr>
                  <w:rStyle w:val="Hyperlink"/>
                </w:rPr>
                <w:t>chemmeline@cleanpower.org</w:t>
              </w:r>
            </w:hyperlink>
            <w:r w:rsidRPr="00D21547">
              <w:t xml:space="preserve"> </w:t>
            </w:r>
          </w:p>
        </w:tc>
      </w:tr>
      <w:tr w:rsidR="00F02486" w14:paraId="31C6275E" w14:textId="77777777" w:rsidTr="00F548DE">
        <w:trPr>
          <w:trHeight w:val="350"/>
        </w:trPr>
        <w:tc>
          <w:tcPr>
            <w:tcW w:w="2880" w:type="dxa"/>
            <w:shd w:val="clear" w:color="auto" w:fill="FFFFFF"/>
            <w:vAlign w:val="center"/>
          </w:tcPr>
          <w:p w14:paraId="15B133F3" w14:textId="77777777" w:rsidR="00F02486" w:rsidRPr="00EC55B3" w:rsidRDefault="00F02486" w:rsidP="00F548DE">
            <w:pPr>
              <w:pStyle w:val="Header"/>
            </w:pPr>
            <w:r w:rsidRPr="00EC55B3">
              <w:t>Company</w:t>
            </w:r>
          </w:p>
        </w:tc>
        <w:tc>
          <w:tcPr>
            <w:tcW w:w="7560" w:type="dxa"/>
            <w:vAlign w:val="center"/>
          </w:tcPr>
          <w:p w14:paraId="4A22BD54" w14:textId="77777777" w:rsidR="00F02486" w:rsidRDefault="00F02486" w:rsidP="00F548DE">
            <w:pPr>
              <w:pStyle w:val="NormalArial"/>
            </w:pPr>
            <w:r w:rsidRPr="00D21547">
              <w:t>Advanced Power Alliance / American Clean Power Association</w:t>
            </w:r>
          </w:p>
        </w:tc>
      </w:tr>
      <w:tr w:rsidR="00F02486" w14:paraId="259A684C" w14:textId="77777777" w:rsidTr="00F548DE">
        <w:trPr>
          <w:trHeight w:val="350"/>
        </w:trPr>
        <w:tc>
          <w:tcPr>
            <w:tcW w:w="2880" w:type="dxa"/>
            <w:tcBorders>
              <w:bottom w:val="single" w:sz="4" w:space="0" w:color="auto"/>
            </w:tcBorders>
            <w:shd w:val="clear" w:color="auto" w:fill="FFFFFF"/>
            <w:vAlign w:val="center"/>
          </w:tcPr>
          <w:p w14:paraId="19E1118D" w14:textId="77777777" w:rsidR="00F02486" w:rsidRPr="00EC55B3" w:rsidRDefault="00F02486" w:rsidP="00F548DE">
            <w:pPr>
              <w:pStyle w:val="Header"/>
            </w:pPr>
            <w:r w:rsidRPr="00EC55B3">
              <w:t>Phone Number</w:t>
            </w:r>
          </w:p>
        </w:tc>
        <w:tc>
          <w:tcPr>
            <w:tcW w:w="7560" w:type="dxa"/>
            <w:tcBorders>
              <w:bottom w:val="single" w:sz="4" w:space="0" w:color="auto"/>
            </w:tcBorders>
            <w:vAlign w:val="center"/>
          </w:tcPr>
          <w:p w14:paraId="6A6AFDE0" w14:textId="77777777" w:rsidR="00F02486" w:rsidRDefault="00F02486" w:rsidP="00F548DE">
            <w:pPr>
              <w:pStyle w:val="NormalArial"/>
            </w:pPr>
            <w:r w:rsidRPr="00496728">
              <w:t>254-230-0620 / 202-383-2500</w:t>
            </w:r>
          </w:p>
        </w:tc>
      </w:tr>
      <w:tr w:rsidR="00F02486" w14:paraId="1534CF05" w14:textId="77777777" w:rsidTr="00F548DE">
        <w:trPr>
          <w:trHeight w:val="350"/>
        </w:trPr>
        <w:tc>
          <w:tcPr>
            <w:tcW w:w="2880" w:type="dxa"/>
            <w:shd w:val="clear" w:color="auto" w:fill="FFFFFF"/>
            <w:vAlign w:val="center"/>
          </w:tcPr>
          <w:p w14:paraId="2F9FF0FF" w14:textId="77777777" w:rsidR="00F02486" w:rsidRPr="00EC55B3" w:rsidRDefault="00F02486" w:rsidP="00F548DE">
            <w:pPr>
              <w:pStyle w:val="Header"/>
            </w:pPr>
            <w:r>
              <w:t>Cell</w:t>
            </w:r>
            <w:r w:rsidRPr="00EC55B3">
              <w:t xml:space="preserve"> Number</w:t>
            </w:r>
          </w:p>
        </w:tc>
        <w:tc>
          <w:tcPr>
            <w:tcW w:w="7560" w:type="dxa"/>
            <w:vAlign w:val="center"/>
          </w:tcPr>
          <w:p w14:paraId="25ED21C2" w14:textId="77777777" w:rsidR="00F02486" w:rsidRDefault="00F02486" w:rsidP="00F548DE">
            <w:pPr>
              <w:pStyle w:val="NormalArial"/>
            </w:pPr>
          </w:p>
        </w:tc>
      </w:tr>
      <w:tr w:rsidR="00F02486" w14:paraId="2A9E1B03" w14:textId="77777777" w:rsidTr="00F548DE">
        <w:trPr>
          <w:trHeight w:val="350"/>
        </w:trPr>
        <w:tc>
          <w:tcPr>
            <w:tcW w:w="2880" w:type="dxa"/>
            <w:tcBorders>
              <w:bottom w:val="single" w:sz="4" w:space="0" w:color="auto"/>
            </w:tcBorders>
            <w:shd w:val="clear" w:color="auto" w:fill="FFFFFF"/>
            <w:vAlign w:val="center"/>
          </w:tcPr>
          <w:p w14:paraId="25F6A77E" w14:textId="77777777" w:rsidR="00F02486" w:rsidRPr="00EC55B3" w:rsidDel="00075A94" w:rsidRDefault="00F02486" w:rsidP="00F548DE">
            <w:pPr>
              <w:pStyle w:val="Header"/>
            </w:pPr>
            <w:r>
              <w:t>Market Segment</w:t>
            </w:r>
          </w:p>
        </w:tc>
        <w:tc>
          <w:tcPr>
            <w:tcW w:w="7560" w:type="dxa"/>
            <w:tcBorders>
              <w:bottom w:val="single" w:sz="4" w:space="0" w:color="auto"/>
            </w:tcBorders>
            <w:vAlign w:val="center"/>
          </w:tcPr>
          <w:p w14:paraId="02845ADA" w14:textId="77777777" w:rsidR="00F02486" w:rsidRDefault="00F02486" w:rsidP="00F548DE">
            <w:pPr>
              <w:pStyle w:val="NormalArial"/>
            </w:pPr>
            <w:r>
              <w:t>Independent Generator</w:t>
            </w:r>
          </w:p>
        </w:tc>
      </w:tr>
    </w:tbl>
    <w:p w14:paraId="7C709CF2" w14:textId="77777777" w:rsidR="00F02486" w:rsidRDefault="00F02486">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48CF8023" w14:textId="77777777" w:rsidTr="00B5080A">
        <w:trPr>
          <w:trHeight w:val="422"/>
          <w:jc w:val="center"/>
        </w:trPr>
        <w:tc>
          <w:tcPr>
            <w:tcW w:w="10440" w:type="dxa"/>
            <w:vAlign w:val="center"/>
          </w:tcPr>
          <w:p w14:paraId="59AFD01B" w14:textId="77777777" w:rsidR="00075A94" w:rsidRPr="00075A94" w:rsidRDefault="00075A94" w:rsidP="00B5080A">
            <w:pPr>
              <w:pStyle w:val="Header"/>
              <w:jc w:val="center"/>
            </w:pPr>
            <w:r w:rsidRPr="00075A94">
              <w:t>Comments</w:t>
            </w:r>
          </w:p>
        </w:tc>
      </w:tr>
    </w:tbl>
    <w:p w14:paraId="7CDA438E" w14:textId="1E71F39A" w:rsidR="001378F7" w:rsidRPr="001378F7" w:rsidRDefault="001378F7" w:rsidP="001378F7">
      <w:pPr>
        <w:spacing w:before="120" w:after="120"/>
        <w:jc w:val="both"/>
        <w:rPr>
          <w:rFonts w:ascii="Arial" w:hAnsi="Arial"/>
        </w:rPr>
      </w:pPr>
      <w:r w:rsidRPr="001378F7">
        <w:rPr>
          <w:rFonts w:ascii="Arial" w:hAnsi="Arial"/>
        </w:rPr>
        <w:t xml:space="preserve">The Advanced Power Alliance (APA) and American Clean Power Association (ACP) appreciate the opportunity to provide comments on the questions ERCOT filed on the evening of </w:t>
      </w:r>
      <w:bookmarkStart w:id="1" w:name="_Hlk223628756"/>
      <w:r w:rsidRPr="001378F7">
        <w:rPr>
          <w:rFonts w:ascii="Arial" w:hAnsi="Arial"/>
        </w:rPr>
        <w:t>Friday, February 27, 2026</w:t>
      </w:r>
      <w:r w:rsidR="0002445A">
        <w:rPr>
          <w:rFonts w:ascii="Arial" w:hAnsi="Arial"/>
        </w:rPr>
        <w:t>,</w:t>
      </w:r>
      <w:r w:rsidRPr="001378F7">
        <w:rPr>
          <w:rFonts w:ascii="Arial" w:hAnsi="Arial"/>
        </w:rPr>
        <w:t xml:space="preserve"> in advance of the Monday, March 9 D</w:t>
      </w:r>
      <w:r w:rsidR="0002445A">
        <w:rPr>
          <w:rFonts w:ascii="Arial" w:hAnsi="Arial"/>
        </w:rPr>
        <w:t>ispatchable Reliability Reserve Service (D</w:t>
      </w:r>
      <w:r w:rsidRPr="001378F7">
        <w:rPr>
          <w:rFonts w:ascii="Arial" w:hAnsi="Arial"/>
        </w:rPr>
        <w:t>RRS</w:t>
      </w:r>
      <w:r w:rsidR="0002445A">
        <w:rPr>
          <w:rFonts w:ascii="Arial" w:hAnsi="Arial"/>
        </w:rPr>
        <w:t>)</w:t>
      </w:r>
      <w:r w:rsidRPr="001378F7">
        <w:rPr>
          <w:rFonts w:ascii="Arial" w:hAnsi="Arial"/>
        </w:rPr>
        <w:t xml:space="preserve"> Workshop 3</w:t>
      </w:r>
      <w:bookmarkEnd w:id="1"/>
      <w:r w:rsidR="0002445A">
        <w:rPr>
          <w:rFonts w:ascii="Arial" w:hAnsi="Arial"/>
        </w:rPr>
        <w:t xml:space="preserve"> and related </w:t>
      </w:r>
      <w:r w:rsidR="0002445A" w:rsidRPr="005A11E9">
        <w:rPr>
          <w:rFonts w:ascii="Arial" w:hAnsi="Arial"/>
        </w:rPr>
        <w:t>Nodal Protocol Revision Request (NPRR)</w:t>
      </w:r>
      <w:r w:rsidR="0002445A">
        <w:rPr>
          <w:rFonts w:ascii="Arial" w:hAnsi="Arial"/>
        </w:rPr>
        <w:t xml:space="preserve"> </w:t>
      </w:r>
      <w:r w:rsidR="0002445A" w:rsidRPr="005A11E9">
        <w:rPr>
          <w:rFonts w:ascii="Arial" w:hAnsi="Arial"/>
        </w:rPr>
        <w:t>1310</w:t>
      </w:r>
      <w:r w:rsidR="0002445A">
        <w:rPr>
          <w:rFonts w:ascii="Arial" w:hAnsi="Arial"/>
        </w:rPr>
        <w:t>.</w:t>
      </w:r>
      <w:r w:rsidR="0002445A" w:rsidRPr="005A11E9">
        <w:rPr>
          <w:rFonts w:ascii="Arial" w:hAnsi="Arial"/>
        </w:rPr>
        <w:t xml:space="preserve"> </w:t>
      </w:r>
      <w:r w:rsidRPr="001378F7">
        <w:rPr>
          <w:rFonts w:ascii="Arial" w:hAnsi="Arial"/>
        </w:rPr>
        <w:t>We believe that stakeholders should adopt a performance</w:t>
      </w:r>
      <w:r w:rsidRPr="001378F7">
        <w:rPr>
          <w:rFonts w:ascii="Cambria Math" w:hAnsi="Cambria Math" w:cs="Cambria Math"/>
        </w:rPr>
        <w:t>‑</w:t>
      </w:r>
      <w:r w:rsidRPr="001378F7">
        <w:rPr>
          <w:rFonts w:ascii="Arial" w:hAnsi="Arial"/>
        </w:rPr>
        <w:t xml:space="preserve">based interpretation of PURA </w:t>
      </w:r>
      <w:r w:rsidRPr="001378F7">
        <w:rPr>
          <w:rFonts w:ascii="Arial" w:hAnsi="Arial" w:cs="Arial"/>
        </w:rPr>
        <w:t>§</w:t>
      </w:r>
      <w:r w:rsidRPr="001378F7">
        <w:rPr>
          <w:rFonts w:ascii="Arial" w:hAnsi="Arial"/>
        </w:rPr>
        <w:t>39.159 that aligns with ERCOT</w:t>
      </w:r>
      <w:r w:rsidRPr="001378F7">
        <w:rPr>
          <w:rFonts w:ascii="Arial" w:hAnsi="Arial" w:cs="Arial"/>
        </w:rPr>
        <w:t>’</w:t>
      </w:r>
      <w:r w:rsidRPr="001378F7">
        <w:rPr>
          <w:rFonts w:ascii="Arial" w:hAnsi="Arial"/>
        </w:rPr>
        <w:t>s long</w:t>
      </w:r>
      <w:r w:rsidRPr="001378F7">
        <w:rPr>
          <w:rFonts w:ascii="Cambria Math" w:hAnsi="Cambria Math" w:cs="Cambria Math"/>
        </w:rPr>
        <w:t>‑</w:t>
      </w:r>
      <w:r w:rsidRPr="001378F7">
        <w:rPr>
          <w:rFonts w:ascii="Arial" w:hAnsi="Arial"/>
        </w:rPr>
        <w:t>standing operational framework and the physical characteristics of energy storage resources</w:t>
      </w:r>
      <w:r w:rsidR="00596C1B">
        <w:rPr>
          <w:rFonts w:ascii="Arial" w:hAnsi="Arial"/>
        </w:rPr>
        <w:t xml:space="preserve"> (ESRs)</w:t>
      </w:r>
      <w:r w:rsidRPr="001378F7">
        <w:rPr>
          <w:rFonts w:ascii="Arial" w:hAnsi="Arial"/>
        </w:rPr>
        <w:t>. DRRS was created to ensure sustained multi</w:t>
      </w:r>
      <w:r w:rsidRPr="001378F7">
        <w:rPr>
          <w:rFonts w:ascii="Cambria Math" w:hAnsi="Cambria Math" w:cs="Cambria Math"/>
        </w:rPr>
        <w:t>‑</w:t>
      </w:r>
      <w:r w:rsidRPr="001378F7">
        <w:rPr>
          <w:rFonts w:ascii="Arial" w:hAnsi="Arial"/>
        </w:rPr>
        <w:t>hour capability during periods of intra</w:t>
      </w:r>
      <w:r w:rsidRPr="001378F7">
        <w:rPr>
          <w:rFonts w:ascii="Cambria Math" w:hAnsi="Cambria Math" w:cs="Cambria Math"/>
        </w:rPr>
        <w:t>‑</w:t>
      </w:r>
      <w:r w:rsidRPr="001378F7">
        <w:rPr>
          <w:rFonts w:ascii="Arial" w:hAnsi="Arial"/>
        </w:rPr>
        <w:t>day uncertainty, not to function as a nameplate</w:t>
      </w:r>
      <w:r w:rsidRPr="001378F7">
        <w:rPr>
          <w:rFonts w:ascii="Cambria Math" w:hAnsi="Cambria Math" w:cs="Cambria Math"/>
        </w:rPr>
        <w:t>‑</w:t>
      </w:r>
      <w:r w:rsidRPr="001378F7">
        <w:rPr>
          <w:rFonts w:ascii="Arial" w:hAnsi="Arial"/>
        </w:rPr>
        <w:t>based screening tool or a long</w:t>
      </w:r>
      <w:r w:rsidRPr="001378F7">
        <w:rPr>
          <w:rFonts w:ascii="Cambria Math" w:hAnsi="Cambria Math" w:cs="Cambria Math"/>
        </w:rPr>
        <w:t>‑</w:t>
      </w:r>
      <w:r w:rsidRPr="001378F7">
        <w:rPr>
          <w:rFonts w:ascii="Arial" w:hAnsi="Arial"/>
        </w:rPr>
        <w:t>duration capacity product. For all resource types, ERCOT defines High Sustained Limit (HSL) as an operationally validated measure of sustained capability, not a manufacturer rating. Applying a nameplate</w:t>
      </w:r>
      <w:r w:rsidRPr="001378F7">
        <w:rPr>
          <w:rFonts w:ascii="Cambria Math" w:hAnsi="Cambria Math" w:cs="Cambria Math"/>
        </w:rPr>
        <w:t>‑</w:t>
      </w:r>
      <w:r w:rsidRPr="001378F7">
        <w:rPr>
          <w:rFonts w:ascii="Arial" w:hAnsi="Arial"/>
        </w:rPr>
        <w:t>based HSL requirement uniquely to storage would contradict this engineering</w:t>
      </w:r>
      <w:r w:rsidRPr="001378F7">
        <w:rPr>
          <w:rFonts w:ascii="Cambria Math" w:hAnsi="Cambria Math" w:cs="Cambria Math"/>
        </w:rPr>
        <w:t>‑</w:t>
      </w:r>
      <w:r w:rsidRPr="001378F7">
        <w:rPr>
          <w:rFonts w:ascii="Arial" w:hAnsi="Arial"/>
        </w:rPr>
        <w:t>based definition, create inconsistent treatment across technologies, and exclude resources that can reliably provide four hours of sustained output at an appropriately qualified level.</w:t>
      </w:r>
      <w:r w:rsidR="00681DA4" w:rsidRPr="00681DA4">
        <w:rPr>
          <w:rFonts w:ascii="Arial" w:hAnsi="Arial"/>
        </w:rPr>
        <w:t xml:space="preserve"> </w:t>
      </w:r>
      <w:r w:rsidR="00681DA4" w:rsidRPr="001378F7">
        <w:rPr>
          <w:rFonts w:ascii="Arial" w:hAnsi="Arial"/>
        </w:rPr>
        <w:t>Restricting DRRS eligibility to nameplate</w:t>
      </w:r>
      <w:r w:rsidR="00681DA4" w:rsidRPr="001378F7">
        <w:rPr>
          <w:rFonts w:ascii="Cambria Math" w:hAnsi="Cambria Math" w:cs="Cambria Math"/>
        </w:rPr>
        <w:t>‑</w:t>
      </w:r>
      <w:r w:rsidR="00681DA4" w:rsidRPr="001378F7">
        <w:rPr>
          <w:rFonts w:ascii="Arial" w:hAnsi="Arial"/>
        </w:rPr>
        <w:t>based HSL would narrow participation, reduce competition, and increase consumer costs without improving reliability.</w:t>
      </w:r>
    </w:p>
    <w:p w14:paraId="353ADA57" w14:textId="7F6B0609" w:rsidR="001378F7" w:rsidRPr="001378F7" w:rsidRDefault="001378F7" w:rsidP="001378F7">
      <w:pPr>
        <w:spacing w:before="120" w:after="120"/>
        <w:jc w:val="both"/>
        <w:rPr>
          <w:rFonts w:ascii="Arial" w:hAnsi="Arial"/>
        </w:rPr>
      </w:pPr>
      <w:r w:rsidRPr="001378F7">
        <w:rPr>
          <w:rFonts w:ascii="Arial" w:hAnsi="Arial"/>
        </w:rPr>
        <w:t>Similarly, reading PURA §39.159(d)(2)(A) and (B) as a combined MW</w:t>
      </w:r>
      <w:r w:rsidRPr="001378F7">
        <w:rPr>
          <w:rFonts w:ascii="Cambria Math" w:hAnsi="Cambria Math" w:cs="Cambria Math"/>
        </w:rPr>
        <w:t>‑</w:t>
      </w:r>
      <w:r w:rsidRPr="001378F7">
        <w:rPr>
          <w:rFonts w:ascii="Arial" w:hAnsi="Arial"/>
        </w:rPr>
        <w:t>limiting formula would</w:t>
      </w:r>
      <w:r w:rsidR="003F00DA">
        <w:rPr>
          <w:rFonts w:ascii="Arial" w:hAnsi="Arial"/>
        </w:rPr>
        <w:t xml:space="preserve"> </w:t>
      </w:r>
      <w:r w:rsidRPr="001378F7">
        <w:rPr>
          <w:rFonts w:ascii="Arial" w:hAnsi="Arial"/>
        </w:rPr>
        <w:t>improperly merge two distinct statutory requirements, namely startup/dispatchability and sustained capability, that PURA treats separately. Such an interpretation would effectively convert DRRS into a long</w:t>
      </w:r>
      <w:r w:rsidRPr="001378F7">
        <w:rPr>
          <w:rFonts w:ascii="Cambria Math" w:hAnsi="Cambria Math" w:cs="Cambria Math"/>
        </w:rPr>
        <w:t>‑</w:t>
      </w:r>
      <w:r w:rsidRPr="001378F7">
        <w:rPr>
          <w:rFonts w:ascii="Arial" w:hAnsi="Arial"/>
        </w:rPr>
        <w:t>duration product, excluding resources that meet both requirements but at different MW levels. This would reduce market liquidity, raise procurement costs, and slow the deployment of resources capable of providing meaningful reliability benefits.</w:t>
      </w:r>
    </w:p>
    <w:p w14:paraId="2DD4B9CE" w14:textId="1ABE0ADD" w:rsidR="001378F7" w:rsidRDefault="001378F7" w:rsidP="001378F7">
      <w:pPr>
        <w:spacing w:before="120" w:after="120"/>
        <w:jc w:val="both"/>
        <w:rPr>
          <w:rFonts w:ascii="Arial" w:hAnsi="Arial"/>
        </w:rPr>
      </w:pPr>
      <w:r w:rsidRPr="001378F7">
        <w:rPr>
          <w:rFonts w:ascii="Arial" w:hAnsi="Arial"/>
        </w:rPr>
        <w:lastRenderedPageBreak/>
        <w:t>The four</w:t>
      </w:r>
      <w:r w:rsidRPr="001378F7">
        <w:rPr>
          <w:rFonts w:ascii="Cambria Math" w:hAnsi="Cambria Math" w:cs="Cambria Math"/>
        </w:rPr>
        <w:t>‑</w:t>
      </w:r>
      <w:r w:rsidRPr="001378F7">
        <w:rPr>
          <w:rFonts w:ascii="Arial" w:hAnsi="Arial"/>
        </w:rPr>
        <w:t xml:space="preserve">hour duration requirement </w:t>
      </w:r>
      <w:r w:rsidR="00681DA4">
        <w:rPr>
          <w:rFonts w:ascii="Arial" w:hAnsi="Arial"/>
        </w:rPr>
        <w:t xml:space="preserve">is consistent with statutory requirements and </w:t>
      </w:r>
      <w:r w:rsidRPr="001378F7">
        <w:rPr>
          <w:rFonts w:ascii="Arial" w:hAnsi="Arial"/>
        </w:rPr>
        <w:t>remains appropriate. DRRS was designed to address reliability challenges in the two to four</w:t>
      </w:r>
      <w:r w:rsidR="003F00DA">
        <w:rPr>
          <w:rFonts w:ascii="Cambria Math" w:hAnsi="Cambria Math" w:cs="Cambria Math"/>
        </w:rPr>
        <w:t xml:space="preserve"> </w:t>
      </w:r>
      <w:r w:rsidRPr="001378F7">
        <w:rPr>
          <w:rFonts w:ascii="Arial" w:hAnsi="Arial"/>
        </w:rPr>
        <w:t>hour timeframe</w:t>
      </w:r>
      <w:r w:rsidR="00681DA4">
        <w:rPr>
          <w:rFonts w:ascii="Arial" w:hAnsi="Arial"/>
        </w:rPr>
        <w:t xml:space="preserve">. </w:t>
      </w:r>
      <w:r w:rsidRPr="001378F7">
        <w:rPr>
          <w:rFonts w:ascii="Arial" w:hAnsi="Arial"/>
        </w:rPr>
        <w:t xml:space="preserve">ERCOT has not identified operational conditions that require sustained output beyond four hours. PURA </w:t>
      </w:r>
      <w:r w:rsidRPr="001378F7">
        <w:rPr>
          <w:rFonts w:ascii="Arial" w:hAnsi="Arial" w:cs="Arial"/>
        </w:rPr>
        <w:t>§</w:t>
      </w:r>
      <w:r w:rsidRPr="001378F7">
        <w:rPr>
          <w:rFonts w:ascii="Arial" w:hAnsi="Arial"/>
        </w:rPr>
        <w:t>39.159(e) already gives ERCOT the authority to require longer duration if future system conditions justify it, but any such change should be based on demonstrated need, not speculation. Imposing an eight</w:t>
      </w:r>
      <w:r w:rsidR="003F00DA">
        <w:rPr>
          <w:rFonts w:ascii="Cambria Math" w:hAnsi="Cambria Math" w:cs="Cambria Math"/>
        </w:rPr>
        <w:t xml:space="preserve"> </w:t>
      </w:r>
      <w:r w:rsidRPr="001378F7">
        <w:rPr>
          <w:rFonts w:ascii="Arial" w:hAnsi="Arial"/>
        </w:rPr>
        <w:t>or twelve</w:t>
      </w:r>
      <w:r w:rsidR="003F00DA">
        <w:rPr>
          <w:rFonts w:ascii="Cambria Math" w:hAnsi="Cambria Math" w:cs="Cambria Math"/>
        </w:rPr>
        <w:t xml:space="preserve"> </w:t>
      </w:r>
      <w:r w:rsidRPr="001378F7">
        <w:rPr>
          <w:rFonts w:ascii="Arial" w:hAnsi="Arial"/>
        </w:rPr>
        <w:t>hour requirement today would disqualify most of the existing storage fleet, increase costs, and deter future investment without providing corresponding reliability benefits.</w:t>
      </w:r>
    </w:p>
    <w:p w14:paraId="741D3222" w14:textId="3DA65C5F" w:rsidR="00681DA4" w:rsidRPr="001378F7" w:rsidRDefault="00681DA4" w:rsidP="001378F7">
      <w:pPr>
        <w:spacing w:before="120" w:after="120"/>
        <w:jc w:val="both"/>
        <w:rPr>
          <w:rFonts w:ascii="Arial" w:hAnsi="Arial"/>
        </w:rPr>
      </w:pPr>
      <w:r>
        <w:rPr>
          <w:rFonts w:ascii="Arial" w:hAnsi="Arial"/>
        </w:rPr>
        <w:t>No ancillary service alone, including DRRS, is expected to be the sole revenue source that will be an adequate incentive for the development of a generation resource or an ESR.  Rather, d</w:t>
      </w:r>
      <w:r w:rsidRPr="001378F7">
        <w:rPr>
          <w:rFonts w:ascii="Arial" w:hAnsi="Arial"/>
        </w:rPr>
        <w:t>evelopers evaluate the full ERCOT revenue stack, including energy arbitrage, ancillary services, and scarcity pricing, not a single ancillary service with capped procurement volumes.</w:t>
      </w:r>
    </w:p>
    <w:p w14:paraId="7DB56B3B" w14:textId="54E8E25C" w:rsidR="001378F7" w:rsidRDefault="001378F7" w:rsidP="001378F7">
      <w:pPr>
        <w:spacing w:before="120" w:after="120"/>
        <w:jc w:val="both"/>
        <w:rPr>
          <w:rFonts w:ascii="Arial" w:hAnsi="Arial"/>
        </w:rPr>
      </w:pPr>
      <w:r w:rsidRPr="001378F7">
        <w:rPr>
          <w:rFonts w:ascii="Arial" w:hAnsi="Arial"/>
        </w:rPr>
        <w:t>A performance</w:t>
      </w:r>
      <w:r w:rsidRPr="001378F7">
        <w:rPr>
          <w:rFonts w:ascii="Cambria Math" w:hAnsi="Cambria Math" w:cs="Cambria Math"/>
        </w:rPr>
        <w:t>‑</w:t>
      </w:r>
      <w:r w:rsidRPr="001378F7">
        <w:rPr>
          <w:rFonts w:ascii="Arial" w:hAnsi="Arial"/>
        </w:rPr>
        <w:t>based HSL standard, grounded in actual deliverable capability, best aligns with PURA, ERCOT practice, and the Legislature</w:t>
      </w:r>
      <w:r w:rsidRPr="001378F7">
        <w:rPr>
          <w:rFonts w:ascii="Arial" w:hAnsi="Arial" w:cs="Arial"/>
        </w:rPr>
        <w:t>’</w:t>
      </w:r>
      <w:r w:rsidRPr="001378F7">
        <w:rPr>
          <w:rFonts w:ascii="Arial" w:hAnsi="Arial"/>
        </w:rPr>
        <w:t>s intent. It broadens participation, enhances competition, supports affordability, and ensures that DRRS reflects real, verifiable multi</w:t>
      </w:r>
      <w:r w:rsidRPr="001378F7">
        <w:rPr>
          <w:rFonts w:ascii="Cambria Math" w:hAnsi="Cambria Math" w:cs="Cambria Math"/>
        </w:rPr>
        <w:t>‑</w:t>
      </w:r>
      <w:r w:rsidRPr="001378F7">
        <w:rPr>
          <w:rFonts w:ascii="Arial" w:hAnsi="Arial"/>
        </w:rPr>
        <w:t>hour capability during extended system stress.</w:t>
      </w:r>
    </w:p>
    <w:p w14:paraId="49AF03CF" w14:textId="7EDE87F9" w:rsidR="00C5467A" w:rsidRDefault="00C5467A" w:rsidP="00435281">
      <w:pPr>
        <w:pStyle w:val="ListParagraph"/>
        <w:numPr>
          <w:ilvl w:val="0"/>
          <w:numId w:val="6"/>
        </w:numPr>
        <w:spacing w:before="120" w:after="120"/>
        <w:ind w:left="720"/>
        <w:jc w:val="both"/>
        <w:rPr>
          <w:rFonts w:ascii="Arial" w:hAnsi="Arial"/>
          <w:b/>
          <w:bCs/>
        </w:rPr>
      </w:pPr>
      <w:r w:rsidRPr="00C5467A">
        <w:rPr>
          <w:rFonts w:ascii="Arial" w:hAnsi="Arial"/>
          <w:b/>
          <w:bCs/>
        </w:rPr>
        <w:t>Public Utility Regulatory Act (PURA) § 39.159(d)(2)(A) states that the criteria for resource participation [in DRRS] must require a resource to: “be capable of running for at least four hours at the resource’s high sustained limit.”  If ESRs were to participate in DRRS, how should that statutory reference to High Sustained Limit (HSL) be interpreted for ESRs’ participation in DRRS?  Please also describe the pros and cons to the ERCOT System of your interpretation compared to the pros and cons if an opposing interpretation were adopted.</w:t>
      </w:r>
    </w:p>
    <w:p w14:paraId="23180E71" w14:textId="29903EE6" w:rsidR="00362B5E" w:rsidRDefault="00C75D35" w:rsidP="005127EE">
      <w:pPr>
        <w:spacing w:before="120" w:after="120"/>
        <w:jc w:val="both"/>
        <w:rPr>
          <w:rFonts w:ascii="Arial" w:hAnsi="Arial"/>
        </w:rPr>
      </w:pPr>
      <w:r w:rsidRPr="00C75D35">
        <w:rPr>
          <w:rFonts w:ascii="Arial" w:hAnsi="Arial"/>
        </w:rPr>
        <w:t>A reasonable interpretation of PURA §39.159(d)(2)(A) for energy storage resources (ESRs) is that an ESR’s High Sustained Limit (HSL) should reflect the amount of DRRS-qualified output the unit can actually maintain for four continuous hours</w:t>
      </w:r>
      <w:r w:rsidR="0053337C">
        <w:rPr>
          <w:rFonts w:ascii="Arial" w:hAnsi="Arial"/>
        </w:rPr>
        <w:t xml:space="preserve"> </w:t>
      </w:r>
      <w:r w:rsidRPr="00C75D35">
        <w:rPr>
          <w:rFonts w:ascii="Arial" w:hAnsi="Arial"/>
        </w:rPr>
        <w:t>based on its usable energy capacity and state</w:t>
      </w:r>
      <w:r w:rsidRPr="00C75D35">
        <w:rPr>
          <w:rFonts w:ascii="Cambria Math" w:hAnsi="Cambria Math" w:cs="Cambria Math"/>
        </w:rPr>
        <w:t>‑</w:t>
      </w:r>
      <w:r w:rsidRPr="00C75D35">
        <w:rPr>
          <w:rFonts w:ascii="Arial" w:hAnsi="Arial"/>
        </w:rPr>
        <w:t>of</w:t>
      </w:r>
      <w:r w:rsidRPr="00C75D35">
        <w:rPr>
          <w:rFonts w:ascii="Cambria Math" w:hAnsi="Cambria Math" w:cs="Cambria Math"/>
        </w:rPr>
        <w:t>‑</w:t>
      </w:r>
      <w:r w:rsidRPr="00C75D35">
        <w:rPr>
          <w:rFonts w:ascii="Arial" w:hAnsi="Arial"/>
        </w:rPr>
        <w:t>charge</w:t>
      </w:r>
      <w:r>
        <w:rPr>
          <w:rFonts w:ascii="Arial" w:hAnsi="Arial"/>
        </w:rPr>
        <w:t xml:space="preserve"> c</w:t>
      </w:r>
      <w:r w:rsidR="00F232B8">
        <w:rPr>
          <w:rFonts w:ascii="Arial" w:hAnsi="Arial"/>
        </w:rPr>
        <w:t>apabilitie</w:t>
      </w:r>
      <w:r w:rsidR="006346A7">
        <w:rPr>
          <w:rFonts w:ascii="Arial" w:hAnsi="Arial"/>
        </w:rPr>
        <w:t>s</w:t>
      </w:r>
      <w:r w:rsidRPr="00C75D35">
        <w:rPr>
          <w:rFonts w:ascii="Arial" w:hAnsi="Arial"/>
        </w:rPr>
        <w:t>.</w:t>
      </w:r>
      <w:r w:rsidR="005127EE">
        <w:rPr>
          <w:rFonts w:ascii="Arial" w:hAnsi="Arial"/>
        </w:rPr>
        <w:t xml:space="preserve"> Under this interpretation</w:t>
      </w:r>
      <w:r w:rsidRPr="00C75D35">
        <w:rPr>
          <w:rFonts w:ascii="Arial" w:hAnsi="Arial"/>
        </w:rPr>
        <w:t>, the statutory requirement is met when the ESR demonstrates that its qualified DRRS output</w:t>
      </w:r>
      <w:r w:rsidR="006346A7">
        <w:rPr>
          <w:rFonts w:ascii="Arial" w:hAnsi="Arial"/>
        </w:rPr>
        <w:t>,</w:t>
      </w:r>
      <w:r w:rsidRPr="00C75D35">
        <w:rPr>
          <w:rFonts w:ascii="Arial" w:hAnsi="Arial"/>
        </w:rPr>
        <w:t xml:space="preserve"> multiplied by four hours</w:t>
      </w:r>
      <w:r w:rsidR="006346A7">
        <w:rPr>
          <w:rFonts w:ascii="Arial" w:hAnsi="Arial"/>
        </w:rPr>
        <w:t>,</w:t>
      </w:r>
      <w:r w:rsidRPr="00C75D35">
        <w:rPr>
          <w:rFonts w:ascii="Arial" w:hAnsi="Arial"/>
        </w:rPr>
        <w:t xml:space="preserve"> does not exceed its available</w:t>
      </w:r>
      <w:r w:rsidR="00F232B8">
        <w:rPr>
          <w:rFonts w:ascii="Arial" w:hAnsi="Arial"/>
        </w:rPr>
        <w:t xml:space="preserve"> </w:t>
      </w:r>
      <w:r w:rsidRPr="00C75D35">
        <w:rPr>
          <w:rFonts w:ascii="Arial" w:hAnsi="Arial"/>
        </w:rPr>
        <w:t>energy.</w:t>
      </w:r>
      <w:r w:rsidR="00381675" w:rsidRPr="00381675">
        <w:t xml:space="preserve"> </w:t>
      </w:r>
      <w:r w:rsidR="00381675" w:rsidRPr="00381675">
        <w:rPr>
          <w:rFonts w:ascii="Arial" w:hAnsi="Arial"/>
        </w:rPr>
        <w:t>To ensure reliability, this DRRS-qualified HSL must be dynamically capped by the resource's Real-Time State of Charge (SOC), ensuring the 'four-hour' capability is physically present at the time of award, consistent with the monitoring principles in NPRR1186.</w:t>
      </w:r>
    </w:p>
    <w:p w14:paraId="7C34D053" w14:textId="2F233BC4" w:rsidR="00362B5E" w:rsidRDefault="00362B5E" w:rsidP="005127EE">
      <w:pPr>
        <w:spacing w:before="120" w:after="120"/>
        <w:jc w:val="both"/>
        <w:rPr>
          <w:rFonts w:ascii="Arial" w:hAnsi="Arial"/>
        </w:rPr>
      </w:pPr>
      <w:r w:rsidRPr="00362B5E">
        <w:rPr>
          <w:rFonts w:ascii="Arial" w:hAnsi="Arial"/>
        </w:rPr>
        <w:t>This interpretation is consistent with ERCOT’s long</w:t>
      </w:r>
      <w:r w:rsidRPr="00362B5E">
        <w:rPr>
          <w:rFonts w:ascii="Cambria Math" w:hAnsi="Cambria Math" w:cs="Cambria Math"/>
        </w:rPr>
        <w:t>‑</w:t>
      </w:r>
      <w:r w:rsidRPr="00362B5E">
        <w:rPr>
          <w:rFonts w:ascii="Arial" w:hAnsi="Arial"/>
        </w:rPr>
        <w:t xml:space="preserve">standing </w:t>
      </w:r>
      <w:r w:rsidR="000A6FD1" w:rsidRPr="000A6FD1">
        <w:rPr>
          <w:rFonts w:ascii="Arial" w:hAnsi="Arial"/>
        </w:rPr>
        <w:t>definition of HSL as the maximum sustained energy production capability validated by telemetry and seasonal testing,</w:t>
      </w:r>
      <w:r w:rsidR="000A6FD1">
        <w:rPr>
          <w:rFonts w:ascii="Arial" w:hAnsi="Arial"/>
        </w:rPr>
        <w:t xml:space="preserve"> </w:t>
      </w:r>
      <w:r w:rsidR="000A6FD1" w:rsidRPr="000A6FD1">
        <w:rPr>
          <w:rFonts w:ascii="Arial" w:hAnsi="Arial"/>
        </w:rPr>
        <w:t>rather than a static Nameplate Rating.</w:t>
      </w:r>
      <w:r w:rsidR="000A6FD1">
        <w:rPr>
          <w:rFonts w:ascii="Arial" w:hAnsi="Arial"/>
        </w:rPr>
        <w:t xml:space="preserve"> </w:t>
      </w:r>
      <w:r w:rsidRPr="00362B5E">
        <w:rPr>
          <w:rFonts w:ascii="Arial" w:hAnsi="Arial"/>
        </w:rPr>
        <w:t xml:space="preserve">Across all resource types, including thermal units, HSL routinely differs from nameplate because it must reflect what the unit can actually sustain under expected operating conditions. If HSL were required to equal nameplate, nearly every thermal unit in ERCOT would be out of compliance. </w:t>
      </w:r>
      <w:r w:rsidR="00A51177" w:rsidRPr="00A51177">
        <w:rPr>
          <w:rFonts w:ascii="Arial" w:hAnsi="Arial"/>
        </w:rPr>
        <w:t xml:space="preserve">Interpreting HSL as nameplate for ESRs alone would violate the principle of non-discriminatory market access for dispatchable resources under PURA § 39.151 as it would apply a </w:t>
      </w:r>
      <w:r w:rsidR="00A51177" w:rsidRPr="00A51177">
        <w:rPr>
          <w:rFonts w:ascii="Arial" w:hAnsi="Arial"/>
        </w:rPr>
        <w:lastRenderedPageBreak/>
        <w:t xml:space="preserve">unique 'static' standard to ESRs that is not applied to thermal </w:t>
      </w:r>
      <w:r w:rsidR="003F00DA">
        <w:rPr>
          <w:rFonts w:ascii="Arial" w:hAnsi="Arial"/>
        </w:rPr>
        <w:t>r</w:t>
      </w:r>
      <w:r w:rsidR="00A51177" w:rsidRPr="00A51177">
        <w:rPr>
          <w:rFonts w:ascii="Arial" w:hAnsi="Arial"/>
        </w:rPr>
        <w:t xml:space="preserve">esources. </w:t>
      </w:r>
      <w:r w:rsidRPr="00362B5E">
        <w:rPr>
          <w:rFonts w:ascii="Arial" w:hAnsi="Arial"/>
        </w:rPr>
        <w:t xml:space="preserve">Nothing in PURA </w:t>
      </w:r>
      <w:r w:rsidR="00BA1A98">
        <w:rPr>
          <w:rFonts w:ascii="Arial" w:hAnsi="Arial"/>
        </w:rPr>
        <w:t>redefine</w:t>
      </w:r>
      <w:r w:rsidRPr="00362B5E">
        <w:rPr>
          <w:rFonts w:ascii="Arial" w:hAnsi="Arial"/>
        </w:rPr>
        <w:t>s HSL into a nameplate</w:t>
      </w:r>
      <w:r w:rsidRPr="00362B5E">
        <w:rPr>
          <w:rFonts w:ascii="Cambria Math" w:hAnsi="Cambria Math" w:cs="Cambria Math"/>
        </w:rPr>
        <w:t>‑</w:t>
      </w:r>
      <w:r w:rsidRPr="00362B5E">
        <w:rPr>
          <w:rFonts w:ascii="Arial" w:hAnsi="Arial"/>
        </w:rPr>
        <w:t>based concept for ESRs alone</w:t>
      </w:r>
      <w:r w:rsidRPr="00362B5E">
        <w:t xml:space="preserve"> </w:t>
      </w:r>
      <w:r w:rsidRPr="00362B5E">
        <w:rPr>
          <w:rFonts w:ascii="Arial" w:hAnsi="Arial"/>
        </w:rPr>
        <w:t>and ERCOT has never treated HSL as a static nameplate value for any resource type</w:t>
      </w:r>
      <w:r>
        <w:rPr>
          <w:rFonts w:ascii="Arial" w:hAnsi="Arial"/>
        </w:rPr>
        <w:t>.</w:t>
      </w:r>
    </w:p>
    <w:p w14:paraId="34053455" w14:textId="6A1C4E39" w:rsidR="00362B5E" w:rsidRDefault="00362B5E" w:rsidP="005127EE">
      <w:pPr>
        <w:spacing w:before="120" w:after="120"/>
        <w:jc w:val="both"/>
        <w:rPr>
          <w:rFonts w:ascii="Arial" w:hAnsi="Arial"/>
        </w:rPr>
      </w:pPr>
      <w:r w:rsidRPr="00362B5E">
        <w:rPr>
          <w:rFonts w:ascii="Arial" w:hAnsi="Arial"/>
        </w:rPr>
        <w:t>ERCOT protocols explicitly require that HSL reflect a resource’s sustained capability, not its theoretical maximum. Thermal units routinely submit HSLs below nameplate due to ambient conditions, fuel limitations, or equipment constraints, and ERCOT accepts these values because HSL is meant to reflect what a unit can actually sustain. ESRs operate under the same principle</w:t>
      </w:r>
      <w:r w:rsidR="002C4224">
        <w:rPr>
          <w:rFonts w:ascii="Arial" w:hAnsi="Arial"/>
        </w:rPr>
        <w:t xml:space="preserve"> where</w:t>
      </w:r>
      <w:r w:rsidRPr="00362B5E">
        <w:rPr>
          <w:rFonts w:ascii="Arial" w:hAnsi="Arial"/>
        </w:rPr>
        <w:t xml:space="preserve"> their sustained capability depends on state of charge and usable energy and ERCOT already requires ESRs to telemeter HSL dynamically based on those operational realities.</w:t>
      </w:r>
    </w:p>
    <w:p w14:paraId="3A41BB7B" w14:textId="0945FF3D" w:rsidR="005127EE" w:rsidRDefault="005127EE" w:rsidP="005127EE">
      <w:pPr>
        <w:spacing w:before="120" w:after="120"/>
        <w:jc w:val="both"/>
        <w:rPr>
          <w:rFonts w:ascii="Arial" w:hAnsi="Arial"/>
        </w:rPr>
      </w:pPr>
      <w:r w:rsidRPr="0053337C">
        <w:rPr>
          <w:rFonts w:ascii="Arial" w:hAnsi="Arial"/>
        </w:rPr>
        <w:t>The</w:t>
      </w:r>
      <w:r w:rsidRPr="005127EE">
        <w:rPr>
          <w:rFonts w:ascii="Arial" w:hAnsi="Arial"/>
        </w:rPr>
        <w:t xml:space="preserve"> unit’s nameplate maximum discharge capability is not the relevant measure the relevant measure is the level of DRRS</w:t>
      </w:r>
      <w:r w:rsidRPr="005127EE">
        <w:rPr>
          <w:rFonts w:ascii="Cambria Math" w:hAnsi="Cambria Math" w:cs="Cambria Math"/>
        </w:rPr>
        <w:t>‑</w:t>
      </w:r>
      <w:r w:rsidRPr="005127EE">
        <w:rPr>
          <w:rFonts w:ascii="Arial" w:hAnsi="Arial"/>
        </w:rPr>
        <w:t xml:space="preserve">qualified output the ESR can reliably sustain for four hours based on its </w:t>
      </w:r>
      <w:r w:rsidR="00F232B8">
        <w:rPr>
          <w:rFonts w:ascii="Arial" w:hAnsi="Arial"/>
        </w:rPr>
        <w:t>availabl</w:t>
      </w:r>
      <w:r w:rsidRPr="005127EE">
        <w:rPr>
          <w:rFonts w:ascii="Arial" w:hAnsi="Arial"/>
        </w:rPr>
        <w:t>e energy and state</w:t>
      </w:r>
      <w:r w:rsidRPr="005127EE">
        <w:rPr>
          <w:rFonts w:ascii="Cambria Math" w:hAnsi="Cambria Math" w:cs="Cambria Math"/>
        </w:rPr>
        <w:t>‑</w:t>
      </w:r>
      <w:r w:rsidRPr="005127EE">
        <w:rPr>
          <w:rFonts w:ascii="Arial" w:hAnsi="Arial"/>
        </w:rPr>
        <w:t>of</w:t>
      </w:r>
      <w:r w:rsidRPr="005127EE">
        <w:rPr>
          <w:rFonts w:ascii="Cambria Math" w:hAnsi="Cambria Math" w:cs="Cambria Math"/>
        </w:rPr>
        <w:t>‑</w:t>
      </w:r>
      <w:r w:rsidRPr="005127EE">
        <w:rPr>
          <w:rFonts w:ascii="Arial" w:hAnsi="Arial"/>
        </w:rPr>
        <w:t>charge constraints. This aligns the qualification standard with the statutory four</w:t>
      </w:r>
      <w:r w:rsidRPr="005127EE">
        <w:rPr>
          <w:rFonts w:ascii="Cambria Math" w:hAnsi="Cambria Math" w:cs="Cambria Math"/>
        </w:rPr>
        <w:t>‑</w:t>
      </w:r>
      <w:r w:rsidRPr="005127EE">
        <w:rPr>
          <w:rFonts w:ascii="Arial" w:hAnsi="Arial"/>
        </w:rPr>
        <w:t>hour requirement, which is fundamentally an energy</w:t>
      </w:r>
      <w:r w:rsidRPr="005127EE">
        <w:rPr>
          <w:rFonts w:ascii="Cambria Math" w:hAnsi="Cambria Math" w:cs="Cambria Math"/>
        </w:rPr>
        <w:t>‑</w:t>
      </w:r>
      <w:r w:rsidRPr="005127EE">
        <w:rPr>
          <w:rFonts w:ascii="Arial" w:hAnsi="Arial"/>
        </w:rPr>
        <w:t>duration test rather than an instantaneous power test. By focusing on the ESR</w:t>
      </w:r>
      <w:r w:rsidRPr="005127EE">
        <w:rPr>
          <w:rFonts w:ascii="Arial" w:hAnsi="Arial" w:cs="Arial"/>
        </w:rPr>
        <w:t>’</w:t>
      </w:r>
      <w:r w:rsidRPr="005127EE">
        <w:rPr>
          <w:rFonts w:ascii="Arial" w:hAnsi="Arial"/>
        </w:rPr>
        <w:t>s sustainable four</w:t>
      </w:r>
      <w:r w:rsidRPr="005127EE">
        <w:rPr>
          <w:rFonts w:ascii="Cambria Math" w:hAnsi="Cambria Math" w:cs="Cambria Math"/>
        </w:rPr>
        <w:t>‑</w:t>
      </w:r>
      <w:r w:rsidRPr="005127EE">
        <w:rPr>
          <w:rFonts w:ascii="Arial" w:hAnsi="Arial"/>
        </w:rPr>
        <w:t>hour output, ERCOT can accurately assess the amount of DRRS capacity the resource can continuously deliver ensuring that the service reflects real, deliverable capability rather than nameplate ratings that may exceed the resource’s four</w:t>
      </w:r>
      <w:r w:rsidRPr="005127EE">
        <w:rPr>
          <w:rFonts w:ascii="Cambria Math" w:hAnsi="Cambria Math" w:cs="Cambria Math"/>
        </w:rPr>
        <w:t>‑</w:t>
      </w:r>
      <w:r w:rsidRPr="005127EE">
        <w:rPr>
          <w:rFonts w:ascii="Arial" w:hAnsi="Arial"/>
        </w:rPr>
        <w:t>hour energy availability.</w:t>
      </w:r>
    </w:p>
    <w:p w14:paraId="7A3FB41D" w14:textId="163458D8" w:rsidR="00C75D35" w:rsidRDefault="006346A7" w:rsidP="005127EE">
      <w:pPr>
        <w:spacing w:before="120" w:after="120"/>
        <w:jc w:val="both"/>
        <w:rPr>
          <w:rFonts w:ascii="Arial" w:hAnsi="Arial"/>
        </w:rPr>
      </w:pPr>
      <w:r>
        <w:rPr>
          <w:rFonts w:ascii="Arial" w:hAnsi="Arial"/>
        </w:rPr>
        <w:t>Treating</w:t>
      </w:r>
      <w:r w:rsidR="00C75D35" w:rsidRPr="00C75D35">
        <w:rPr>
          <w:rFonts w:ascii="Arial" w:hAnsi="Arial"/>
        </w:rPr>
        <w:t xml:space="preserve"> HSL for ESRs as the sustainable four</w:t>
      </w:r>
      <w:r w:rsidR="00C75D35" w:rsidRPr="00C75D35">
        <w:rPr>
          <w:rFonts w:ascii="Cambria Math" w:hAnsi="Cambria Math" w:cs="Cambria Math"/>
        </w:rPr>
        <w:t>‑</w:t>
      </w:r>
      <w:r w:rsidR="00C75D35" w:rsidRPr="00C75D35">
        <w:rPr>
          <w:rFonts w:ascii="Arial" w:hAnsi="Arial"/>
        </w:rPr>
        <w:t>hour output rather than the nameplate maximum better reflects the physical characteristics of storage</w:t>
      </w:r>
      <w:r>
        <w:rPr>
          <w:rFonts w:ascii="Arial" w:hAnsi="Arial"/>
        </w:rPr>
        <w:t xml:space="preserve"> </w:t>
      </w:r>
      <w:r w:rsidRPr="006346A7">
        <w:rPr>
          <w:rFonts w:ascii="Arial" w:hAnsi="Arial"/>
        </w:rPr>
        <w:t xml:space="preserve">resources and allows them to participate in DRRS at levels that match their actual deliverable capability. </w:t>
      </w:r>
      <w:r>
        <w:rPr>
          <w:rFonts w:ascii="Arial" w:hAnsi="Arial"/>
        </w:rPr>
        <w:t>This</w:t>
      </w:r>
      <w:r w:rsidRPr="006346A7">
        <w:rPr>
          <w:rFonts w:ascii="Arial" w:hAnsi="Arial"/>
        </w:rPr>
        <w:t xml:space="preserve"> broadens participation, increases competition, and supports </w:t>
      </w:r>
      <w:r w:rsidR="00F232B8">
        <w:rPr>
          <w:rFonts w:ascii="Arial" w:hAnsi="Arial"/>
        </w:rPr>
        <w:t xml:space="preserve">the Commission’s and </w:t>
      </w:r>
      <w:r w:rsidRPr="006346A7">
        <w:rPr>
          <w:rFonts w:ascii="Arial" w:hAnsi="Arial"/>
        </w:rPr>
        <w:t xml:space="preserve">ERCOT’s reliability and </w:t>
      </w:r>
      <w:r w:rsidR="00F232B8">
        <w:rPr>
          <w:rFonts w:ascii="Arial" w:hAnsi="Arial"/>
        </w:rPr>
        <w:t xml:space="preserve">affordability </w:t>
      </w:r>
      <w:r w:rsidRPr="006346A7">
        <w:rPr>
          <w:rFonts w:ascii="Arial" w:hAnsi="Arial"/>
        </w:rPr>
        <w:t>goals. By contrast, a nameplate</w:t>
      </w:r>
      <w:r w:rsidRPr="006346A7">
        <w:rPr>
          <w:rFonts w:ascii="Cambria Math" w:hAnsi="Cambria Math" w:cs="Cambria Math"/>
        </w:rPr>
        <w:t>‑</w:t>
      </w:r>
      <w:r w:rsidRPr="006346A7">
        <w:rPr>
          <w:rFonts w:ascii="Arial" w:hAnsi="Arial"/>
        </w:rPr>
        <w:t>only interpretation would exclude many ESRs that can reliably provide four</w:t>
      </w:r>
      <w:r w:rsidRPr="006346A7">
        <w:rPr>
          <w:rFonts w:ascii="Cambria Math" w:hAnsi="Cambria Math" w:cs="Cambria Math"/>
        </w:rPr>
        <w:t>‑</w:t>
      </w:r>
      <w:r w:rsidRPr="006346A7">
        <w:rPr>
          <w:rFonts w:ascii="Arial" w:hAnsi="Arial"/>
        </w:rPr>
        <w:t>hour sustained output at a lower qualified level, thereby narrowing eligibility, reducing market liquidity, and increasing costs without providing any corresponding reliability benefit</w:t>
      </w:r>
      <w:r>
        <w:rPr>
          <w:rFonts w:ascii="Arial" w:hAnsi="Arial"/>
        </w:rPr>
        <w:t>.</w:t>
      </w:r>
    </w:p>
    <w:p w14:paraId="577496C3" w14:textId="11B320A9" w:rsidR="00C5467A" w:rsidRPr="00A51177" w:rsidRDefault="002439B5" w:rsidP="00A51177">
      <w:pPr>
        <w:spacing w:before="120" w:after="120"/>
        <w:jc w:val="both"/>
        <w:rPr>
          <w:rFonts w:ascii="Arial" w:hAnsi="Arial"/>
        </w:rPr>
      </w:pPr>
      <w:r w:rsidRPr="002439B5">
        <w:rPr>
          <w:rFonts w:ascii="Arial" w:hAnsi="Arial"/>
        </w:rPr>
        <w:t>A nameplate</w:t>
      </w:r>
      <w:r w:rsidRPr="002439B5">
        <w:rPr>
          <w:rFonts w:ascii="Cambria Math" w:hAnsi="Cambria Math" w:cs="Cambria Math"/>
        </w:rPr>
        <w:t>‑</w:t>
      </w:r>
      <w:r w:rsidRPr="002439B5">
        <w:rPr>
          <w:rFonts w:ascii="Arial" w:hAnsi="Arial"/>
        </w:rPr>
        <w:t>HSL interpretation would also undermine the legislative purpose of DRRS. The Legislature intended DRRS to ensure sustained multi</w:t>
      </w:r>
      <w:r w:rsidRPr="002439B5">
        <w:rPr>
          <w:rFonts w:ascii="Cambria Math" w:hAnsi="Cambria Math" w:cs="Cambria Math"/>
        </w:rPr>
        <w:t>‑</w:t>
      </w:r>
      <w:r w:rsidRPr="002439B5">
        <w:rPr>
          <w:rFonts w:ascii="Arial" w:hAnsi="Arial"/>
        </w:rPr>
        <w:t>hour capability during extended reliability events</w:t>
      </w:r>
      <w:r w:rsidR="005A7F01">
        <w:rPr>
          <w:rFonts w:ascii="Arial" w:hAnsi="Arial" w:cs="Arial"/>
        </w:rPr>
        <w:t xml:space="preserve">, </w:t>
      </w:r>
      <w:r w:rsidRPr="002439B5">
        <w:rPr>
          <w:rFonts w:ascii="Arial" w:hAnsi="Arial"/>
        </w:rPr>
        <w:t>not to impose a nameplate</w:t>
      </w:r>
      <w:r w:rsidRPr="002439B5">
        <w:rPr>
          <w:rFonts w:ascii="Cambria Math" w:hAnsi="Cambria Math" w:cs="Cambria Math"/>
        </w:rPr>
        <w:t>‑</w:t>
      </w:r>
      <w:r w:rsidRPr="002439B5">
        <w:rPr>
          <w:rFonts w:ascii="Arial" w:hAnsi="Arial"/>
        </w:rPr>
        <w:t>based qualification barrier that excludes resources capable of delivering four hours of real, verifiable output. A performance</w:t>
      </w:r>
      <w:r w:rsidRPr="002439B5">
        <w:rPr>
          <w:rFonts w:ascii="Cambria Math" w:hAnsi="Cambria Math" w:cs="Cambria Math"/>
        </w:rPr>
        <w:t>‑</w:t>
      </w:r>
      <w:r w:rsidRPr="002439B5">
        <w:rPr>
          <w:rFonts w:ascii="Arial" w:hAnsi="Arial"/>
        </w:rPr>
        <w:t>based HSL standard is the only interpretation that aligns with both PURA and ERCOT</w:t>
      </w:r>
      <w:r w:rsidRPr="002439B5">
        <w:rPr>
          <w:rFonts w:ascii="Arial" w:hAnsi="Arial" w:cs="Arial"/>
        </w:rPr>
        <w:t>’</w:t>
      </w:r>
      <w:r w:rsidRPr="002439B5">
        <w:rPr>
          <w:rFonts w:ascii="Arial" w:hAnsi="Arial"/>
        </w:rPr>
        <w:t>s operational framework.</w:t>
      </w:r>
    </w:p>
    <w:p w14:paraId="5399F98B" w14:textId="0E59469D" w:rsidR="00C5467A" w:rsidRDefault="00C5467A" w:rsidP="00435281">
      <w:pPr>
        <w:pStyle w:val="ListParagraph"/>
        <w:numPr>
          <w:ilvl w:val="0"/>
          <w:numId w:val="6"/>
        </w:numPr>
        <w:spacing w:before="120" w:after="120"/>
        <w:ind w:left="720"/>
        <w:jc w:val="both"/>
        <w:rPr>
          <w:rFonts w:ascii="Arial" w:hAnsi="Arial"/>
          <w:b/>
          <w:bCs/>
        </w:rPr>
      </w:pPr>
      <w:r w:rsidRPr="00C5467A">
        <w:rPr>
          <w:rFonts w:ascii="Arial" w:hAnsi="Arial"/>
          <w:b/>
          <w:bCs/>
        </w:rPr>
        <w:t>If the reference to HSL in PURA § 39.159(d)(2)(A) were interpreted to mean an ESR’s nameplate HSL (e.g., that a 100 megawatt (MW) / 100 megawatt hour (MWh) ESR is not permitted under that interpretation to adjust its HSL down such that a one-hour ESR can operate as a four-hour ESR), would DRRS participation likely provide sufficient incentive for ESR developers to build longer, four-hour-plus duration ESRs in the ERCOT Region (e.g., a 100 MW / 400 MWh ESR)?  If your response depends on what the value of the DRRS Ancillary Service Demand Curve (ASDC) is, please describe what value would be appropriate to help to provide such incentives</w:t>
      </w:r>
      <w:r>
        <w:rPr>
          <w:rFonts w:ascii="Arial" w:hAnsi="Arial"/>
          <w:b/>
          <w:bCs/>
        </w:rPr>
        <w:t>.</w:t>
      </w:r>
    </w:p>
    <w:p w14:paraId="0F6C4542" w14:textId="606C1CBE" w:rsidR="002C4224" w:rsidRPr="002C4224" w:rsidRDefault="00681DA4" w:rsidP="002C4224">
      <w:pPr>
        <w:spacing w:before="120" w:after="120"/>
        <w:jc w:val="both"/>
        <w:rPr>
          <w:rFonts w:ascii="Arial" w:hAnsi="Arial"/>
        </w:rPr>
      </w:pPr>
      <w:r>
        <w:rPr>
          <w:rFonts w:ascii="Arial" w:hAnsi="Arial"/>
        </w:rPr>
        <w:lastRenderedPageBreak/>
        <w:t>In general</w:t>
      </w:r>
      <w:r w:rsidR="002C4224">
        <w:rPr>
          <w:rFonts w:ascii="Arial" w:hAnsi="Arial"/>
        </w:rPr>
        <w:t>, a</w:t>
      </w:r>
      <w:r w:rsidR="00E1066E">
        <w:rPr>
          <w:rFonts w:ascii="Arial" w:hAnsi="Arial"/>
        </w:rPr>
        <w:t xml:space="preserve"> </w:t>
      </w:r>
      <w:r w:rsidR="00E1066E" w:rsidRPr="00E1066E">
        <w:rPr>
          <w:rFonts w:ascii="Arial" w:hAnsi="Arial"/>
        </w:rPr>
        <w:t>nameplate</w:t>
      </w:r>
      <w:r w:rsidR="00E1066E" w:rsidRPr="00E1066E">
        <w:rPr>
          <w:rFonts w:ascii="Cambria Math" w:hAnsi="Cambria Math" w:cs="Cambria Math"/>
        </w:rPr>
        <w:t>‑</w:t>
      </w:r>
      <w:r w:rsidR="00E1066E" w:rsidRPr="00E1066E">
        <w:rPr>
          <w:rFonts w:ascii="Arial" w:hAnsi="Arial"/>
        </w:rPr>
        <w:t xml:space="preserve">HSL interpretation </w:t>
      </w:r>
      <w:r>
        <w:rPr>
          <w:rFonts w:ascii="Arial" w:hAnsi="Arial"/>
        </w:rPr>
        <w:t xml:space="preserve">for DRRS </w:t>
      </w:r>
      <w:r w:rsidR="00E1066E" w:rsidRPr="00E1066E">
        <w:rPr>
          <w:rFonts w:ascii="Arial" w:hAnsi="Arial"/>
        </w:rPr>
        <w:t xml:space="preserve">would </w:t>
      </w:r>
      <w:r w:rsidR="00E1066E">
        <w:rPr>
          <w:rFonts w:ascii="Arial" w:hAnsi="Arial"/>
        </w:rPr>
        <w:t xml:space="preserve">not </w:t>
      </w:r>
      <w:r>
        <w:rPr>
          <w:rFonts w:ascii="Arial" w:hAnsi="Arial"/>
        </w:rPr>
        <w:t xml:space="preserve">on its own </w:t>
      </w:r>
      <w:r w:rsidR="00E1066E" w:rsidRPr="00E1066E">
        <w:rPr>
          <w:rFonts w:ascii="Arial" w:hAnsi="Arial" w:cs="Arial"/>
        </w:rPr>
        <w:t>“</w:t>
      </w:r>
      <w:r w:rsidR="00E1066E" w:rsidRPr="00E1066E">
        <w:rPr>
          <w:rFonts w:ascii="Arial" w:hAnsi="Arial"/>
        </w:rPr>
        <w:t>create a meaningful investment signal</w:t>
      </w:r>
      <w:r w:rsidR="00E1066E" w:rsidRPr="00E1066E">
        <w:rPr>
          <w:rFonts w:ascii="Arial" w:hAnsi="Arial" w:cs="Arial"/>
        </w:rPr>
        <w:t>”</w:t>
      </w:r>
      <w:r w:rsidR="00E1066E" w:rsidRPr="00E1066E">
        <w:rPr>
          <w:rFonts w:ascii="Arial" w:hAnsi="Arial"/>
        </w:rPr>
        <w:t xml:space="preserve"> for long</w:t>
      </w:r>
      <w:r w:rsidR="00E1066E" w:rsidRPr="00E1066E">
        <w:rPr>
          <w:rFonts w:ascii="Cambria Math" w:hAnsi="Cambria Math" w:cs="Cambria Math"/>
        </w:rPr>
        <w:t>‑</w:t>
      </w:r>
      <w:r w:rsidR="00E1066E" w:rsidRPr="00E1066E">
        <w:rPr>
          <w:rFonts w:ascii="Arial" w:hAnsi="Arial"/>
        </w:rPr>
        <w:t>duration ESRs. PURA does not establish DRRS as a capacity</w:t>
      </w:r>
      <w:r w:rsidR="00E1066E" w:rsidRPr="00E1066E">
        <w:rPr>
          <w:rFonts w:ascii="Cambria Math" w:hAnsi="Cambria Math" w:cs="Cambria Math"/>
        </w:rPr>
        <w:t>‑</w:t>
      </w:r>
      <w:r w:rsidR="00E1066E" w:rsidRPr="00E1066E">
        <w:rPr>
          <w:rFonts w:ascii="Arial" w:hAnsi="Arial"/>
        </w:rPr>
        <w:t>style revenue mechanism</w:t>
      </w:r>
      <w:r w:rsidR="00362C9E" w:rsidRPr="00362C9E">
        <w:t xml:space="preserve"> </w:t>
      </w:r>
      <w:r w:rsidR="00362C9E" w:rsidRPr="00362C9E">
        <w:rPr>
          <w:rFonts w:ascii="Arial" w:hAnsi="Arial"/>
        </w:rPr>
        <w:t>or a Performance Credit Mechanism (PCM)</w:t>
      </w:r>
      <w:r w:rsidR="001E4625">
        <w:rPr>
          <w:rFonts w:ascii="Arial" w:hAnsi="Arial"/>
        </w:rPr>
        <w:t xml:space="preserve"> and</w:t>
      </w:r>
      <w:r w:rsidR="00E1066E" w:rsidRPr="00E1066E">
        <w:rPr>
          <w:rFonts w:ascii="Arial" w:hAnsi="Arial"/>
        </w:rPr>
        <w:t xml:space="preserve"> </w:t>
      </w:r>
      <w:r w:rsidR="00362C9E">
        <w:rPr>
          <w:rFonts w:ascii="Arial" w:hAnsi="Arial"/>
        </w:rPr>
        <w:t>it</w:t>
      </w:r>
      <w:r w:rsidR="00E1066E" w:rsidRPr="00E1066E">
        <w:rPr>
          <w:rFonts w:ascii="Arial" w:hAnsi="Arial"/>
        </w:rPr>
        <w:t xml:space="preserve"> does </w:t>
      </w:r>
      <w:r w:rsidR="00362C9E">
        <w:rPr>
          <w:rFonts w:ascii="Arial" w:hAnsi="Arial"/>
        </w:rPr>
        <w:t>not</w:t>
      </w:r>
      <w:r w:rsidR="00E1066E" w:rsidRPr="00E1066E">
        <w:rPr>
          <w:rFonts w:ascii="Arial" w:hAnsi="Arial"/>
        </w:rPr>
        <w:t xml:space="preserve"> guarantee a stable, multi</w:t>
      </w:r>
      <w:r w:rsidR="00E1066E" w:rsidRPr="00E1066E">
        <w:rPr>
          <w:rFonts w:ascii="Cambria Math" w:hAnsi="Cambria Math" w:cs="Cambria Math"/>
        </w:rPr>
        <w:t>‑</w:t>
      </w:r>
      <w:r w:rsidR="00E1066E" w:rsidRPr="00E1066E">
        <w:rPr>
          <w:rFonts w:ascii="Arial" w:hAnsi="Arial"/>
        </w:rPr>
        <w:t>year payment stream</w:t>
      </w:r>
      <w:r w:rsidRPr="00681DA4">
        <w:t xml:space="preserve"> </w:t>
      </w:r>
      <w:r w:rsidRPr="00681DA4">
        <w:rPr>
          <w:rFonts w:ascii="Arial" w:hAnsi="Arial"/>
        </w:rPr>
        <w:t>that on its own would finance the construction of a long-duration ESR, much less any generation resource</w:t>
      </w:r>
      <w:r w:rsidR="00E1066E" w:rsidRPr="00E1066E">
        <w:rPr>
          <w:rFonts w:ascii="Arial" w:hAnsi="Arial"/>
        </w:rPr>
        <w:t>. DRR</w:t>
      </w:r>
      <w:r w:rsidR="00362C9E">
        <w:rPr>
          <w:rFonts w:ascii="Arial" w:hAnsi="Arial"/>
        </w:rPr>
        <w:t>S</w:t>
      </w:r>
      <w:r w:rsidR="00362C9E" w:rsidRPr="00362C9E">
        <w:rPr>
          <w:rFonts w:ascii="Arial" w:hAnsi="Arial"/>
        </w:rPr>
        <w:t xml:space="preserve"> is an Ancillary Service procured daily in the Day-Ahead Market (DAM).</w:t>
      </w:r>
      <w:r w:rsidR="00362C9E">
        <w:rPr>
          <w:rFonts w:ascii="Arial" w:hAnsi="Arial"/>
        </w:rPr>
        <w:t xml:space="preserve"> Because procurement volumes </w:t>
      </w:r>
      <w:r w:rsidR="00362C9E" w:rsidRPr="00362C9E">
        <w:rPr>
          <w:rFonts w:ascii="Arial" w:hAnsi="Arial"/>
        </w:rPr>
        <w:t>are inherently capped by the reliability need defined in statute, DRRS cannot provide the scale or certainty of revenue necessary to drive multi</w:t>
      </w:r>
      <w:r w:rsidR="00362C9E" w:rsidRPr="00362C9E">
        <w:rPr>
          <w:rFonts w:ascii="Cambria Math" w:hAnsi="Cambria Math" w:cs="Cambria Math"/>
        </w:rPr>
        <w:t>‑</w:t>
      </w:r>
      <w:r w:rsidR="00362C9E" w:rsidRPr="00362C9E">
        <w:rPr>
          <w:rFonts w:ascii="Arial" w:hAnsi="Arial"/>
        </w:rPr>
        <w:t>hundred</w:t>
      </w:r>
      <w:r w:rsidR="00362C9E" w:rsidRPr="00362C9E">
        <w:rPr>
          <w:rFonts w:ascii="Cambria Math" w:hAnsi="Cambria Math" w:cs="Cambria Math"/>
        </w:rPr>
        <w:t>‑</w:t>
      </w:r>
      <w:r w:rsidR="00362C9E" w:rsidRPr="00362C9E">
        <w:rPr>
          <w:rFonts w:ascii="Arial" w:hAnsi="Arial"/>
        </w:rPr>
        <w:t>million</w:t>
      </w:r>
      <w:r w:rsidR="00362C9E" w:rsidRPr="00362C9E">
        <w:rPr>
          <w:rFonts w:ascii="Cambria Math" w:hAnsi="Cambria Math" w:cs="Cambria Math"/>
        </w:rPr>
        <w:t>‑</w:t>
      </w:r>
      <w:r w:rsidR="00362C9E" w:rsidRPr="00362C9E">
        <w:rPr>
          <w:rFonts w:ascii="Arial" w:hAnsi="Arial"/>
        </w:rPr>
        <w:t>dollar investments in long</w:t>
      </w:r>
      <w:r w:rsidR="00362C9E" w:rsidRPr="00362C9E">
        <w:rPr>
          <w:rFonts w:ascii="Cambria Math" w:hAnsi="Cambria Math" w:cs="Cambria Math"/>
        </w:rPr>
        <w:t>‑</w:t>
      </w:r>
      <w:r w:rsidR="00362C9E" w:rsidRPr="00362C9E">
        <w:rPr>
          <w:rFonts w:ascii="Arial" w:hAnsi="Arial"/>
        </w:rPr>
        <w:t>duration storage</w:t>
      </w:r>
      <w:r>
        <w:rPr>
          <w:rFonts w:ascii="Arial" w:hAnsi="Arial"/>
        </w:rPr>
        <w:t xml:space="preserve"> or any generation resource</w:t>
      </w:r>
      <w:r w:rsidR="00362C9E" w:rsidRPr="00362C9E">
        <w:rPr>
          <w:rFonts w:ascii="Arial" w:hAnsi="Arial"/>
        </w:rPr>
        <w:t xml:space="preserve">. </w:t>
      </w:r>
      <w:r w:rsidR="00E1066E" w:rsidRPr="00E1066E">
        <w:rPr>
          <w:rFonts w:ascii="Arial" w:hAnsi="Arial"/>
        </w:rPr>
        <w:t>Developers evaluate the entire ERCOT revenue stack</w:t>
      </w:r>
      <w:r w:rsidR="00107434">
        <w:rPr>
          <w:rFonts w:ascii="Arial" w:hAnsi="Arial"/>
        </w:rPr>
        <w:t>,</w:t>
      </w:r>
      <w:r w:rsidR="00E1066E">
        <w:rPr>
          <w:rFonts w:ascii="Arial" w:hAnsi="Arial" w:cs="Arial"/>
        </w:rPr>
        <w:t xml:space="preserve"> including </w:t>
      </w:r>
      <w:r w:rsidR="00E1066E" w:rsidRPr="00E1066E">
        <w:rPr>
          <w:rFonts w:ascii="Arial" w:hAnsi="Arial"/>
        </w:rPr>
        <w:t xml:space="preserve">energy arbitrage, </w:t>
      </w:r>
      <w:r w:rsidR="00362C9E">
        <w:rPr>
          <w:rFonts w:ascii="Arial" w:hAnsi="Arial"/>
        </w:rPr>
        <w:t>other A</w:t>
      </w:r>
      <w:r w:rsidR="00E1066E" w:rsidRPr="00E1066E">
        <w:rPr>
          <w:rFonts w:ascii="Arial" w:hAnsi="Arial"/>
        </w:rPr>
        <w:t xml:space="preserve">ncillary </w:t>
      </w:r>
      <w:r w:rsidR="00362C9E">
        <w:rPr>
          <w:rFonts w:ascii="Arial" w:hAnsi="Arial"/>
        </w:rPr>
        <w:t>S</w:t>
      </w:r>
      <w:r w:rsidR="00E1066E" w:rsidRPr="00E1066E">
        <w:rPr>
          <w:rFonts w:ascii="Arial" w:hAnsi="Arial"/>
        </w:rPr>
        <w:t xml:space="preserve">ervices, </w:t>
      </w:r>
      <w:r w:rsidR="00E1066E">
        <w:rPr>
          <w:rFonts w:ascii="Arial" w:hAnsi="Arial"/>
        </w:rPr>
        <w:t xml:space="preserve">and </w:t>
      </w:r>
      <w:r w:rsidR="00E1066E" w:rsidRPr="00E1066E">
        <w:rPr>
          <w:rFonts w:ascii="Arial" w:hAnsi="Arial"/>
        </w:rPr>
        <w:t>scarcity pricing</w:t>
      </w:r>
      <w:r w:rsidR="00E1066E">
        <w:rPr>
          <w:rFonts w:ascii="Arial" w:hAnsi="Arial" w:cs="Arial"/>
        </w:rPr>
        <w:t xml:space="preserve">, </w:t>
      </w:r>
      <w:r w:rsidR="00EE591E">
        <w:rPr>
          <w:rFonts w:ascii="Arial" w:hAnsi="Arial" w:cs="Arial"/>
        </w:rPr>
        <w:t xml:space="preserve">rather than relying on </w:t>
      </w:r>
      <w:r w:rsidR="00E1066E" w:rsidRPr="00E1066E">
        <w:rPr>
          <w:rFonts w:ascii="Arial" w:hAnsi="Arial"/>
        </w:rPr>
        <w:t>a single ancillary service product.</w:t>
      </w:r>
    </w:p>
    <w:p w14:paraId="4613CEDA" w14:textId="64B997ED" w:rsidR="00C5467A" w:rsidRDefault="00C5467A" w:rsidP="00435281">
      <w:pPr>
        <w:pStyle w:val="ListParagraph"/>
        <w:numPr>
          <w:ilvl w:val="0"/>
          <w:numId w:val="6"/>
        </w:numPr>
        <w:spacing w:before="120" w:after="120"/>
        <w:ind w:left="720"/>
        <w:jc w:val="both"/>
        <w:rPr>
          <w:rFonts w:ascii="Arial" w:hAnsi="Arial"/>
          <w:b/>
          <w:bCs/>
        </w:rPr>
      </w:pPr>
      <w:r w:rsidRPr="00C5467A">
        <w:rPr>
          <w:rFonts w:ascii="Arial" w:hAnsi="Arial"/>
          <w:b/>
          <w:bCs/>
        </w:rPr>
        <w:t>PURA § 39.159(d)(2)(B) states another criterion for participation in DRRS requiring a resource to “be online and dispatchable not more than two hours after being called on for deployment.” Should subsections (d)(2)(A) and (B) be read together such that a Resource is only qualified to provide DRRS at the amount of MW that it can ramp to within two hours and then sustain for at least four hours?</w:t>
      </w:r>
    </w:p>
    <w:p w14:paraId="1BDABBA8" w14:textId="77777777" w:rsidR="00F70FD1" w:rsidRDefault="00F70FD1" w:rsidP="00F70FD1">
      <w:pPr>
        <w:jc w:val="both"/>
        <w:rPr>
          <w:rFonts w:ascii="Arial" w:hAnsi="Arial" w:cs="Arial"/>
        </w:rPr>
      </w:pPr>
    </w:p>
    <w:p w14:paraId="550F2820" w14:textId="1F00CCEE" w:rsidR="00337CCD" w:rsidRDefault="002C4224" w:rsidP="00A36AFD">
      <w:pPr>
        <w:jc w:val="both"/>
        <w:rPr>
          <w:rFonts w:ascii="Arial" w:hAnsi="Arial" w:cs="Arial"/>
        </w:rPr>
      </w:pPr>
      <w:r>
        <w:rPr>
          <w:rFonts w:ascii="Arial" w:hAnsi="Arial" w:cs="Arial"/>
        </w:rPr>
        <w:t xml:space="preserve">No, </w:t>
      </w:r>
      <w:r w:rsidR="00E17B7F" w:rsidRPr="00E17B7F">
        <w:rPr>
          <w:rFonts w:ascii="Arial" w:hAnsi="Arial" w:cs="Arial"/>
        </w:rPr>
        <w:t xml:space="preserve">Subsections (d)(2)(A) and (B) </w:t>
      </w:r>
      <w:r w:rsidR="00A51177">
        <w:rPr>
          <w:rFonts w:ascii="Arial" w:hAnsi="Arial" w:cs="Arial"/>
        </w:rPr>
        <w:t xml:space="preserve">should not be read as a combined MW-limiting formula. They </w:t>
      </w:r>
      <w:r w:rsidR="00E17B7F" w:rsidRPr="00E17B7F">
        <w:rPr>
          <w:rFonts w:ascii="Arial" w:hAnsi="Arial" w:cs="Arial"/>
        </w:rPr>
        <w:t xml:space="preserve">establish </w:t>
      </w:r>
      <w:r w:rsidR="00A51177">
        <w:rPr>
          <w:rFonts w:ascii="Arial" w:hAnsi="Arial" w:cs="Arial"/>
        </w:rPr>
        <w:t xml:space="preserve">two </w:t>
      </w:r>
      <w:r w:rsidR="00E17B7F" w:rsidRPr="00E17B7F">
        <w:rPr>
          <w:rFonts w:ascii="Arial" w:hAnsi="Arial" w:cs="Arial"/>
        </w:rPr>
        <w:t>independent</w:t>
      </w:r>
      <w:r w:rsidR="00A51177">
        <w:rPr>
          <w:rFonts w:ascii="Arial" w:hAnsi="Arial" w:cs="Arial"/>
        </w:rPr>
        <w:t xml:space="preserve"> requirements: </w:t>
      </w:r>
      <w:r w:rsidR="00337CCD" w:rsidRPr="00337CCD">
        <w:rPr>
          <w:rFonts w:ascii="Arial" w:hAnsi="Arial" w:cs="Arial"/>
        </w:rPr>
        <w:t xml:space="preserve">(B) is a readiness requirement (online within two hours), while (A) is a duration requirement (sustain HSL for four hours). Treating them as a single constraint would improperly convert DRRS into </w:t>
      </w:r>
      <w:r w:rsidR="00B969C6" w:rsidRPr="00B969C6">
        <w:rPr>
          <w:rFonts w:ascii="Arial" w:hAnsi="Arial" w:cs="Arial"/>
        </w:rPr>
        <w:t>static duration screen rather than a dynamic reliability service</w:t>
      </w:r>
      <w:r>
        <w:rPr>
          <w:rFonts w:ascii="Arial" w:hAnsi="Arial" w:cs="Arial"/>
        </w:rPr>
        <w:t xml:space="preserve">. Merging these distinct criteria </w:t>
      </w:r>
      <w:r w:rsidR="00337CCD" w:rsidRPr="00337CCD">
        <w:rPr>
          <w:rFonts w:ascii="Arial" w:hAnsi="Arial" w:cs="Arial"/>
        </w:rPr>
        <w:t xml:space="preserve">would significantly reduce competition, </w:t>
      </w:r>
      <w:r>
        <w:rPr>
          <w:rFonts w:ascii="Arial" w:hAnsi="Arial" w:cs="Arial"/>
        </w:rPr>
        <w:t>increase</w:t>
      </w:r>
      <w:r w:rsidR="00337CCD" w:rsidRPr="00337CCD">
        <w:rPr>
          <w:rFonts w:ascii="Arial" w:hAnsi="Arial" w:cs="Arial"/>
        </w:rPr>
        <w:t xml:space="preserve"> costs</w:t>
      </w:r>
      <w:r>
        <w:rPr>
          <w:rFonts w:ascii="Arial" w:hAnsi="Arial" w:cs="Arial"/>
        </w:rPr>
        <w:t xml:space="preserve"> to consumers by disqualifying </w:t>
      </w:r>
      <w:r w:rsidR="00B969C6">
        <w:rPr>
          <w:rFonts w:ascii="Arial" w:hAnsi="Arial" w:cs="Arial"/>
        </w:rPr>
        <w:t xml:space="preserve">efficient </w:t>
      </w:r>
      <w:r>
        <w:rPr>
          <w:rFonts w:ascii="Arial" w:hAnsi="Arial" w:cs="Arial"/>
        </w:rPr>
        <w:t>resources that are fully capable of providing four hours of sustained reliability</w:t>
      </w:r>
      <w:r w:rsidR="00337CCD" w:rsidRPr="00337CCD">
        <w:rPr>
          <w:rFonts w:ascii="Arial" w:hAnsi="Arial" w:cs="Arial"/>
        </w:rPr>
        <w:t xml:space="preserve">, and slow the deployment of </w:t>
      </w:r>
      <w:r>
        <w:rPr>
          <w:rFonts w:ascii="Arial" w:hAnsi="Arial" w:cs="Arial"/>
        </w:rPr>
        <w:t>r</w:t>
      </w:r>
      <w:r w:rsidR="00337CCD" w:rsidRPr="00337CCD">
        <w:rPr>
          <w:rFonts w:ascii="Arial" w:hAnsi="Arial" w:cs="Arial"/>
        </w:rPr>
        <w:t>esources.</w:t>
      </w:r>
    </w:p>
    <w:p w14:paraId="62AA5D6D" w14:textId="77777777" w:rsidR="00337CCD" w:rsidRDefault="00337CCD" w:rsidP="00A36AFD">
      <w:pPr>
        <w:jc w:val="both"/>
        <w:rPr>
          <w:rFonts w:ascii="Arial" w:hAnsi="Arial" w:cs="Arial"/>
        </w:rPr>
      </w:pPr>
    </w:p>
    <w:p w14:paraId="6E81CB4D" w14:textId="635D35D2" w:rsidR="00337CCD" w:rsidRDefault="00337CCD" w:rsidP="00A36AFD">
      <w:pPr>
        <w:jc w:val="both"/>
        <w:rPr>
          <w:rFonts w:ascii="Arial" w:hAnsi="Arial" w:cs="Arial"/>
        </w:rPr>
      </w:pPr>
      <w:r w:rsidRPr="00337CCD">
        <w:rPr>
          <w:rFonts w:ascii="Arial" w:hAnsi="Arial" w:cs="Arial"/>
        </w:rPr>
        <w:t>There is no statutory basis to conclude that the MW level for "Startup" must be identical to the "Sustained" MW level if the Resource can physically meet both independently. A performance</w:t>
      </w:r>
      <w:r w:rsidRPr="00337CCD">
        <w:rPr>
          <w:rFonts w:ascii="Cambria Math" w:hAnsi="Cambria Math" w:cs="Cambria Math"/>
        </w:rPr>
        <w:t>‑</w:t>
      </w:r>
      <w:r w:rsidRPr="00337CCD">
        <w:rPr>
          <w:rFonts w:ascii="Arial" w:hAnsi="Arial" w:cs="Arial"/>
        </w:rPr>
        <w:t>based HSL framework, consistent with ERCOT’s long</w:t>
      </w:r>
      <w:r w:rsidRPr="00337CCD">
        <w:rPr>
          <w:rFonts w:ascii="Cambria Math" w:hAnsi="Cambria Math" w:cs="Cambria Math"/>
        </w:rPr>
        <w:t>‑</w:t>
      </w:r>
      <w:r w:rsidRPr="00337CCD">
        <w:rPr>
          <w:rFonts w:ascii="Arial" w:hAnsi="Arial" w:cs="Arial"/>
        </w:rPr>
        <w:t>standing operational practices, more accurately reflects actual resource capability, expands competition, and aligns with the statutory purpose of ensuring dependable multi</w:t>
      </w:r>
      <w:r w:rsidRPr="00337CCD">
        <w:rPr>
          <w:rFonts w:ascii="Cambria Math" w:hAnsi="Cambria Math" w:cs="Cambria Math"/>
        </w:rPr>
        <w:t>‑</w:t>
      </w:r>
      <w:r w:rsidRPr="00337CCD">
        <w:rPr>
          <w:rFonts w:ascii="Arial" w:hAnsi="Arial" w:cs="Arial"/>
        </w:rPr>
        <w:t>hour support during extended system stress.</w:t>
      </w:r>
    </w:p>
    <w:p w14:paraId="20A6331A" w14:textId="77777777" w:rsidR="00337CCD" w:rsidRDefault="00337CCD" w:rsidP="00A36AFD">
      <w:pPr>
        <w:jc w:val="both"/>
        <w:rPr>
          <w:rFonts w:ascii="Arial" w:hAnsi="Arial" w:cs="Arial"/>
        </w:rPr>
      </w:pPr>
    </w:p>
    <w:p w14:paraId="7DCDADDA" w14:textId="7CC288EB" w:rsidR="00C5467A" w:rsidRPr="00A36AFD" w:rsidRDefault="00E17B7F" w:rsidP="00A36AFD">
      <w:pPr>
        <w:jc w:val="both"/>
        <w:rPr>
          <w:rFonts w:ascii="Arial" w:hAnsi="Arial" w:cs="Arial"/>
        </w:rPr>
      </w:pPr>
      <w:r w:rsidRPr="00E17B7F">
        <w:rPr>
          <w:rFonts w:ascii="Arial" w:hAnsi="Arial" w:cs="Arial"/>
        </w:rPr>
        <w:t>A Resource is qualified if it is dispatchable within two hours and can sustain its awarded DRRS-HSL for four hours. Treating these as a "combined formula" would exclude flexible resources that meet the reliability need of the grid, contrary to the technology-neutral mandate of PURA § 39.159(b). A performance-based framework aligns with ERCOT’s Operational Instructions and ensures that the grid has access to the widest pool of resources capable of supporting the system during extended stress events.</w:t>
      </w:r>
    </w:p>
    <w:p w14:paraId="00F362D5" w14:textId="77777777" w:rsidR="00C5467A" w:rsidRPr="00C5467A" w:rsidRDefault="00C5467A" w:rsidP="00C5467A">
      <w:pPr>
        <w:pStyle w:val="ListParagraph"/>
        <w:rPr>
          <w:rFonts w:ascii="Arial" w:hAnsi="Arial"/>
        </w:rPr>
      </w:pPr>
    </w:p>
    <w:p w14:paraId="00E6705B" w14:textId="659D0332" w:rsidR="00A36AFD" w:rsidRPr="00A51177" w:rsidRDefault="00C5467A" w:rsidP="00435281">
      <w:pPr>
        <w:pStyle w:val="ListParagraph"/>
        <w:numPr>
          <w:ilvl w:val="0"/>
          <w:numId w:val="6"/>
        </w:numPr>
        <w:spacing w:before="120" w:after="120"/>
        <w:ind w:left="720"/>
        <w:jc w:val="both"/>
        <w:rPr>
          <w:rFonts w:ascii="Arial" w:hAnsi="Arial"/>
          <w:b/>
          <w:bCs/>
        </w:rPr>
      </w:pPr>
      <w:r w:rsidRPr="00C5467A">
        <w:rPr>
          <w:rFonts w:ascii="Arial" w:hAnsi="Arial"/>
          <w:b/>
          <w:bCs/>
        </w:rPr>
        <w:t xml:space="preserve">PURA § 39.159(e) states that ERCOT “may require a resource to be capable of running for more than four hours as [ERCOT] determines is needed.”  Should DRRS’s duration requirement be extended beyond four hours, for instance to eight hours, twelve hours, or even longer?  Please explain the </w:t>
      </w:r>
      <w:r w:rsidRPr="00C5467A">
        <w:rPr>
          <w:rFonts w:ascii="Arial" w:hAnsi="Arial"/>
          <w:b/>
          <w:bCs/>
        </w:rPr>
        <w:lastRenderedPageBreak/>
        <w:t>operational or reliability-related reasons that the DRRS duration should or should not be extended as well as the likely financial impacts of such a longer duration requirement on the current ESR fleet and how that longer duration requirement would impact incentives for future investments in the ESR fleet.</w:t>
      </w:r>
    </w:p>
    <w:p w14:paraId="44730C28" w14:textId="433EFB84" w:rsidR="00A36AFD" w:rsidRDefault="00A36AFD" w:rsidP="00FF1C30">
      <w:pPr>
        <w:spacing w:before="120" w:after="120"/>
        <w:jc w:val="both"/>
        <w:rPr>
          <w:rFonts w:ascii="Arial" w:hAnsi="Arial"/>
        </w:rPr>
      </w:pPr>
      <w:r w:rsidRPr="00A36AFD">
        <w:rPr>
          <w:rFonts w:ascii="Arial" w:hAnsi="Arial"/>
        </w:rPr>
        <w:t>A longer duration requirement for DRRS is not warranted at this time because the operational uncertainty DRRS was designed to address typically manifests within a four-hour window. As noted in the 2022 and 2023 IMM State of the Market Reports, DRRS was conceived to manage intra-day uncertainty</w:t>
      </w:r>
      <w:r>
        <w:rPr>
          <w:rFonts w:ascii="Arial" w:hAnsi="Arial"/>
        </w:rPr>
        <w:t xml:space="preserve">, </w:t>
      </w:r>
      <w:r w:rsidRPr="00A36AFD">
        <w:rPr>
          <w:rFonts w:ascii="Arial" w:hAnsi="Arial"/>
        </w:rPr>
        <w:t xml:space="preserve">specifically load forecast errors and </w:t>
      </w:r>
      <w:r>
        <w:rPr>
          <w:rFonts w:ascii="Arial" w:hAnsi="Arial"/>
        </w:rPr>
        <w:t xml:space="preserve">variability in </w:t>
      </w:r>
      <w:r w:rsidRPr="00A36AFD">
        <w:rPr>
          <w:rFonts w:ascii="Arial" w:hAnsi="Arial"/>
        </w:rPr>
        <w:t xml:space="preserve">renewable </w:t>
      </w:r>
      <w:r>
        <w:rPr>
          <w:rFonts w:ascii="Arial" w:hAnsi="Arial"/>
        </w:rPr>
        <w:t xml:space="preserve">generation, </w:t>
      </w:r>
      <w:r w:rsidRPr="00A36AFD">
        <w:rPr>
          <w:rFonts w:ascii="Arial" w:hAnsi="Arial"/>
        </w:rPr>
        <w:t xml:space="preserve">not to serve as a long-duration </w:t>
      </w:r>
      <w:r>
        <w:rPr>
          <w:rFonts w:ascii="Arial" w:hAnsi="Arial"/>
        </w:rPr>
        <w:t>resource</w:t>
      </w:r>
      <w:r w:rsidRPr="00A36AFD">
        <w:rPr>
          <w:rFonts w:ascii="Arial" w:hAnsi="Arial"/>
        </w:rPr>
        <w:t xml:space="preserve"> adequacy </w:t>
      </w:r>
      <w:r>
        <w:rPr>
          <w:rFonts w:ascii="Arial" w:hAnsi="Arial"/>
        </w:rPr>
        <w:t xml:space="preserve">construct </w:t>
      </w:r>
      <w:r w:rsidRPr="00A36AFD">
        <w:rPr>
          <w:rFonts w:ascii="Arial" w:hAnsi="Arial"/>
        </w:rPr>
        <w:t>that requires multi-hour energy reserves for extreme weather events.</w:t>
      </w:r>
      <w:r>
        <w:rPr>
          <w:rFonts w:ascii="Arial" w:hAnsi="Arial"/>
        </w:rPr>
        <w:t xml:space="preserve"> </w:t>
      </w:r>
      <w:r w:rsidRPr="00A36AFD">
        <w:rPr>
          <w:rFonts w:ascii="Arial" w:hAnsi="Arial"/>
        </w:rPr>
        <w:t>Expanding DRRS to eight or twelve hours would conflate a flexibility service with a capacity resource, shifting the product away from its statutory purpose under PURA § 39.159(b) without a demonstrated reliability gap that justifies such an extension.</w:t>
      </w:r>
    </w:p>
    <w:p w14:paraId="6B17FF48" w14:textId="30CEC77C" w:rsidR="00381675" w:rsidRDefault="00A36AFD" w:rsidP="00FF1C30">
      <w:pPr>
        <w:spacing w:before="120" w:after="120"/>
        <w:jc w:val="both"/>
        <w:rPr>
          <w:rFonts w:ascii="Arial" w:hAnsi="Arial"/>
        </w:rPr>
      </w:pPr>
      <w:r w:rsidRPr="00A36AFD">
        <w:rPr>
          <w:rFonts w:ascii="Arial" w:hAnsi="Arial"/>
        </w:rPr>
        <w:t xml:space="preserve">Operationally, ERCOT has not identified a recurring pattern of reliability events that require sustained Non-Spinning or reserve deployments beyond four hours. While PURA § 39.159(e) grants ERCOT the authority to extend duration, this is a contingent authority intended to be exercised only as ERCOT "determines is needed" based on empirical system stress analysis. Preemptively doubling or tripling the </w:t>
      </w:r>
      <w:r w:rsidR="00681DA4">
        <w:rPr>
          <w:rFonts w:ascii="Arial" w:hAnsi="Arial"/>
        </w:rPr>
        <w:t xml:space="preserve">statutory </w:t>
      </w:r>
      <w:r w:rsidRPr="00A36AFD">
        <w:rPr>
          <w:rFonts w:ascii="Arial" w:hAnsi="Arial"/>
        </w:rPr>
        <w:t>duration requirement without a comprehensive reliability study would be arbitrary and would bypass the legislative baseline of four hours. Any extension must be a lagging response to documented operational data, not a leading design feature that restricts market entry.</w:t>
      </w:r>
    </w:p>
    <w:p w14:paraId="070C28A9" w14:textId="7CD4970A" w:rsidR="00381675" w:rsidRDefault="00381675" w:rsidP="00FF1C30">
      <w:pPr>
        <w:spacing w:before="120" w:after="120"/>
        <w:jc w:val="both"/>
        <w:rPr>
          <w:rFonts w:ascii="Arial" w:hAnsi="Arial"/>
        </w:rPr>
      </w:pPr>
      <w:r w:rsidRPr="00381675">
        <w:rPr>
          <w:rFonts w:ascii="Arial" w:hAnsi="Arial"/>
        </w:rPr>
        <w:t>Financially, an eight or twelve</w:t>
      </w:r>
      <w:r w:rsidR="00565BCC">
        <w:rPr>
          <w:rFonts w:ascii="Arial" w:hAnsi="Arial"/>
        </w:rPr>
        <w:t xml:space="preserve"> </w:t>
      </w:r>
      <w:r w:rsidRPr="00381675">
        <w:rPr>
          <w:rFonts w:ascii="Arial" w:hAnsi="Arial"/>
        </w:rPr>
        <w:t>hour requirement would lead to artificial scarcity and higher clearing prices for consumers. Furthermore, DRRS revenue</w:t>
      </w:r>
      <w:r>
        <w:rPr>
          <w:rFonts w:ascii="Arial" w:hAnsi="Arial"/>
        </w:rPr>
        <w:t xml:space="preserve">, </w:t>
      </w:r>
      <w:r w:rsidRPr="00381675">
        <w:rPr>
          <w:rFonts w:ascii="Arial" w:hAnsi="Arial"/>
        </w:rPr>
        <w:t>subject to the Ancillary Service Demand Curve (ASDC) and daily auctions</w:t>
      </w:r>
      <w:r>
        <w:rPr>
          <w:rFonts w:ascii="Arial" w:hAnsi="Arial"/>
        </w:rPr>
        <w:t xml:space="preserve">, </w:t>
      </w:r>
      <w:r w:rsidRPr="00381675">
        <w:rPr>
          <w:rFonts w:ascii="Arial" w:hAnsi="Arial"/>
        </w:rPr>
        <w:t xml:space="preserve">is insufficient to recover the marginal capital cost of adding </w:t>
      </w:r>
      <w:r w:rsidR="00565BCC">
        <w:rPr>
          <w:rFonts w:ascii="Arial" w:hAnsi="Arial"/>
        </w:rPr>
        <w:t xml:space="preserve">six to ten </w:t>
      </w:r>
      <w:r>
        <w:rPr>
          <w:rFonts w:ascii="Arial" w:hAnsi="Arial"/>
        </w:rPr>
        <w:t xml:space="preserve">additional </w:t>
      </w:r>
      <w:r w:rsidRPr="00381675">
        <w:rPr>
          <w:rFonts w:ascii="Arial" w:hAnsi="Arial"/>
        </w:rPr>
        <w:t>hours of duration</w:t>
      </w:r>
      <w:r>
        <w:rPr>
          <w:rFonts w:ascii="Arial" w:hAnsi="Arial"/>
        </w:rPr>
        <w:t xml:space="preserve"> to reach an </w:t>
      </w:r>
      <w:r w:rsidR="00565BCC">
        <w:rPr>
          <w:rFonts w:ascii="Arial" w:hAnsi="Arial"/>
        </w:rPr>
        <w:t>eight</w:t>
      </w:r>
      <w:r>
        <w:rPr>
          <w:rFonts w:ascii="Arial" w:hAnsi="Arial"/>
        </w:rPr>
        <w:t xml:space="preserve"> or </w:t>
      </w:r>
      <w:r w:rsidR="00565BCC">
        <w:rPr>
          <w:rFonts w:ascii="Arial" w:hAnsi="Arial"/>
        </w:rPr>
        <w:t xml:space="preserve">twelve </w:t>
      </w:r>
      <w:r>
        <w:rPr>
          <w:rFonts w:ascii="Arial" w:hAnsi="Arial"/>
        </w:rPr>
        <w:t>hour standard</w:t>
      </w:r>
      <w:r w:rsidRPr="00381675">
        <w:rPr>
          <w:rFonts w:ascii="Arial" w:hAnsi="Arial"/>
        </w:rPr>
        <w:t>. Without a long-term contract, DRRS alone cannot bridge the "missing money" gap for long-duration storage.</w:t>
      </w:r>
      <w:r w:rsidRPr="00381675">
        <w:t xml:space="preserve"> </w:t>
      </w:r>
      <w:r w:rsidRPr="00381675">
        <w:rPr>
          <w:rFonts w:ascii="Arial" w:hAnsi="Arial"/>
        </w:rPr>
        <w:t>The likely result would be slower deployment of dispatchable capability and higher costs for consumers.</w:t>
      </w:r>
    </w:p>
    <w:p w14:paraId="27E06D32" w14:textId="69863FBD" w:rsidR="009D631B" w:rsidRPr="005A11E9" w:rsidRDefault="00381675" w:rsidP="005A11E9">
      <w:pPr>
        <w:spacing w:before="120" w:after="120"/>
        <w:jc w:val="both"/>
        <w:rPr>
          <w:rFonts w:ascii="Arial" w:hAnsi="Arial"/>
        </w:rPr>
      </w:pPr>
      <w:r w:rsidRPr="00381675">
        <w:rPr>
          <w:rFonts w:ascii="Arial" w:hAnsi="Arial"/>
        </w:rPr>
        <w:t>For these reasons, the four</w:t>
      </w:r>
      <w:r w:rsidR="00565BCC">
        <w:rPr>
          <w:rFonts w:ascii="Arial" w:hAnsi="Arial"/>
        </w:rPr>
        <w:t xml:space="preserve"> </w:t>
      </w:r>
      <w:r w:rsidRPr="00381675">
        <w:rPr>
          <w:rFonts w:ascii="Arial" w:hAnsi="Arial"/>
        </w:rPr>
        <w:t xml:space="preserve">hour duration requirement remains the most accurate reflection of system needs. It aligns with the legislative compromise in HB 1500, preserves market liquidity, and avoids imposing prohibitive costs on the current fleet. ERCOT should maintain the </w:t>
      </w:r>
      <w:proofErr w:type="gramStart"/>
      <w:r w:rsidRPr="00381675">
        <w:rPr>
          <w:rFonts w:ascii="Arial" w:hAnsi="Arial"/>
        </w:rPr>
        <w:t>four</w:t>
      </w:r>
      <w:r w:rsidR="00565BCC">
        <w:rPr>
          <w:rFonts w:ascii="Arial" w:hAnsi="Arial"/>
        </w:rPr>
        <w:t xml:space="preserve"> </w:t>
      </w:r>
      <w:r w:rsidRPr="00381675">
        <w:rPr>
          <w:rFonts w:ascii="Arial" w:hAnsi="Arial"/>
        </w:rPr>
        <w:t>hour</w:t>
      </w:r>
      <w:proofErr w:type="gramEnd"/>
      <w:r w:rsidRPr="00381675">
        <w:rPr>
          <w:rFonts w:ascii="Arial" w:hAnsi="Arial"/>
        </w:rPr>
        <w:t xml:space="preserve"> standard, utilizing real-time telemetry and State of Charge (SOC) monitoring to ensure performance, rather than imposing duration requirements that would stifle investment and increase costs without a clear reliability benefit.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461B294A" w14:textId="77777777" w:rsidTr="00B5080A">
        <w:trPr>
          <w:trHeight w:val="350"/>
        </w:trPr>
        <w:tc>
          <w:tcPr>
            <w:tcW w:w="10440" w:type="dxa"/>
            <w:tcBorders>
              <w:bottom w:val="single" w:sz="4" w:space="0" w:color="auto"/>
            </w:tcBorders>
            <w:shd w:val="clear" w:color="auto" w:fill="FFFFFF"/>
            <w:vAlign w:val="center"/>
          </w:tcPr>
          <w:p w14:paraId="174B7D86" w14:textId="77777777" w:rsidR="00BD7258" w:rsidRDefault="00BD7258" w:rsidP="00B5080A">
            <w:pPr>
              <w:pStyle w:val="Header"/>
              <w:jc w:val="center"/>
            </w:pPr>
            <w:r>
              <w:t>Revised Cover Page Language</w:t>
            </w:r>
          </w:p>
        </w:tc>
      </w:tr>
    </w:tbl>
    <w:p w14:paraId="1BE06603" w14:textId="6D80503B" w:rsidR="00BD7258" w:rsidRPr="00CD4835" w:rsidRDefault="009E6F56" w:rsidP="00CD4835">
      <w:pPr>
        <w:pStyle w:val="BodyText"/>
        <w:ind w:firstLine="0"/>
        <w:rPr>
          <w:bCs/>
        </w:rPr>
      </w:pPr>
      <w:r w:rsidRPr="009E6F56">
        <w:rPr>
          <w:bCs/>
        </w:rPr>
        <w:t>None</w:t>
      </w:r>
      <w:r w:rsidR="00290A00">
        <w:rPr>
          <w:bCs/>
        </w:rPr>
        <w:t xml:space="preserve"> at this time</w:t>
      </w:r>
      <w:r w:rsidRPr="009E6F56">
        <w:rPr>
          <w:bCs/>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D75748C" w14:textId="77777777">
        <w:trPr>
          <w:trHeight w:val="350"/>
        </w:trPr>
        <w:tc>
          <w:tcPr>
            <w:tcW w:w="10440" w:type="dxa"/>
            <w:tcBorders>
              <w:bottom w:val="single" w:sz="4" w:space="0" w:color="auto"/>
            </w:tcBorders>
            <w:shd w:val="clear" w:color="auto" w:fill="FFFFFF"/>
            <w:vAlign w:val="center"/>
          </w:tcPr>
          <w:p w14:paraId="0AB644AE" w14:textId="77777777" w:rsidR="00152993" w:rsidRDefault="00152993">
            <w:pPr>
              <w:pStyle w:val="Header"/>
              <w:jc w:val="center"/>
            </w:pPr>
            <w:r>
              <w:t>Revised Proposed Protocol Language</w:t>
            </w:r>
          </w:p>
        </w:tc>
      </w:tr>
    </w:tbl>
    <w:p w14:paraId="4967E607" w14:textId="22511D11" w:rsidR="00152993" w:rsidRPr="009E6F56" w:rsidRDefault="009E6F56" w:rsidP="00CD4835">
      <w:pPr>
        <w:pStyle w:val="BodyText"/>
        <w:ind w:firstLine="0"/>
        <w:rPr>
          <w:bCs/>
        </w:rPr>
      </w:pPr>
      <w:r w:rsidRPr="009E6F56">
        <w:rPr>
          <w:bCs/>
        </w:rPr>
        <w:t>None</w:t>
      </w:r>
      <w:r w:rsidR="00290A00">
        <w:rPr>
          <w:bCs/>
        </w:rPr>
        <w:t xml:space="preserve"> at this time</w:t>
      </w:r>
      <w:r w:rsidRPr="009E6F56">
        <w:rPr>
          <w:bCs/>
        </w:rPr>
        <w:t>.</w:t>
      </w:r>
    </w:p>
    <w:sectPr w:rsidR="00152993" w:rsidRPr="009E6F56"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BF42B" w14:textId="77777777" w:rsidR="00F62834" w:rsidRDefault="00F62834">
      <w:r>
        <w:separator/>
      </w:r>
    </w:p>
  </w:endnote>
  <w:endnote w:type="continuationSeparator" w:id="0">
    <w:p w14:paraId="17A9B4F7" w14:textId="77777777" w:rsidR="00F62834" w:rsidRDefault="00F62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ED88" w14:textId="34DC6508"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BD44DB">
      <w:rPr>
        <w:rFonts w:ascii="Arial" w:hAnsi="Arial"/>
        <w:noProof/>
        <w:sz w:val="18"/>
      </w:rPr>
      <w:t>1310NPRR-28 APA and ACP Comments 030626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29D1342D"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A3AE" w14:textId="77777777" w:rsidR="00F62834" w:rsidRDefault="00F62834">
      <w:r>
        <w:separator/>
      </w:r>
    </w:p>
  </w:footnote>
  <w:footnote w:type="continuationSeparator" w:id="0">
    <w:p w14:paraId="77DC9805" w14:textId="77777777" w:rsidR="00F62834" w:rsidRDefault="00F62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FD5" w14:textId="3ECD6A48" w:rsidR="00EE6681" w:rsidRDefault="00EE6681">
    <w:pPr>
      <w:pStyle w:val="Header"/>
      <w:jc w:val="center"/>
      <w:rPr>
        <w:sz w:val="32"/>
      </w:rPr>
    </w:pPr>
    <w:r>
      <w:rPr>
        <w:sz w:val="32"/>
      </w:rPr>
      <w:t>NPRR Comments</w:t>
    </w:r>
  </w:p>
  <w:p w14:paraId="01D40F8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AD2187"/>
    <w:multiLevelType w:val="hybridMultilevel"/>
    <w:tmpl w:val="A1F482B4"/>
    <w:lvl w:ilvl="0" w:tplc="0A6AD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F2230"/>
    <w:multiLevelType w:val="hybridMultilevel"/>
    <w:tmpl w:val="86EA1F6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775A7A0F"/>
    <w:multiLevelType w:val="hybridMultilevel"/>
    <w:tmpl w:val="CDD27D76"/>
    <w:lvl w:ilvl="0" w:tplc="EA9AC3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5E624B"/>
    <w:multiLevelType w:val="hybridMultilevel"/>
    <w:tmpl w:val="4DE26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511793">
    <w:abstractNumId w:val="0"/>
  </w:num>
  <w:num w:numId="2" w16cid:durableId="1977953866">
    <w:abstractNumId w:val="3"/>
  </w:num>
  <w:num w:numId="3" w16cid:durableId="1212881740">
    <w:abstractNumId w:val="5"/>
  </w:num>
  <w:num w:numId="4" w16cid:durableId="1265764362">
    <w:abstractNumId w:val="1"/>
  </w:num>
  <w:num w:numId="5" w16cid:durableId="1455518812">
    <w:abstractNumId w:val="2"/>
  </w:num>
  <w:num w:numId="6" w16cid:durableId="2049141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4E0"/>
    <w:rsid w:val="000035B5"/>
    <w:rsid w:val="00014A9C"/>
    <w:rsid w:val="00017A66"/>
    <w:rsid w:val="0002445A"/>
    <w:rsid w:val="0002557B"/>
    <w:rsid w:val="000270BC"/>
    <w:rsid w:val="00027149"/>
    <w:rsid w:val="00037668"/>
    <w:rsid w:val="00040F52"/>
    <w:rsid w:val="00050678"/>
    <w:rsid w:val="00051C87"/>
    <w:rsid w:val="00065138"/>
    <w:rsid w:val="00075A94"/>
    <w:rsid w:val="00077F5F"/>
    <w:rsid w:val="0008726E"/>
    <w:rsid w:val="00087576"/>
    <w:rsid w:val="00096ADA"/>
    <w:rsid w:val="000A0F10"/>
    <w:rsid w:val="000A28F5"/>
    <w:rsid w:val="000A423E"/>
    <w:rsid w:val="000A6FD1"/>
    <w:rsid w:val="000B0389"/>
    <w:rsid w:val="000C53D1"/>
    <w:rsid w:val="000D285D"/>
    <w:rsid w:val="000F087C"/>
    <w:rsid w:val="000F1CC7"/>
    <w:rsid w:val="000F557A"/>
    <w:rsid w:val="001039FA"/>
    <w:rsid w:val="00103ACF"/>
    <w:rsid w:val="00107434"/>
    <w:rsid w:val="001116C3"/>
    <w:rsid w:val="00112CD9"/>
    <w:rsid w:val="00127E5C"/>
    <w:rsid w:val="00132855"/>
    <w:rsid w:val="00132937"/>
    <w:rsid w:val="00132F7A"/>
    <w:rsid w:val="00133D00"/>
    <w:rsid w:val="001378F7"/>
    <w:rsid w:val="00145C07"/>
    <w:rsid w:val="00152993"/>
    <w:rsid w:val="00170297"/>
    <w:rsid w:val="00183B65"/>
    <w:rsid w:val="001A0413"/>
    <w:rsid w:val="001A20DD"/>
    <w:rsid w:val="001A227D"/>
    <w:rsid w:val="001A5075"/>
    <w:rsid w:val="001B0A37"/>
    <w:rsid w:val="001B653D"/>
    <w:rsid w:val="001C360C"/>
    <w:rsid w:val="001E2032"/>
    <w:rsid w:val="001E3FF0"/>
    <w:rsid w:val="001E4625"/>
    <w:rsid w:val="001E794A"/>
    <w:rsid w:val="001F00C2"/>
    <w:rsid w:val="001F7565"/>
    <w:rsid w:val="00213D7D"/>
    <w:rsid w:val="00224F44"/>
    <w:rsid w:val="00230137"/>
    <w:rsid w:val="002439B5"/>
    <w:rsid w:val="00243CAF"/>
    <w:rsid w:val="00255C81"/>
    <w:rsid w:val="002816D3"/>
    <w:rsid w:val="00290A00"/>
    <w:rsid w:val="002917B8"/>
    <w:rsid w:val="00296865"/>
    <w:rsid w:val="002A35A2"/>
    <w:rsid w:val="002A3EDD"/>
    <w:rsid w:val="002A41D0"/>
    <w:rsid w:val="002B0153"/>
    <w:rsid w:val="002B5D7E"/>
    <w:rsid w:val="002C4224"/>
    <w:rsid w:val="002C5606"/>
    <w:rsid w:val="002C5F13"/>
    <w:rsid w:val="002C6C18"/>
    <w:rsid w:val="002D1D54"/>
    <w:rsid w:val="002D2573"/>
    <w:rsid w:val="002E26AF"/>
    <w:rsid w:val="002E7D6E"/>
    <w:rsid w:val="002F2354"/>
    <w:rsid w:val="002F28B9"/>
    <w:rsid w:val="003010C0"/>
    <w:rsid w:val="00312EF0"/>
    <w:rsid w:val="00332A97"/>
    <w:rsid w:val="00335269"/>
    <w:rsid w:val="00337CCD"/>
    <w:rsid w:val="0034068C"/>
    <w:rsid w:val="0034357C"/>
    <w:rsid w:val="00350C00"/>
    <w:rsid w:val="003527B7"/>
    <w:rsid w:val="00362B5E"/>
    <w:rsid w:val="00362C9E"/>
    <w:rsid w:val="00366113"/>
    <w:rsid w:val="00372C86"/>
    <w:rsid w:val="00381675"/>
    <w:rsid w:val="00384CF6"/>
    <w:rsid w:val="00390FE5"/>
    <w:rsid w:val="003A18B7"/>
    <w:rsid w:val="003A5DC2"/>
    <w:rsid w:val="003B3BE2"/>
    <w:rsid w:val="003C1F9B"/>
    <w:rsid w:val="003C270C"/>
    <w:rsid w:val="003C4E58"/>
    <w:rsid w:val="003D0994"/>
    <w:rsid w:val="003D0BE7"/>
    <w:rsid w:val="003D4E1F"/>
    <w:rsid w:val="003D712B"/>
    <w:rsid w:val="003E09EC"/>
    <w:rsid w:val="003F00DA"/>
    <w:rsid w:val="003F0A3F"/>
    <w:rsid w:val="003F6DA4"/>
    <w:rsid w:val="00402CC2"/>
    <w:rsid w:val="004076F4"/>
    <w:rsid w:val="00423824"/>
    <w:rsid w:val="00435281"/>
    <w:rsid w:val="0043567D"/>
    <w:rsid w:val="00435FD1"/>
    <w:rsid w:val="00436851"/>
    <w:rsid w:val="004406F6"/>
    <w:rsid w:val="0044179B"/>
    <w:rsid w:val="00443673"/>
    <w:rsid w:val="00443E62"/>
    <w:rsid w:val="00445062"/>
    <w:rsid w:val="00446799"/>
    <w:rsid w:val="00452B60"/>
    <w:rsid w:val="00453D41"/>
    <w:rsid w:val="004575D5"/>
    <w:rsid w:val="00460C0B"/>
    <w:rsid w:val="00462AEF"/>
    <w:rsid w:val="00464ED3"/>
    <w:rsid w:val="00465F7E"/>
    <w:rsid w:val="004748FF"/>
    <w:rsid w:val="004873B4"/>
    <w:rsid w:val="004A45F5"/>
    <w:rsid w:val="004B1458"/>
    <w:rsid w:val="004B7B90"/>
    <w:rsid w:val="004D66EF"/>
    <w:rsid w:val="004E2C19"/>
    <w:rsid w:val="004E310D"/>
    <w:rsid w:val="004E7714"/>
    <w:rsid w:val="004F2E76"/>
    <w:rsid w:val="004F462E"/>
    <w:rsid w:val="00506917"/>
    <w:rsid w:val="005127B1"/>
    <w:rsid w:val="005127EE"/>
    <w:rsid w:val="00525E0B"/>
    <w:rsid w:val="0053337C"/>
    <w:rsid w:val="00541108"/>
    <w:rsid w:val="005568F2"/>
    <w:rsid w:val="00565BCC"/>
    <w:rsid w:val="0057582D"/>
    <w:rsid w:val="00580966"/>
    <w:rsid w:val="00584A6F"/>
    <w:rsid w:val="00596C1B"/>
    <w:rsid w:val="005A11E9"/>
    <w:rsid w:val="005A3B92"/>
    <w:rsid w:val="005A7F01"/>
    <w:rsid w:val="005C44B4"/>
    <w:rsid w:val="005D284C"/>
    <w:rsid w:val="005E6CC3"/>
    <w:rsid w:val="00604512"/>
    <w:rsid w:val="00612060"/>
    <w:rsid w:val="00623116"/>
    <w:rsid w:val="0062401D"/>
    <w:rsid w:val="00633E23"/>
    <w:rsid w:val="006346A7"/>
    <w:rsid w:val="00636B37"/>
    <w:rsid w:val="006376F2"/>
    <w:rsid w:val="00644CC5"/>
    <w:rsid w:val="00654A40"/>
    <w:rsid w:val="006716D1"/>
    <w:rsid w:val="00673B94"/>
    <w:rsid w:val="00680AC6"/>
    <w:rsid w:val="00681DA4"/>
    <w:rsid w:val="006835D8"/>
    <w:rsid w:val="00687CF0"/>
    <w:rsid w:val="006A0113"/>
    <w:rsid w:val="006A320A"/>
    <w:rsid w:val="006B69BF"/>
    <w:rsid w:val="006C2BCE"/>
    <w:rsid w:val="006C2D2E"/>
    <w:rsid w:val="006C2FAF"/>
    <w:rsid w:val="006C316E"/>
    <w:rsid w:val="006C4EAF"/>
    <w:rsid w:val="006C5A5E"/>
    <w:rsid w:val="006D0757"/>
    <w:rsid w:val="006D0F7C"/>
    <w:rsid w:val="006E4550"/>
    <w:rsid w:val="006E7BD4"/>
    <w:rsid w:val="0070594A"/>
    <w:rsid w:val="00710C97"/>
    <w:rsid w:val="00713EA7"/>
    <w:rsid w:val="00720253"/>
    <w:rsid w:val="00724420"/>
    <w:rsid w:val="007269C4"/>
    <w:rsid w:val="00727247"/>
    <w:rsid w:val="00732692"/>
    <w:rsid w:val="0074209E"/>
    <w:rsid w:val="0074350E"/>
    <w:rsid w:val="00743D9D"/>
    <w:rsid w:val="007503A6"/>
    <w:rsid w:val="00755CE1"/>
    <w:rsid w:val="00757683"/>
    <w:rsid w:val="00763D02"/>
    <w:rsid w:val="00795B47"/>
    <w:rsid w:val="007A7079"/>
    <w:rsid w:val="007A712F"/>
    <w:rsid w:val="007B4E2A"/>
    <w:rsid w:val="007B6E99"/>
    <w:rsid w:val="007C75B8"/>
    <w:rsid w:val="007D11C4"/>
    <w:rsid w:val="007D7669"/>
    <w:rsid w:val="007D770C"/>
    <w:rsid w:val="007D7A25"/>
    <w:rsid w:val="007E1031"/>
    <w:rsid w:val="007E1A6D"/>
    <w:rsid w:val="007F2CA8"/>
    <w:rsid w:val="007F7161"/>
    <w:rsid w:val="00801088"/>
    <w:rsid w:val="00803752"/>
    <w:rsid w:val="00805A46"/>
    <w:rsid w:val="008123D1"/>
    <w:rsid w:val="00820A5B"/>
    <w:rsid w:val="00820DE0"/>
    <w:rsid w:val="0082192A"/>
    <w:rsid w:val="00821AE7"/>
    <w:rsid w:val="00837FC7"/>
    <w:rsid w:val="008540D9"/>
    <w:rsid w:val="0085559E"/>
    <w:rsid w:val="0086503B"/>
    <w:rsid w:val="00884138"/>
    <w:rsid w:val="00892681"/>
    <w:rsid w:val="00896B1B"/>
    <w:rsid w:val="008D4CFF"/>
    <w:rsid w:val="008D5DD3"/>
    <w:rsid w:val="008E2A71"/>
    <w:rsid w:val="008E559E"/>
    <w:rsid w:val="008E5C3D"/>
    <w:rsid w:val="008F0B61"/>
    <w:rsid w:val="008F2263"/>
    <w:rsid w:val="008F49CB"/>
    <w:rsid w:val="008F5F77"/>
    <w:rsid w:val="00915FC7"/>
    <w:rsid w:val="00916080"/>
    <w:rsid w:val="00921A68"/>
    <w:rsid w:val="009330B5"/>
    <w:rsid w:val="00933D8B"/>
    <w:rsid w:val="00933F3E"/>
    <w:rsid w:val="00937F83"/>
    <w:rsid w:val="0094562F"/>
    <w:rsid w:val="009468CA"/>
    <w:rsid w:val="009500CF"/>
    <w:rsid w:val="00957706"/>
    <w:rsid w:val="00962850"/>
    <w:rsid w:val="0096369C"/>
    <w:rsid w:val="0098314B"/>
    <w:rsid w:val="009C3F95"/>
    <w:rsid w:val="009C7FC6"/>
    <w:rsid w:val="009D631B"/>
    <w:rsid w:val="009E59AD"/>
    <w:rsid w:val="009E6F56"/>
    <w:rsid w:val="009F483A"/>
    <w:rsid w:val="00A015C4"/>
    <w:rsid w:val="00A05DCA"/>
    <w:rsid w:val="00A15172"/>
    <w:rsid w:val="00A1573C"/>
    <w:rsid w:val="00A16534"/>
    <w:rsid w:val="00A2470A"/>
    <w:rsid w:val="00A36AFD"/>
    <w:rsid w:val="00A51177"/>
    <w:rsid w:val="00A60A77"/>
    <w:rsid w:val="00A67681"/>
    <w:rsid w:val="00A74D01"/>
    <w:rsid w:val="00A75C8E"/>
    <w:rsid w:val="00AA7987"/>
    <w:rsid w:val="00AC62EB"/>
    <w:rsid w:val="00AC65D5"/>
    <w:rsid w:val="00AD04C2"/>
    <w:rsid w:val="00AD77A6"/>
    <w:rsid w:val="00AD7F3F"/>
    <w:rsid w:val="00AE3813"/>
    <w:rsid w:val="00AE4656"/>
    <w:rsid w:val="00AE5847"/>
    <w:rsid w:val="00AF0256"/>
    <w:rsid w:val="00AF324D"/>
    <w:rsid w:val="00B01B87"/>
    <w:rsid w:val="00B047A4"/>
    <w:rsid w:val="00B079F0"/>
    <w:rsid w:val="00B13939"/>
    <w:rsid w:val="00B20070"/>
    <w:rsid w:val="00B25876"/>
    <w:rsid w:val="00B25CE1"/>
    <w:rsid w:val="00B41787"/>
    <w:rsid w:val="00B5080A"/>
    <w:rsid w:val="00B66BC1"/>
    <w:rsid w:val="00B7283B"/>
    <w:rsid w:val="00B81F5D"/>
    <w:rsid w:val="00B87E7E"/>
    <w:rsid w:val="00B900B2"/>
    <w:rsid w:val="00B943AE"/>
    <w:rsid w:val="00B969C6"/>
    <w:rsid w:val="00BA1A98"/>
    <w:rsid w:val="00BA2AC3"/>
    <w:rsid w:val="00BB2CF1"/>
    <w:rsid w:val="00BB3100"/>
    <w:rsid w:val="00BD44DB"/>
    <w:rsid w:val="00BD7258"/>
    <w:rsid w:val="00BE5704"/>
    <w:rsid w:val="00BF758B"/>
    <w:rsid w:val="00C0598D"/>
    <w:rsid w:val="00C11956"/>
    <w:rsid w:val="00C36ABE"/>
    <w:rsid w:val="00C42E12"/>
    <w:rsid w:val="00C47354"/>
    <w:rsid w:val="00C507B5"/>
    <w:rsid w:val="00C5467A"/>
    <w:rsid w:val="00C552A7"/>
    <w:rsid w:val="00C602E5"/>
    <w:rsid w:val="00C67C80"/>
    <w:rsid w:val="00C72D45"/>
    <w:rsid w:val="00C748FD"/>
    <w:rsid w:val="00C75D35"/>
    <w:rsid w:val="00C771DF"/>
    <w:rsid w:val="00C85BCC"/>
    <w:rsid w:val="00C8758E"/>
    <w:rsid w:val="00CA1C97"/>
    <w:rsid w:val="00CA6CF5"/>
    <w:rsid w:val="00CB2C55"/>
    <w:rsid w:val="00CB2DD9"/>
    <w:rsid w:val="00CB55D5"/>
    <w:rsid w:val="00CB70FE"/>
    <w:rsid w:val="00CC0E25"/>
    <w:rsid w:val="00CC735C"/>
    <w:rsid w:val="00CD0639"/>
    <w:rsid w:val="00CD4835"/>
    <w:rsid w:val="00CE28FF"/>
    <w:rsid w:val="00CE4123"/>
    <w:rsid w:val="00CE693B"/>
    <w:rsid w:val="00CF3615"/>
    <w:rsid w:val="00CF485C"/>
    <w:rsid w:val="00CF5347"/>
    <w:rsid w:val="00D05B07"/>
    <w:rsid w:val="00D2672D"/>
    <w:rsid w:val="00D3477D"/>
    <w:rsid w:val="00D37D9F"/>
    <w:rsid w:val="00D4046E"/>
    <w:rsid w:val="00D4362F"/>
    <w:rsid w:val="00D523AD"/>
    <w:rsid w:val="00D52773"/>
    <w:rsid w:val="00D5291B"/>
    <w:rsid w:val="00D90A3E"/>
    <w:rsid w:val="00D94048"/>
    <w:rsid w:val="00D95A5F"/>
    <w:rsid w:val="00DB1E38"/>
    <w:rsid w:val="00DB72EE"/>
    <w:rsid w:val="00DC7B7F"/>
    <w:rsid w:val="00DD2D70"/>
    <w:rsid w:val="00DD3EC5"/>
    <w:rsid w:val="00DD4739"/>
    <w:rsid w:val="00DD774F"/>
    <w:rsid w:val="00DE5F33"/>
    <w:rsid w:val="00DF4CC0"/>
    <w:rsid w:val="00E07A39"/>
    <w:rsid w:val="00E07B54"/>
    <w:rsid w:val="00E1066E"/>
    <w:rsid w:val="00E11F78"/>
    <w:rsid w:val="00E17B7F"/>
    <w:rsid w:val="00E2189E"/>
    <w:rsid w:val="00E46221"/>
    <w:rsid w:val="00E60053"/>
    <w:rsid w:val="00E60725"/>
    <w:rsid w:val="00E621E1"/>
    <w:rsid w:val="00E65048"/>
    <w:rsid w:val="00E67ACD"/>
    <w:rsid w:val="00E71FDD"/>
    <w:rsid w:val="00E74639"/>
    <w:rsid w:val="00E810D0"/>
    <w:rsid w:val="00E8169F"/>
    <w:rsid w:val="00E91436"/>
    <w:rsid w:val="00E9203C"/>
    <w:rsid w:val="00EA1B26"/>
    <w:rsid w:val="00EA28F0"/>
    <w:rsid w:val="00EB0421"/>
    <w:rsid w:val="00EC55B3"/>
    <w:rsid w:val="00EC7239"/>
    <w:rsid w:val="00ED1E27"/>
    <w:rsid w:val="00EE31B2"/>
    <w:rsid w:val="00EE591E"/>
    <w:rsid w:val="00EE6681"/>
    <w:rsid w:val="00EF748B"/>
    <w:rsid w:val="00F02486"/>
    <w:rsid w:val="00F12818"/>
    <w:rsid w:val="00F1702D"/>
    <w:rsid w:val="00F232B8"/>
    <w:rsid w:val="00F26DED"/>
    <w:rsid w:val="00F358A7"/>
    <w:rsid w:val="00F36846"/>
    <w:rsid w:val="00F53098"/>
    <w:rsid w:val="00F57BBC"/>
    <w:rsid w:val="00F6118C"/>
    <w:rsid w:val="00F62834"/>
    <w:rsid w:val="00F63DE3"/>
    <w:rsid w:val="00F70FD1"/>
    <w:rsid w:val="00F73278"/>
    <w:rsid w:val="00F81A87"/>
    <w:rsid w:val="00F82FA7"/>
    <w:rsid w:val="00F84EDA"/>
    <w:rsid w:val="00F85E2F"/>
    <w:rsid w:val="00F93D87"/>
    <w:rsid w:val="00F96FB2"/>
    <w:rsid w:val="00FB51D8"/>
    <w:rsid w:val="00FB65AE"/>
    <w:rsid w:val="00FC64C4"/>
    <w:rsid w:val="00FD08E8"/>
    <w:rsid w:val="00FD3FED"/>
    <w:rsid w:val="00FE0A4D"/>
    <w:rsid w:val="00FE23D9"/>
    <w:rsid w:val="00FE40C5"/>
    <w:rsid w:val="00FE6301"/>
    <w:rsid w:val="00FE7E0A"/>
    <w:rsid w:val="00FF0A44"/>
    <w:rsid w:val="00FF1C30"/>
    <w:rsid w:val="00FF2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75D33"/>
  <w15:chartTrackingRefBased/>
  <w15:docId w15:val="{1DB8B80A-3F11-43A5-B0AA-F13C3124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link w:val="BodyTextChar"/>
    <w:rsid w:val="00443673"/>
    <w:pPr>
      <w:spacing w:before="120" w:after="120" w:line="360" w:lineRule="auto"/>
      <w:ind w:firstLine="720"/>
      <w:jc w:val="both"/>
    </w:pPr>
    <w:rPr>
      <w:rFonts w:ascii="Arial" w:hAnsi="Arial" w:cs="Arial"/>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9E6F56"/>
    <w:rPr>
      <w:color w:val="605E5C"/>
      <w:shd w:val="clear" w:color="auto" w:fill="E1DFDD"/>
    </w:rPr>
  </w:style>
  <w:style w:type="character" w:styleId="FollowedHyperlink">
    <w:name w:val="FollowedHyperlink"/>
    <w:rsid w:val="006C2D2E"/>
    <w:rPr>
      <w:color w:val="96607D"/>
      <w:u w:val="single"/>
    </w:rPr>
  </w:style>
  <w:style w:type="paragraph" w:styleId="FootnoteText">
    <w:name w:val="footnote text"/>
    <w:basedOn w:val="Normal"/>
    <w:link w:val="FootnoteTextChar"/>
    <w:rsid w:val="00644CC5"/>
    <w:rPr>
      <w:sz w:val="20"/>
      <w:szCs w:val="20"/>
    </w:rPr>
  </w:style>
  <w:style w:type="character" w:customStyle="1" w:styleId="FootnoteTextChar">
    <w:name w:val="Footnote Text Char"/>
    <w:basedOn w:val="DefaultParagraphFont"/>
    <w:link w:val="FootnoteText"/>
    <w:rsid w:val="00644CC5"/>
  </w:style>
  <w:style w:type="character" w:styleId="FootnoteReference">
    <w:name w:val="footnote reference"/>
    <w:rsid w:val="00644CC5"/>
    <w:rPr>
      <w:vertAlign w:val="superscript"/>
    </w:rPr>
  </w:style>
  <w:style w:type="paragraph" w:styleId="BodyTextFirstIndent">
    <w:name w:val="Body Text First Indent"/>
    <w:basedOn w:val="BodyText"/>
    <w:link w:val="BodyTextFirstIndentChar"/>
    <w:rsid w:val="00B01B87"/>
    <w:pPr>
      <w:spacing w:before="0"/>
      <w:ind w:firstLine="210"/>
    </w:pPr>
  </w:style>
  <w:style w:type="character" w:customStyle="1" w:styleId="BodyTextChar">
    <w:name w:val="Body Text Char"/>
    <w:link w:val="BodyText"/>
    <w:rsid w:val="00443673"/>
    <w:rPr>
      <w:rFonts w:ascii="Arial" w:hAnsi="Arial" w:cs="Arial"/>
      <w:sz w:val="24"/>
      <w:szCs w:val="24"/>
    </w:rPr>
  </w:style>
  <w:style w:type="character" w:customStyle="1" w:styleId="BodyTextFirstIndentChar">
    <w:name w:val="Body Text First Indent Char"/>
    <w:link w:val="BodyTextFirstIndent"/>
    <w:rsid w:val="00B01B87"/>
    <w:rPr>
      <w:sz w:val="24"/>
      <w:szCs w:val="24"/>
    </w:rPr>
  </w:style>
  <w:style w:type="paragraph" w:styleId="NormalWeb">
    <w:name w:val="Normal (Web)"/>
    <w:basedOn w:val="Normal"/>
    <w:rsid w:val="00EE31B2"/>
  </w:style>
  <w:style w:type="paragraph" w:styleId="Revision">
    <w:name w:val="Revision"/>
    <w:hidden/>
    <w:uiPriority w:val="99"/>
    <w:semiHidden/>
    <w:rsid w:val="00687CF0"/>
    <w:rPr>
      <w:sz w:val="24"/>
      <w:szCs w:val="24"/>
    </w:rPr>
  </w:style>
  <w:style w:type="paragraph" w:customStyle="1" w:styleId="BodyText11pt">
    <w:name w:val="Body Text + 11 pt"/>
    <w:basedOn w:val="BodyText"/>
    <w:rsid w:val="00443673"/>
    <w:rPr>
      <w:sz w:val="22"/>
      <w:szCs w:val="22"/>
    </w:rPr>
  </w:style>
  <w:style w:type="character" w:customStyle="1" w:styleId="NormalArialChar">
    <w:name w:val="Normal+Arial Char"/>
    <w:link w:val="NormalArial"/>
    <w:rsid w:val="00F02486"/>
    <w:rPr>
      <w:rFonts w:ascii="Arial" w:hAnsi="Arial"/>
      <w:sz w:val="24"/>
      <w:szCs w:val="24"/>
    </w:rPr>
  </w:style>
  <w:style w:type="character" w:customStyle="1" w:styleId="HeaderChar">
    <w:name w:val="Header Char"/>
    <w:link w:val="Header"/>
    <w:rsid w:val="00F02486"/>
    <w:rPr>
      <w:rFonts w:ascii="Arial" w:hAnsi="Arial"/>
      <w:b/>
      <w:bCs/>
      <w:sz w:val="24"/>
      <w:szCs w:val="24"/>
    </w:rPr>
  </w:style>
  <w:style w:type="paragraph" w:styleId="ListParagraph">
    <w:name w:val="List Paragraph"/>
    <w:basedOn w:val="Normal"/>
    <w:uiPriority w:val="34"/>
    <w:qFormat/>
    <w:rsid w:val="00C54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40058">
      <w:bodyDiv w:val="1"/>
      <w:marLeft w:val="0"/>
      <w:marRight w:val="0"/>
      <w:marTop w:val="0"/>
      <w:marBottom w:val="0"/>
      <w:divBdr>
        <w:top w:val="none" w:sz="0" w:space="0" w:color="auto"/>
        <w:left w:val="none" w:sz="0" w:space="0" w:color="auto"/>
        <w:bottom w:val="none" w:sz="0" w:space="0" w:color="auto"/>
        <w:right w:val="none" w:sz="0" w:space="0" w:color="auto"/>
      </w:divBdr>
    </w:div>
    <w:div w:id="398789450">
      <w:bodyDiv w:val="1"/>
      <w:marLeft w:val="0"/>
      <w:marRight w:val="0"/>
      <w:marTop w:val="0"/>
      <w:marBottom w:val="0"/>
      <w:divBdr>
        <w:top w:val="none" w:sz="0" w:space="0" w:color="auto"/>
        <w:left w:val="none" w:sz="0" w:space="0" w:color="auto"/>
        <w:bottom w:val="none" w:sz="0" w:space="0" w:color="auto"/>
        <w:right w:val="none" w:sz="0" w:space="0" w:color="auto"/>
      </w:divBdr>
    </w:div>
    <w:div w:id="432822248">
      <w:bodyDiv w:val="1"/>
      <w:marLeft w:val="0"/>
      <w:marRight w:val="0"/>
      <w:marTop w:val="0"/>
      <w:marBottom w:val="0"/>
      <w:divBdr>
        <w:top w:val="none" w:sz="0" w:space="0" w:color="auto"/>
        <w:left w:val="none" w:sz="0" w:space="0" w:color="auto"/>
        <w:bottom w:val="none" w:sz="0" w:space="0" w:color="auto"/>
        <w:right w:val="none" w:sz="0" w:space="0" w:color="auto"/>
      </w:divBdr>
    </w:div>
    <w:div w:id="667707450">
      <w:bodyDiv w:val="1"/>
      <w:marLeft w:val="0"/>
      <w:marRight w:val="0"/>
      <w:marTop w:val="0"/>
      <w:marBottom w:val="0"/>
      <w:divBdr>
        <w:top w:val="none" w:sz="0" w:space="0" w:color="auto"/>
        <w:left w:val="none" w:sz="0" w:space="0" w:color="auto"/>
        <w:bottom w:val="none" w:sz="0" w:space="0" w:color="auto"/>
        <w:right w:val="none" w:sz="0" w:space="0" w:color="auto"/>
      </w:divBdr>
      <w:divsChild>
        <w:div w:id="210001571">
          <w:marLeft w:val="0"/>
          <w:marRight w:val="0"/>
          <w:marTop w:val="0"/>
          <w:marBottom w:val="0"/>
          <w:divBdr>
            <w:top w:val="none" w:sz="0" w:space="0" w:color="auto"/>
            <w:left w:val="none" w:sz="0" w:space="0" w:color="auto"/>
            <w:bottom w:val="none" w:sz="0" w:space="0" w:color="auto"/>
            <w:right w:val="none" w:sz="0" w:space="0" w:color="auto"/>
          </w:divBdr>
          <w:divsChild>
            <w:div w:id="180199903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945229315">
      <w:bodyDiv w:val="1"/>
      <w:marLeft w:val="0"/>
      <w:marRight w:val="0"/>
      <w:marTop w:val="0"/>
      <w:marBottom w:val="0"/>
      <w:divBdr>
        <w:top w:val="none" w:sz="0" w:space="0" w:color="auto"/>
        <w:left w:val="none" w:sz="0" w:space="0" w:color="auto"/>
        <w:bottom w:val="none" w:sz="0" w:space="0" w:color="auto"/>
        <w:right w:val="none" w:sz="0" w:space="0" w:color="auto"/>
      </w:divBdr>
      <w:divsChild>
        <w:div w:id="707073360">
          <w:marLeft w:val="0"/>
          <w:marRight w:val="0"/>
          <w:marTop w:val="0"/>
          <w:marBottom w:val="0"/>
          <w:divBdr>
            <w:top w:val="none" w:sz="0" w:space="0" w:color="auto"/>
            <w:left w:val="none" w:sz="0" w:space="0" w:color="auto"/>
            <w:bottom w:val="none" w:sz="0" w:space="0" w:color="auto"/>
            <w:right w:val="none" w:sz="0" w:space="0" w:color="auto"/>
          </w:divBdr>
          <w:divsChild>
            <w:div w:id="41216556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329863951">
      <w:bodyDiv w:val="1"/>
      <w:marLeft w:val="0"/>
      <w:marRight w:val="0"/>
      <w:marTop w:val="0"/>
      <w:marBottom w:val="0"/>
      <w:divBdr>
        <w:top w:val="none" w:sz="0" w:space="0" w:color="auto"/>
        <w:left w:val="none" w:sz="0" w:space="0" w:color="auto"/>
        <w:bottom w:val="none" w:sz="0" w:space="0" w:color="auto"/>
        <w:right w:val="none" w:sz="0" w:space="0" w:color="auto"/>
      </w:divBdr>
      <w:divsChild>
        <w:div w:id="1702169443">
          <w:marLeft w:val="0"/>
          <w:marRight w:val="0"/>
          <w:marTop w:val="0"/>
          <w:marBottom w:val="0"/>
          <w:divBdr>
            <w:top w:val="none" w:sz="0" w:space="0" w:color="auto"/>
            <w:left w:val="none" w:sz="0" w:space="0" w:color="auto"/>
            <w:bottom w:val="none" w:sz="0" w:space="0" w:color="auto"/>
            <w:right w:val="none" w:sz="0" w:space="0" w:color="auto"/>
          </w:divBdr>
          <w:divsChild>
            <w:div w:id="16563208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35205336">
      <w:bodyDiv w:val="1"/>
      <w:marLeft w:val="0"/>
      <w:marRight w:val="0"/>
      <w:marTop w:val="0"/>
      <w:marBottom w:val="0"/>
      <w:divBdr>
        <w:top w:val="none" w:sz="0" w:space="0" w:color="auto"/>
        <w:left w:val="none" w:sz="0" w:space="0" w:color="auto"/>
        <w:bottom w:val="none" w:sz="0" w:space="0" w:color="auto"/>
        <w:right w:val="none" w:sz="0" w:space="0" w:color="auto"/>
      </w:divBdr>
      <w:divsChild>
        <w:div w:id="1849103373">
          <w:marLeft w:val="0"/>
          <w:marRight w:val="0"/>
          <w:marTop w:val="0"/>
          <w:marBottom w:val="0"/>
          <w:divBdr>
            <w:top w:val="none" w:sz="0" w:space="0" w:color="auto"/>
            <w:left w:val="none" w:sz="0" w:space="0" w:color="auto"/>
            <w:bottom w:val="none" w:sz="0" w:space="0" w:color="auto"/>
            <w:right w:val="none" w:sz="0" w:space="0" w:color="auto"/>
          </w:divBdr>
          <w:divsChild>
            <w:div w:id="1553730000">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462264756">
      <w:bodyDiv w:val="1"/>
      <w:marLeft w:val="0"/>
      <w:marRight w:val="0"/>
      <w:marTop w:val="0"/>
      <w:marBottom w:val="0"/>
      <w:divBdr>
        <w:top w:val="none" w:sz="0" w:space="0" w:color="auto"/>
        <w:left w:val="none" w:sz="0" w:space="0" w:color="auto"/>
        <w:bottom w:val="none" w:sz="0" w:space="0" w:color="auto"/>
        <w:right w:val="none" w:sz="0" w:space="0" w:color="auto"/>
      </w:divBdr>
      <w:divsChild>
        <w:div w:id="717978388">
          <w:marLeft w:val="0"/>
          <w:marRight w:val="0"/>
          <w:marTop w:val="0"/>
          <w:marBottom w:val="0"/>
          <w:divBdr>
            <w:top w:val="none" w:sz="0" w:space="0" w:color="auto"/>
            <w:left w:val="none" w:sz="0" w:space="0" w:color="auto"/>
            <w:bottom w:val="none" w:sz="0" w:space="0" w:color="auto"/>
            <w:right w:val="none" w:sz="0" w:space="0" w:color="auto"/>
          </w:divBdr>
          <w:divsChild>
            <w:div w:id="1032458776">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642997324">
      <w:bodyDiv w:val="1"/>
      <w:marLeft w:val="0"/>
      <w:marRight w:val="0"/>
      <w:marTop w:val="0"/>
      <w:marBottom w:val="0"/>
      <w:divBdr>
        <w:top w:val="none" w:sz="0" w:space="0" w:color="auto"/>
        <w:left w:val="none" w:sz="0" w:space="0" w:color="auto"/>
        <w:bottom w:val="none" w:sz="0" w:space="0" w:color="auto"/>
        <w:right w:val="none" w:sz="0" w:space="0" w:color="auto"/>
      </w:divBdr>
      <w:divsChild>
        <w:div w:id="1529180564">
          <w:marLeft w:val="0"/>
          <w:marRight w:val="0"/>
          <w:marTop w:val="0"/>
          <w:marBottom w:val="0"/>
          <w:divBdr>
            <w:top w:val="none" w:sz="0" w:space="0" w:color="auto"/>
            <w:left w:val="none" w:sz="0" w:space="0" w:color="auto"/>
            <w:bottom w:val="none" w:sz="0" w:space="0" w:color="auto"/>
            <w:right w:val="none" w:sz="0" w:space="0" w:color="auto"/>
          </w:divBdr>
          <w:divsChild>
            <w:div w:id="179752392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35858934">
      <w:bodyDiv w:val="1"/>
      <w:marLeft w:val="0"/>
      <w:marRight w:val="0"/>
      <w:marTop w:val="0"/>
      <w:marBottom w:val="0"/>
      <w:divBdr>
        <w:top w:val="none" w:sz="0" w:space="0" w:color="auto"/>
        <w:left w:val="none" w:sz="0" w:space="0" w:color="auto"/>
        <w:bottom w:val="none" w:sz="0" w:space="0" w:color="auto"/>
        <w:right w:val="none" w:sz="0" w:space="0" w:color="auto"/>
      </w:divBdr>
      <w:divsChild>
        <w:div w:id="1211721451">
          <w:marLeft w:val="0"/>
          <w:marRight w:val="0"/>
          <w:marTop w:val="0"/>
          <w:marBottom w:val="0"/>
          <w:divBdr>
            <w:top w:val="none" w:sz="0" w:space="0" w:color="auto"/>
            <w:left w:val="none" w:sz="0" w:space="0" w:color="auto"/>
            <w:bottom w:val="none" w:sz="0" w:space="0" w:color="auto"/>
            <w:right w:val="none" w:sz="0" w:space="0" w:color="auto"/>
          </w:divBdr>
          <w:divsChild>
            <w:div w:id="1517696399">
              <w:marLeft w:val="165"/>
              <w:marRight w:val="165"/>
              <w:marTop w:val="165"/>
              <w:marBottom w:val="165"/>
              <w:divBdr>
                <w:top w:val="none" w:sz="0" w:space="0" w:color="auto"/>
                <w:left w:val="none" w:sz="0" w:space="0" w:color="auto"/>
                <w:bottom w:val="none" w:sz="0" w:space="0" w:color="auto"/>
                <w:right w:val="none" w:sz="0" w:space="0" w:color="auto"/>
              </w:divBdr>
            </w:div>
          </w:divsChild>
        </w:div>
      </w:divsChild>
    </w:div>
    <w:div w:id="1761635460">
      <w:bodyDiv w:val="1"/>
      <w:marLeft w:val="0"/>
      <w:marRight w:val="0"/>
      <w:marTop w:val="0"/>
      <w:marBottom w:val="0"/>
      <w:divBdr>
        <w:top w:val="none" w:sz="0" w:space="0" w:color="auto"/>
        <w:left w:val="none" w:sz="0" w:space="0" w:color="auto"/>
        <w:bottom w:val="none" w:sz="0" w:space="0" w:color="auto"/>
        <w:right w:val="none" w:sz="0" w:space="0" w:color="auto"/>
      </w:divBdr>
    </w:div>
    <w:div w:id="1967736684">
      <w:bodyDiv w:val="1"/>
      <w:marLeft w:val="0"/>
      <w:marRight w:val="0"/>
      <w:marTop w:val="0"/>
      <w:marBottom w:val="0"/>
      <w:divBdr>
        <w:top w:val="none" w:sz="0" w:space="0" w:color="auto"/>
        <w:left w:val="none" w:sz="0" w:space="0" w:color="auto"/>
        <w:bottom w:val="none" w:sz="0" w:space="0" w:color="auto"/>
        <w:right w:val="none" w:sz="0" w:space="0" w:color="auto"/>
      </w:divBdr>
    </w:div>
    <w:div w:id="2061055397">
      <w:bodyDiv w:val="1"/>
      <w:marLeft w:val="0"/>
      <w:marRight w:val="0"/>
      <w:marTop w:val="0"/>
      <w:marBottom w:val="0"/>
      <w:divBdr>
        <w:top w:val="none" w:sz="0" w:space="0" w:color="auto"/>
        <w:left w:val="none" w:sz="0" w:space="0" w:color="auto"/>
        <w:bottom w:val="none" w:sz="0" w:space="0" w:color="auto"/>
        <w:right w:val="none" w:sz="0" w:space="0" w:color="auto"/>
      </w:divBdr>
    </w:div>
    <w:div w:id="214211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dd.Messer@powerallianc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NPRR13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emmeline@cleanpow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bcf4a5-ef84-4173-ad45-ee4536d75be6}" enabled="0" method="" siteId="{4ebcf4a5-ef84-4173-ad45-ee4536d75be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2187</Words>
  <Characters>13167</Characters>
  <Application>Microsoft Office Word</Application>
  <DocSecurity>0</DocSecurity>
  <Lines>231</Lines>
  <Paragraphs>54</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Market Rules</cp:lastModifiedBy>
  <cp:revision>4</cp:revision>
  <cp:lastPrinted>2026-03-06T20:57:00Z</cp:lastPrinted>
  <dcterms:created xsi:type="dcterms:W3CDTF">2026-03-06T21:35:00Z</dcterms:created>
  <dcterms:modified xsi:type="dcterms:W3CDTF">2026-03-06T21:39:00Z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4935-9235-7001</vt:lpwstr>
  </property>
  <property fmtid="{D5CDD505-2E9C-101B-9397-08002B2CF9AE}" pid="3" name="MSIP_Label_7084cbda-52b8-46fb-a7b7-cb5bd465ed85_Enabled">
    <vt:lpwstr>true</vt:lpwstr>
  </property>
  <property fmtid="{D5CDD505-2E9C-101B-9397-08002B2CF9AE}" pid="4" name="MSIP_Label_7084cbda-52b8-46fb-a7b7-cb5bd465ed85_SetDate">
    <vt:lpwstr>2026-01-28T22:31:00Z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cd5b48a8-2f4f-4ff1-8dfa-b930d29d327a</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