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rsidTr="21FF6704">
        <w:tc>
          <w:tcPr>
            <w:tcW w:w="1620" w:type="dxa"/>
            <w:tcBorders>
              <w:bottom w:val="single" w:sz="4" w:space="0" w:color="auto"/>
            </w:tcBorders>
            <w:shd w:val="clear" w:color="auto" w:fill="FFFFFF" w:themeFill="background1"/>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8" w:history="1">
              <w:r w:rsidRPr="00BA73EB">
                <w:rPr>
                  <w:rStyle w:val="Hyperlink"/>
                </w:rPr>
                <w:t>1310</w:t>
              </w:r>
            </w:hyperlink>
          </w:p>
        </w:tc>
        <w:tc>
          <w:tcPr>
            <w:tcW w:w="900" w:type="dxa"/>
            <w:tcBorders>
              <w:bottom w:val="single" w:sz="4" w:space="0" w:color="auto"/>
            </w:tcBorders>
            <w:shd w:val="clear" w:color="auto" w:fill="FFFFFF" w:themeFill="background1"/>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rsidTr="21FF6704">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rsidTr="21FF6704">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6EA174AD" w:rsidR="00152993" w:rsidRDefault="005961C3">
            <w:pPr>
              <w:pStyle w:val="NormalArial"/>
            </w:pPr>
            <w:r>
              <w:t>March 6, 2026</w:t>
            </w:r>
          </w:p>
        </w:tc>
      </w:tr>
      <w:tr w:rsidR="00152993" w14:paraId="1478BBAC" w14:textId="77777777" w:rsidTr="21FF6704">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rsidTr="21FF6704">
        <w:trPr>
          <w:trHeight w:val="440"/>
        </w:trPr>
        <w:tc>
          <w:tcPr>
            <w:tcW w:w="10440" w:type="dxa"/>
            <w:gridSpan w:val="4"/>
            <w:tcBorders>
              <w:top w:val="single" w:sz="4" w:space="0" w:color="auto"/>
            </w:tcBorders>
            <w:shd w:val="clear" w:color="auto" w:fill="FFFFFF" w:themeFill="background1"/>
            <w:vAlign w:val="center"/>
          </w:tcPr>
          <w:p w14:paraId="76C475D8" w14:textId="77777777" w:rsidR="00152993" w:rsidRDefault="00152993">
            <w:pPr>
              <w:pStyle w:val="Header"/>
              <w:jc w:val="center"/>
            </w:pPr>
            <w:r>
              <w:t>Submitter’s Information</w:t>
            </w:r>
          </w:p>
        </w:tc>
      </w:tr>
      <w:tr w:rsidR="00BA73EB" w14:paraId="174680C9" w14:textId="77777777" w:rsidTr="21FF6704">
        <w:trPr>
          <w:trHeight w:val="350"/>
        </w:trPr>
        <w:tc>
          <w:tcPr>
            <w:tcW w:w="2880" w:type="dxa"/>
            <w:gridSpan w:val="2"/>
            <w:shd w:val="clear" w:color="auto" w:fill="FFFFFF" w:themeFill="background1"/>
            <w:vAlign w:val="center"/>
          </w:tcPr>
          <w:p w14:paraId="4C61B95E" w14:textId="77777777" w:rsidR="00BA73EB" w:rsidRPr="00EC55B3" w:rsidRDefault="00BA73EB" w:rsidP="00BA73EB">
            <w:pPr>
              <w:pStyle w:val="Header"/>
            </w:pPr>
            <w:r w:rsidRPr="00EC55B3">
              <w:t>Name</w:t>
            </w:r>
          </w:p>
        </w:tc>
        <w:tc>
          <w:tcPr>
            <w:tcW w:w="7560" w:type="dxa"/>
            <w:gridSpan w:val="2"/>
            <w:vAlign w:val="center"/>
          </w:tcPr>
          <w:p w14:paraId="5C111B05" w14:textId="618B80E3" w:rsidR="00BA73EB" w:rsidRDefault="00277972" w:rsidP="00BA73EB">
            <w:pPr>
              <w:pStyle w:val="NormalArial"/>
            </w:pPr>
            <w:r>
              <w:t>Paul Townsend; Michele Richmond</w:t>
            </w:r>
          </w:p>
        </w:tc>
      </w:tr>
      <w:tr w:rsidR="00BA73EB" w14:paraId="14C5682D" w14:textId="77777777" w:rsidTr="21FF6704">
        <w:trPr>
          <w:trHeight w:val="350"/>
        </w:trPr>
        <w:tc>
          <w:tcPr>
            <w:tcW w:w="2880" w:type="dxa"/>
            <w:gridSpan w:val="2"/>
            <w:shd w:val="clear" w:color="auto" w:fill="FFFFFF" w:themeFill="background1"/>
            <w:vAlign w:val="center"/>
          </w:tcPr>
          <w:p w14:paraId="06C75D10" w14:textId="77777777" w:rsidR="00BA73EB" w:rsidRPr="00EC55B3" w:rsidRDefault="00BA73EB" w:rsidP="00BA73EB">
            <w:pPr>
              <w:pStyle w:val="Header"/>
            </w:pPr>
            <w:r w:rsidRPr="00EC55B3">
              <w:t>E-mail Address</w:t>
            </w:r>
          </w:p>
        </w:tc>
        <w:tc>
          <w:tcPr>
            <w:tcW w:w="7560" w:type="dxa"/>
            <w:gridSpan w:val="2"/>
            <w:vAlign w:val="center"/>
          </w:tcPr>
          <w:p w14:paraId="2949F193" w14:textId="00DCD511" w:rsidR="00BA73EB" w:rsidRDefault="21FF6704" w:rsidP="00BA73EB">
            <w:pPr>
              <w:pStyle w:val="NormalArial"/>
            </w:pPr>
            <w:hyperlink r:id="rId9">
              <w:r w:rsidRPr="21FF6704">
                <w:rPr>
                  <w:rStyle w:val="Hyperlink"/>
                </w:rPr>
                <w:t>paul@competitivepower.com</w:t>
              </w:r>
            </w:hyperlink>
            <w:r>
              <w:t xml:space="preserve">; </w:t>
            </w:r>
            <w:hyperlink r:id="rId10" w:history="1">
              <w:r w:rsidRPr="21FF6704">
                <w:rPr>
                  <w:rStyle w:val="Hyperlink"/>
                </w:rPr>
                <w:t>michele@competitivepower.com</w:t>
              </w:r>
            </w:hyperlink>
            <w:r>
              <w:t xml:space="preserve"> </w:t>
            </w:r>
          </w:p>
        </w:tc>
      </w:tr>
      <w:tr w:rsidR="00BA73EB" w14:paraId="361D7263" w14:textId="77777777" w:rsidTr="21FF6704">
        <w:trPr>
          <w:trHeight w:val="350"/>
        </w:trPr>
        <w:tc>
          <w:tcPr>
            <w:tcW w:w="2880" w:type="dxa"/>
            <w:gridSpan w:val="2"/>
            <w:shd w:val="clear" w:color="auto" w:fill="FFFFFF" w:themeFill="background1"/>
            <w:vAlign w:val="center"/>
          </w:tcPr>
          <w:p w14:paraId="743A3CAB" w14:textId="77777777" w:rsidR="00BA73EB" w:rsidRPr="00EC55B3" w:rsidRDefault="00BA73EB" w:rsidP="00BA73EB">
            <w:pPr>
              <w:pStyle w:val="Header"/>
            </w:pPr>
            <w:r w:rsidRPr="00EC55B3">
              <w:t>Company</w:t>
            </w:r>
          </w:p>
        </w:tc>
        <w:tc>
          <w:tcPr>
            <w:tcW w:w="7560" w:type="dxa"/>
            <w:gridSpan w:val="2"/>
            <w:vAlign w:val="center"/>
          </w:tcPr>
          <w:p w14:paraId="79366068" w14:textId="1344A642" w:rsidR="00BA73EB" w:rsidRDefault="00277972" w:rsidP="00BA73EB">
            <w:pPr>
              <w:pStyle w:val="NormalArial"/>
            </w:pPr>
            <w:r>
              <w:t>Texas Competitive Power Advocates (TCPA)</w:t>
            </w:r>
          </w:p>
        </w:tc>
      </w:tr>
      <w:tr w:rsidR="00BA73EB" w14:paraId="4798C9AE" w14:textId="77777777" w:rsidTr="21FF6704">
        <w:trPr>
          <w:trHeight w:val="350"/>
        </w:trPr>
        <w:tc>
          <w:tcPr>
            <w:tcW w:w="2880" w:type="dxa"/>
            <w:gridSpan w:val="2"/>
            <w:tcBorders>
              <w:bottom w:val="single" w:sz="4" w:space="0" w:color="auto"/>
            </w:tcBorders>
            <w:shd w:val="clear" w:color="auto" w:fill="FFFFFF" w:themeFill="background1"/>
            <w:vAlign w:val="center"/>
          </w:tcPr>
          <w:p w14:paraId="22BA1C81" w14:textId="77777777" w:rsidR="00BA73EB" w:rsidRPr="00EC55B3" w:rsidRDefault="00BA73EB" w:rsidP="00BA73EB">
            <w:pPr>
              <w:pStyle w:val="Header"/>
            </w:pPr>
            <w:r w:rsidRPr="00EC55B3">
              <w:t>Phone Number</w:t>
            </w:r>
          </w:p>
        </w:tc>
        <w:tc>
          <w:tcPr>
            <w:tcW w:w="7560" w:type="dxa"/>
            <w:gridSpan w:val="2"/>
            <w:tcBorders>
              <w:bottom w:val="single" w:sz="4" w:space="0" w:color="auto"/>
            </w:tcBorders>
            <w:vAlign w:val="center"/>
          </w:tcPr>
          <w:p w14:paraId="58E440DA" w14:textId="048715C7" w:rsidR="00BA73EB" w:rsidRDefault="00BA73EB" w:rsidP="00BA73EB">
            <w:pPr>
              <w:pStyle w:val="NormalArial"/>
            </w:pPr>
          </w:p>
        </w:tc>
      </w:tr>
      <w:tr w:rsidR="00BA73EB" w14:paraId="34FE8959" w14:textId="77777777" w:rsidTr="21FF6704">
        <w:trPr>
          <w:trHeight w:val="350"/>
        </w:trPr>
        <w:tc>
          <w:tcPr>
            <w:tcW w:w="2880" w:type="dxa"/>
            <w:gridSpan w:val="2"/>
            <w:shd w:val="clear" w:color="auto" w:fill="FFFFFF" w:themeFill="background1"/>
            <w:vAlign w:val="center"/>
          </w:tcPr>
          <w:p w14:paraId="4B7DF3EC" w14:textId="77777777" w:rsidR="00BA73EB" w:rsidRPr="00EC55B3" w:rsidRDefault="00BA73EB" w:rsidP="00BA73EB">
            <w:pPr>
              <w:pStyle w:val="Header"/>
            </w:pPr>
            <w:r>
              <w:t>Cell</w:t>
            </w:r>
            <w:r w:rsidRPr="00EC55B3">
              <w:t xml:space="preserve"> Number</w:t>
            </w:r>
          </w:p>
        </w:tc>
        <w:tc>
          <w:tcPr>
            <w:tcW w:w="7560" w:type="dxa"/>
            <w:gridSpan w:val="2"/>
            <w:vAlign w:val="center"/>
          </w:tcPr>
          <w:p w14:paraId="3A038B29" w14:textId="4D5B3827" w:rsidR="00BA73EB" w:rsidRDefault="00277972" w:rsidP="00BA73EB">
            <w:pPr>
              <w:pStyle w:val="NormalArial"/>
            </w:pPr>
            <w:r>
              <w:rPr>
                <w:rFonts w:cs="Arial"/>
              </w:rPr>
              <w:t>512-853-0655, 512-653-7447</w:t>
            </w:r>
          </w:p>
        </w:tc>
      </w:tr>
      <w:tr w:rsidR="00277972" w14:paraId="22891FB4" w14:textId="77777777" w:rsidTr="21FF6704">
        <w:trPr>
          <w:trHeight w:val="350"/>
        </w:trPr>
        <w:tc>
          <w:tcPr>
            <w:tcW w:w="2880" w:type="dxa"/>
            <w:gridSpan w:val="2"/>
            <w:tcBorders>
              <w:bottom w:val="single" w:sz="4" w:space="0" w:color="auto"/>
            </w:tcBorders>
            <w:shd w:val="clear" w:color="auto" w:fill="FFFFFF" w:themeFill="background1"/>
            <w:vAlign w:val="center"/>
          </w:tcPr>
          <w:p w14:paraId="23E7F2ED" w14:textId="77777777" w:rsidR="00277972" w:rsidRPr="00EC55B3" w:rsidDel="00075A94" w:rsidRDefault="00277972" w:rsidP="00277972">
            <w:pPr>
              <w:pStyle w:val="Header"/>
            </w:pPr>
            <w:r>
              <w:t>Market Segment</w:t>
            </w:r>
          </w:p>
        </w:tc>
        <w:tc>
          <w:tcPr>
            <w:tcW w:w="7560" w:type="dxa"/>
            <w:gridSpan w:val="2"/>
            <w:tcBorders>
              <w:bottom w:val="single" w:sz="4" w:space="0" w:color="auto"/>
            </w:tcBorders>
            <w:vAlign w:val="center"/>
          </w:tcPr>
          <w:p w14:paraId="145F2E8A" w14:textId="0F2A8F6E" w:rsidR="00277972" w:rsidRDefault="00277972" w:rsidP="00277972">
            <w:pPr>
              <w:pStyle w:val="NormalArial"/>
            </w:pPr>
            <w:r>
              <w:t>Independent Generator / Independent Power Marketer (IPM)</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Default="00DE4BA5" w:rsidP="00B9339A">
            <w:pPr>
              <w:pStyle w:val="Header"/>
              <w:jc w:val="center"/>
            </w:pPr>
            <w:r>
              <w:t>Comments</w:t>
            </w:r>
          </w:p>
        </w:tc>
      </w:tr>
    </w:tbl>
    <w:p w14:paraId="02FB6EE0" w14:textId="457252DF" w:rsidR="00277972" w:rsidRDefault="00277972" w:rsidP="00DE4BA5">
      <w:pPr>
        <w:pStyle w:val="NormalArial"/>
        <w:spacing w:before="120" w:after="120" w:line="276" w:lineRule="auto"/>
        <w:jc w:val="both"/>
        <w:rPr>
          <w:rFonts w:cs="Arial"/>
        </w:rPr>
      </w:pPr>
      <w:bookmarkStart w:id="1" w:name="_Hlk221690460"/>
      <w:r>
        <w:rPr>
          <w:rFonts w:cs="Arial"/>
        </w:rPr>
        <w:t>TCPA</w:t>
      </w:r>
      <w:r w:rsidR="003579F1">
        <w:rPr>
          <w:rFonts w:cs="Arial"/>
        </w:rPr>
        <w:t xml:space="preserve"> </w:t>
      </w:r>
      <w:r w:rsidR="00BA73EB" w:rsidRPr="00BA73EB">
        <w:rPr>
          <w:rFonts w:cs="Arial"/>
        </w:rPr>
        <w:t xml:space="preserve">submits these comments regarding </w:t>
      </w:r>
      <w:r w:rsidR="005961C3">
        <w:rPr>
          <w:rFonts w:cs="Arial"/>
        </w:rPr>
        <w:t>Nodal Protocol Revision Request (</w:t>
      </w:r>
      <w:r>
        <w:rPr>
          <w:rFonts w:cs="Arial"/>
        </w:rPr>
        <w:t>NPRR</w:t>
      </w:r>
      <w:r w:rsidR="005961C3">
        <w:rPr>
          <w:rFonts w:cs="Arial"/>
        </w:rPr>
        <w:t xml:space="preserve">) </w:t>
      </w:r>
      <w:r w:rsidR="00BA73EB" w:rsidRPr="00BA73EB">
        <w:rPr>
          <w:rFonts w:cs="Arial"/>
        </w:rPr>
        <w:t xml:space="preserve">1310 </w:t>
      </w:r>
      <w:r>
        <w:rPr>
          <w:rFonts w:cs="Arial"/>
        </w:rPr>
        <w:t xml:space="preserve">in response to ERCOT’s February 27, </w:t>
      </w:r>
      <w:proofErr w:type="gramStart"/>
      <w:r>
        <w:rPr>
          <w:rFonts w:cs="Arial"/>
        </w:rPr>
        <w:t>2026</w:t>
      </w:r>
      <w:proofErr w:type="gramEnd"/>
      <w:r>
        <w:rPr>
          <w:rFonts w:cs="Arial"/>
        </w:rPr>
        <w:t xml:space="preserve"> comments requesting feedback ahead of </w:t>
      </w:r>
      <w:bookmarkEnd w:id="1"/>
      <w:r w:rsidR="003579F1">
        <w:rPr>
          <w:rFonts w:cs="Arial"/>
        </w:rPr>
        <w:t>the Technical Advisory Committee’s (TAC) March 9, 2026, Dispatchable Reliability Reserve Service (DRRS) Workshop No. 3</w:t>
      </w:r>
      <w:r>
        <w:rPr>
          <w:rFonts w:cs="Arial"/>
        </w:rPr>
        <w:t>.</w:t>
      </w:r>
      <w:r>
        <w:rPr>
          <w:rStyle w:val="FootnoteReference"/>
          <w:rFonts w:cs="Arial"/>
        </w:rPr>
        <w:footnoteReference w:id="1"/>
      </w:r>
    </w:p>
    <w:p w14:paraId="1A47DD2C" w14:textId="71BCCBDF" w:rsidR="00277972" w:rsidRDefault="21FF6704" w:rsidP="00DE4BA5">
      <w:pPr>
        <w:pStyle w:val="NormalArial"/>
        <w:spacing w:before="120" w:after="120" w:line="276" w:lineRule="auto"/>
        <w:jc w:val="both"/>
        <w:rPr>
          <w:rFonts w:cs="Arial"/>
        </w:rPr>
      </w:pPr>
      <w:r w:rsidRPr="21FF6704">
        <w:rPr>
          <w:rFonts w:cs="Arial"/>
        </w:rPr>
        <w:t>ERCOT specifically requested comments in response to the following questions, which TCPA responds to in order:</w:t>
      </w:r>
    </w:p>
    <w:p w14:paraId="351162DC" w14:textId="7D1C348F" w:rsidR="003579F1" w:rsidRPr="007B1CF0" w:rsidRDefault="0002137F" w:rsidP="0002137F">
      <w:pPr>
        <w:pStyle w:val="NormalArial"/>
        <w:numPr>
          <w:ilvl w:val="0"/>
          <w:numId w:val="3"/>
        </w:numPr>
        <w:spacing w:before="120" w:after="120" w:line="276" w:lineRule="auto"/>
        <w:jc w:val="both"/>
        <w:rPr>
          <w:i/>
          <w:iCs/>
        </w:rPr>
      </w:pPr>
      <w:r w:rsidRPr="007B1CF0">
        <w:rPr>
          <w:i/>
          <w:iCs/>
        </w:rPr>
        <w:t xml:space="preserve">Public Utility Regulatory Act (PURA) </w:t>
      </w:r>
      <w:r w:rsidRPr="007B1CF0">
        <w:rPr>
          <w:rFonts w:cs="Arial"/>
          <w:i/>
          <w:iCs/>
        </w:rPr>
        <w:t>§</w:t>
      </w:r>
      <w:r w:rsidRPr="007B1CF0">
        <w:rPr>
          <w:i/>
          <w:iCs/>
        </w:rPr>
        <w:t xml:space="preserve"> 39.159(d)(2)</w:t>
      </w:r>
      <w:r w:rsidR="001562E3" w:rsidRPr="007B1CF0">
        <w:rPr>
          <w:i/>
          <w:iCs/>
        </w:rPr>
        <w:t>(A)</w:t>
      </w:r>
      <w:r w:rsidRPr="007B1CF0">
        <w:rPr>
          <w:i/>
          <w:iCs/>
        </w:rPr>
        <w:t xml:space="preserve"> states</w:t>
      </w:r>
      <w:r w:rsidR="001562E3" w:rsidRPr="007B1CF0">
        <w:rPr>
          <w:i/>
          <w:iCs/>
        </w:rPr>
        <w:t xml:space="preserve"> that the criteria for resource participation [in DRRS] must require a resource to:</w:t>
      </w:r>
      <w:r w:rsidRPr="007B1CF0">
        <w:rPr>
          <w:i/>
          <w:iCs/>
        </w:rPr>
        <w:t xml:space="preserve"> “</w:t>
      </w:r>
      <w:r w:rsidR="001562E3" w:rsidRPr="007B1CF0">
        <w:rPr>
          <w:i/>
          <w:iCs/>
        </w:rPr>
        <w:t>be capable of running for at least four hours at the resource’s high sustained limit.”  If ESRs were to participate in DRRS, how should that statutory reference to High Sustained Limit (HSL) be interpreted for ESRs’ participation in DRRS?</w:t>
      </w:r>
      <w:r w:rsidR="00D313D7" w:rsidRPr="007B1CF0">
        <w:rPr>
          <w:i/>
          <w:iCs/>
        </w:rPr>
        <w:t xml:space="preserve">  Please also describe </w:t>
      </w:r>
      <w:r w:rsidR="00065E3F" w:rsidRPr="007B1CF0">
        <w:rPr>
          <w:i/>
          <w:iCs/>
        </w:rPr>
        <w:t>the pros and cons to the ERCOT System of your interpretation compared to the pros and cons if an opposing interpretation were adopted.</w:t>
      </w:r>
    </w:p>
    <w:p w14:paraId="386DCC82" w14:textId="77777777" w:rsidR="00645573" w:rsidRDefault="00277972" w:rsidP="00277972">
      <w:pPr>
        <w:pStyle w:val="NormalArial"/>
        <w:spacing w:before="120" w:after="120" w:line="276" w:lineRule="auto"/>
        <w:jc w:val="both"/>
      </w:pPr>
      <w:r>
        <w:t>TCPA’s response:</w:t>
      </w:r>
    </w:p>
    <w:p w14:paraId="6FC76DCC" w14:textId="11A054A0" w:rsidR="00151E35" w:rsidRPr="00645573" w:rsidRDefault="21FF6704" w:rsidP="00277972">
      <w:pPr>
        <w:pStyle w:val="NormalArial"/>
        <w:spacing w:before="120" w:after="120" w:line="276" w:lineRule="auto"/>
        <w:jc w:val="both"/>
      </w:pPr>
      <w:r>
        <w:t xml:space="preserve">If ESRs are to be qualified for DRRS, then ESRs should only be able to qualify to provide </w:t>
      </w:r>
      <w:r w:rsidRPr="21FF6704">
        <w:rPr>
          <w:rFonts w:cs="Arial"/>
        </w:rPr>
        <w:t>DRRS based on whether their State of Charge (SOC) is capable of sustaining output at their nameplate HSL for the requisite number of hours.</w:t>
      </w:r>
    </w:p>
    <w:p w14:paraId="49B9D958" w14:textId="5D33C0D7" w:rsidR="00151E35" w:rsidRDefault="00151E35" w:rsidP="007B1CF0">
      <w:pPr>
        <w:pStyle w:val="ListBullet"/>
        <w:tabs>
          <w:tab w:val="clear" w:pos="360"/>
        </w:tabs>
        <w:spacing w:line="259" w:lineRule="auto"/>
        <w:ind w:left="0" w:firstLine="0"/>
        <w:jc w:val="both"/>
        <w:rPr>
          <w:rFonts w:ascii="Arial" w:hAnsi="Arial" w:cs="Arial"/>
        </w:rPr>
      </w:pPr>
      <w:r>
        <w:rPr>
          <w:rFonts w:ascii="Arial" w:hAnsi="Arial" w:cs="Arial"/>
        </w:rPr>
        <w:lastRenderedPageBreak/>
        <w:t xml:space="preserve">As </w:t>
      </w:r>
      <w:r w:rsidR="00645573">
        <w:rPr>
          <w:rFonts w:ascii="Arial" w:hAnsi="Arial" w:cs="Arial"/>
        </w:rPr>
        <w:t xml:space="preserve">noted in TCPA’s March 2, 2026 comments on NPRR1309, </w:t>
      </w:r>
      <w:r>
        <w:rPr>
          <w:rFonts w:ascii="Arial" w:hAnsi="Arial" w:cs="Arial"/>
        </w:rPr>
        <w:t>a</w:t>
      </w:r>
      <w:r w:rsidRPr="21FF6704">
        <w:rPr>
          <w:rFonts w:ascii="Arial" w:hAnsi="Arial" w:cs="Arial"/>
        </w:rPr>
        <w:t>warding DRRS based on</w:t>
      </w:r>
      <w:r w:rsidR="007B1CF0">
        <w:rPr>
          <w:rFonts w:ascii="Arial" w:hAnsi="Arial" w:cs="Arial"/>
        </w:rPr>
        <w:t xml:space="preserve"> </w:t>
      </w:r>
      <w:r w:rsidRPr="21FF6704">
        <w:rPr>
          <w:rFonts w:ascii="Arial" w:hAnsi="Arial" w:cs="Arial"/>
        </w:rPr>
        <w:t>instantaneous HSL rather than sustained capability can overstate ESR deliverability.</w:t>
      </w:r>
      <w:r w:rsidR="00645573" w:rsidRPr="21FF6704">
        <w:rPr>
          <w:rStyle w:val="FootnoteReference"/>
          <w:rFonts w:ascii="Arial" w:hAnsi="Arial" w:cs="Arial"/>
        </w:rPr>
        <w:footnoteReference w:id="2"/>
      </w:r>
      <w:r w:rsidRPr="21FF6704">
        <w:rPr>
          <w:rFonts w:ascii="Arial" w:hAnsi="Arial" w:cs="Arial"/>
        </w:rPr>
        <w:t xml:space="preserve"> For example, a 100 MW HSL award requires ~400 MWh SOC to sustain four-hour delivery at its HSL in order to meet the statutory </w:t>
      </w:r>
      <w:r w:rsidR="21FF6704" w:rsidRPr="21FF6704">
        <w:rPr>
          <w:rFonts w:ascii="Arial" w:hAnsi="Arial" w:cs="Arial"/>
        </w:rPr>
        <w:t xml:space="preserve">qualification </w:t>
      </w:r>
      <w:r w:rsidRPr="21FF6704">
        <w:rPr>
          <w:rFonts w:ascii="Arial" w:hAnsi="Arial" w:cs="Arial"/>
        </w:rPr>
        <w:t>criteria.</w:t>
      </w:r>
    </w:p>
    <w:p w14:paraId="011D66DE" w14:textId="77777777" w:rsidR="00151E35" w:rsidRDefault="00151E35" w:rsidP="00151E35">
      <w:pPr>
        <w:pStyle w:val="ListBullet"/>
        <w:tabs>
          <w:tab w:val="clear" w:pos="360"/>
        </w:tabs>
        <w:ind w:left="0" w:firstLine="0"/>
        <w:jc w:val="both"/>
        <w:rPr>
          <w:rFonts w:ascii="Arial" w:hAnsi="Arial" w:cs="Arial"/>
          <w:szCs w:val="24"/>
        </w:rPr>
      </w:pPr>
    </w:p>
    <w:p w14:paraId="2FB4EF18" w14:textId="575A8F79" w:rsidR="00151E35" w:rsidRPr="002F0B11" w:rsidRDefault="00151E35" w:rsidP="21FF6704">
      <w:pPr>
        <w:pStyle w:val="ListBullet"/>
        <w:tabs>
          <w:tab w:val="clear" w:pos="360"/>
        </w:tabs>
        <w:ind w:left="0" w:firstLine="0"/>
        <w:jc w:val="both"/>
        <w:rPr>
          <w:rFonts w:ascii="Arial" w:hAnsi="Arial" w:cs="Arial"/>
        </w:rPr>
      </w:pPr>
      <w:r w:rsidRPr="21FF6704">
        <w:rPr>
          <w:rFonts w:ascii="Arial" w:hAnsi="Arial" w:cs="Arial"/>
        </w:rPr>
        <w:t xml:space="preserve">Additionally, DRRS awards should not exceed capacity that is qualified based on deliverable output for the required duration. Otherwise, ESRs could receive payments for capacity they cannot sustain and the plain language of the law would be circumvented. In real time, the </w:t>
      </w:r>
      <w:r w:rsidRPr="21FF6704">
        <w:rPr>
          <w:rFonts w:ascii="Arial" w:hAnsi="Arial" w:cs="Arial"/>
          <w:color w:val="000000" w:themeColor="text1"/>
          <w:shd w:val="clear" w:color="auto" w:fill="FFFFFF"/>
        </w:rPr>
        <w:t>Security-Constrained Economic Dispatch</w:t>
      </w:r>
      <w:r w:rsidRPr="00151E35">
        <w:rPr>
          <w:rFonts w:ascii="Roboto" w:hAnsi="Roboto"/>
          <w:color w:val="000000" w:themeColor="text1"/>
          <w:sz w:val="21"/>
          <w:szCs w:val="21"/>
          <w:shd w:val="clear" w:color="auto" w:fill="FFFFFF"/>
        </w:rPr>
        <w:t> </w:t>
      </w:r>
      <w:r>
        <w:rPr>
          <w:rFonts w:ascii="Roboto" w:hAnsi="Roboto"/>
          <w:color w:val="474747"/>
          <w:sz w:val="21"/>
          <w:szCs w:val="21"/>
          <w:shd w:val="clear" w:color="auto" w:fill="FFFFFF"/>
        </w:rPr>
        <w:t>(</w:t>
      </w:r>
      <w:r w:rsidRPr="21FF6704">
        <w:rPr>
          <w:rFonts w:ascii="Arial" w:hAnsi="Arial" w:cs="Arial"/>
        </w:rPr>
        <w:t>SCED) should not award an ESR DRRS unless the ESR has sufficient SOC to run at its telemetered HSL for the required number of consecutive hours.</w:t>
      </w:r>
      <w:r w:rsidR="002F0B11" w:rsidRPr="21FF6704">
        <w:rPr>
          <w:rFonts w:ascii="Arial" w:hAnsi="Arial" w:cs="Arial"/>
        </w:rPr>
        <w:t xml:space="preserve"> In other words, </w:t>
      </w:r>
      <w:r w:rsidR="002F0B11" w:rsidRPr="002F0B11">
        <w:rPr>
          <w:rFonts w:ascii="Arial" w:hAnsi="Arial" w:cs="Arial"/>
        </w:rPr>
        <w:t>ESR DRRS awards should be limited based on real-time SOC and HSL capabilities relative to the DRRS duration requirement.</w:t>
      </w:r>
    </w:p>
    <w:p w14:paraId="78ECCE58" w14:textId="77777777" w:rsidR="00151E35" w:rsidRDefault="00151E35" w:rsidP="00151E35">
      <w:pPr>
        <w:pStyle w:val="ListBullet"/>
        <w:tabs>
          <w:tab w:val="clear" w:pos="360"/>
        </w:tabs>
        <w:ind w:left="0" w:firstLine="0"/>
        <w:jc w:val="both"/>
        <w:rPr>
          <w:rFonts w:ascii="Arial" w:hAnsi="Arial" w:cs="Arial"/>
          <w:szCs w:val="24"/>
        </w:rPr>
      </w:pPr>
    </w:p>
    <w:p w14:paraId="371C6515" w14:textId="4CECD298" w:rsidR="00B31DB5" w:rsidRPr="000928DB" w:rsidRDefault="21FF6704" w:rsidP="21FF6704">
      <w:pPr>
        <w:pStyle w:val="ListBullet"/>
        <w:tabs>
          <w:tab w:val="clear" w:pos="360"/>
        </w:tabs>
        <w:ind w:left="0" w:firstLine="0"/>
        <w:jc w:val="both"/>
        <w:rPr>
          <w:rFonts w:ascii="Arial" w:hAnsi="Arial" w:cs="Arial"/>
          <w:i/>
          <w:iCs/>
        </w:rPr>
      </w:pPr>
      <w:r w:rsidRPr="21FF6704">
        <w:rPr>
          <w:rFonts w:ascii="Arial" w:hAnsi="Arial" w:cs="Arial"/>
        </w:rPr>
        <w:t>Furthermore, ESRs should not be permitted to lower their HSL for qualification testing and then restore it in the Day-Ahead Market (DAM) or Real-Time Market (RTM), undermining qualification intent.  Therefore, DRRS should be designed to ensure that the output level must remain at the nameplate HSL for the required number of consecutive hours.</w:t>
      </w:r>
    </w:p>
    <w:p w14:paraId="5E58B133" w14:textId="74C1F762" w:rsidR="00696A8A" w:rsidRPr="00065E3F" w:rsidRDefault="000928DB" w:rsidP="00277972">
      <w:pPr>
        <w:pStyle w:val="NormalArial"/>
        <w:spacing w:before="120" w:after="120" w:line="276" w:lineRule="auto"/>
        <w:jc w:val="both"/>
      </w:pPr>
      <w:r>
        <w:t xml:space="preserve">Finally, TCPA would like to </w:t>
      </w:r>
      <w:r w:rsidR="00DB5708">
        <w:t xml:space="preserve">reiterate </w:t>
      </w:r>
      <w:r>
        <w:t xml:space="preserve">that inclusion of ESRs in DRRS </w:t>
      </w:r>
      <w:r w:rsidR="00696A8A" w:rsidRPr="00696A8A">
        <w:t>may confound the R</w:t>
      </w:r>
      <w:r w:rsidR="00696A8A">
        <w:t xml:space="preserve">eliability Unit Commitment </w:t>
      </w:r>
      <w:r>
        <w:t>(</w:t>
      </w:r>
      <w:r w:rsidR="00696A8A">
        <w:t>R</w:t>
      </w:r>
      <w:r w:rsidR="00696A8A" w:rsidRPr="00696A8A">
        <w:t>UC</w:t>
      </w:r>
      <w:r>
        <w:t>)</w:t>
      </w:r>
      <w:r w:rsidR="00696A8A" w:rsidRPr="00696A8A">
        <w:t xml:space="preserve"> reduction and resource adequacy objectives of DRRS</w:t>
      </w:r>
      <w:r w:rsidR="0068339A">
        <w:t>, as detailed in TCPA’s March 2, 2026 comments on NPRR1309</w:t>
      </w:r>
      <w:r>
        <w:t>.</w:t>
      </w:r>
      <w:r w:rsidR="0068339A">
        <w:rPr>
          <w:rStyle w:val="FootnoteReference"/>
        </w:rPr>
        <w:footnoteReference w:id="3"/>
      </w:r>
    </w:p>
    <w:p w14:paraId="482224FF" w14:textId="19EEED28" w:rsidR="001562E3" w:rsidRPr="007B1CF0" w:rsidRDefault="00D313D7" w:rsidP="0002137F">
      <w:pPr>
        <w:pStyle w:val="NormalArial"/>
        <w:numPr>
          <w:ilvl w:val="0"/>
          <w:numId w:val="3"/>
        </w:numPr>
        <w:spacing w:before="120" w:after="120" w:line="276" w:lineRule="auto"/>
        <w:jc w:val="both"/>
        <w:rPr>
          <w:i/>
          <w:iCs/>
        </w:rPr>
      </w:pPr>
      <w:r w:rsidRPr="007B1CF0">
        <w:rPr>
          <w:i/>
          <w:iCs/>
        </w:rPr>
        <w:t xml:space="preserve">If the reference to HSL in PURA </w:t>
      </w:r>
      <w:r w:rsidRPr="007B1CF0">
        <w:rPr>
          <w:rFonts w:cs="Arial"/>
          <w:i/>
          <w:iCs/>
        </w:rPr>
        <w:t>§</w:t>
      </w:r>
      <w:r w:rsidRPr="007B1CF0">
        <w:rPr>
          <w:i/>
          <w:iCs/>
        </w:rPr>
        <w:t xml:space="preserve"> 39.159(d)(2)(A) were interpreted to mean an ESR’s nameplate HSL (e.g., that a 100 megawatt (MW) / 100 megawatt hour (MWh) ESR is not permitted under that interpretation to adjust its HSL down such that a one-hour ESR can operate as a four-hour ESR), would </w:t>
      </w:r>
      <w:r w:rsidR="00656FF8" w:rsidRPr="007B1CF0">
        <w:rPr>
          <w:i/>
          <w:iCs/>
        </w:rPr>
        <w:t>DRRS</w:t>
      </w:r>
      <w:r w:rsidR="00E02F7A" w:rsidRPr="007B1CF0">
        <w:rPr>
          <w:i/>
          <w:iCs/>
        </w:rPr>
        <w:t xml:space="preserve"> </w:t>
      </w:r>
      <w:r w:rsidR="004653BC" w:rsidRPr="007B1CF0">
        <w:rPr>
          <w:i/>
          <w:iCs/>
        </w:rPr>
        <w:t xml:space="preserve">participation likely provide sufficient </w:t>
      </w:r>
      <w:r w:rsidRPr="007B1CF0">
        <w:rPr>
          <w:i/>
          <w:iCs/>
        </w:rPr>
        <w:t>incentiv</w:t>
      </w:r>
      <w:r w:rsidR="005A1814" w:rsidRPr="007B1CF0">
        <w:rPr>
          <w:i/>
          <w:iCs/>
        </w:rPr>
        <w:t>e for</w:t>
      </w:r>
      <w:r w:rsidRPr="007B1CF0">
        <w:rPr>
          <w:i/>
          <w:iCs/>
        </w:rPr>
        <w:t xml:space="preserve"> </w:t>
      </w:r>
      <w:r w:rsidR="00656FF8" w:rsidRPr="007B1CF0">
        <w:rPr>
          <w:i/>
          <w:iCs/>
        </w:rPr>
        <w:t xml:space="preserve">ESR developers </w:t>
      </w:r>
      <w:r w:rsidRPr="007B1CF0">
        <w:rPr>
          <w:i/>
          <w:iCs/>
        </w:rPr>
        <w:t>to build longer, four-hour-plus duration ESRs in the ERCOT Region (e.g., a 100 MW / 400 MWh ESR)?</w:t>
      </w:r>
      <w:r w:rsidR="00656FF8" w:rsidRPr="007B1CF0">
        <w:rPr>
          <w:i/>
          <w:iCs/>
        </w:rPr>
        <w:t xml:space="preserve">  If your response depends on what the value of </w:t>
      </w:r>
      <w:r w:rsidR="00FB38F7" w:rsidRPr="007B1CF0">
        <w:rPr>
          <w:i/>
          <w:iCs/>
        </w:rPr>
        <w:t xml:space="preserve">the </w:t>
      </w:r>
      <w:r w:rsidR="00656FF8" w:rsidRPr="007B1CF0">
        <w:rPr>
          <w:i/>
          <w:iCs/>
        </w:rPr>
        <w:t>DRRS</w:t>
      </w:r>
      <w:r w:rsidR="00FB38F7" w:rsidRPr="007B1CF0">
        <w:rPr>
          <w:i/>
          <w:iCs/>
        </w:rPr>
        <w:t xml:space="preserve"> Ancillary Service Demand Curve (ASDC)</w:t>
      </w:r>
      <w:r w:rsidR="00656FF8" w:rsidRPr="007B1CF0">
        <w:rPr>
          <w:i/>
          <w:iCs/>
        </w:rPr>
        <w:t xml:space="preserve"> is, please describe what value would be appropriate to help to provide such incentives.</w:t>
      </w:r>
    </w:p>
    <w:p w14:paraId="5FAB4BA7" w14:textId="76871FF9" w:rsidR="00277972" w:rsidRDefault="00277972" w:rsidP="00277972">
      <w:pPr>
        <w:pStyle w:val="NormalArial"/>
        <w:spacing w:before="120" w:after="120" w:line="276" w:lineRule="auto"/>
        <w:jc w:val="both"/>
      </w:pPr>
      <w:r>
        <w:t>TCPA’s response:</w:t>
      </w:r>
    </w:p>
    <w:p w14:paraId="012CC63D" w14:textId="6836A3C0" w:rsidR="009B37EA" w:rsidRDefault="21FF6704" w:rsidP="00B50CDB">
      <w:pPr>
        <w:pStyle w:val="ListBullet"/>
        <w:tabs>
          <w:tab w:val="clear" w:pos="360"/>
        </w:tabs>
        <w:ind w:left="0" w:firstLine="0"/>
        <w:jc w:val="both"/>
        <w:rPr>
          <w:rFonts w:ascii="Arial" w:hAnsi="Arial" w:cs="Arial"/>
        </w:rPr>
      </w:pPr>
      <w:r w:rsidRPr="21FF6704">
        <w:rPr>
          <w:rFonts w:ascii="Arial" w:hAnsi="Arial" w:cs="Arial"/>
        </w:rPr>
        <w:t>TCPA believes that the interpretation of HSL in this question is the correct reading of 39.159(d)(2)(A), but disagrees with the premise that DRRS should be evaluated on its ability to provide sufficient incentive for ESR developers to build longer duration ESRs in ERCOT.</w:t>
      </w:r>
    </w:p>
    <w:p w14:paraId="65B2801C" w14:textId="77777777" w:rsidR="009B37EA" w:rsidRDefault="009B37EA" w:rsidP="00B50CDB">
      <w:pPr>
        <w:pStyle w:val="ListBullet"/>
        <w:tabs>
          <w:tab w:val="clear" w:pos="360"/>
        </w:tabs>
        <w:ind w:left="0" w:firstLine="0"/>
        <w:jc w:val="both"/>
        <w:rPr>
          <w:rFonts w:ascii="Arial" w:hAnsi="Arial" w:cs="Arial"/>
        </w:rPr>
      </w:pPr>
    </w:p>
    <w:p w14:paraId="263E4C2C" w14:textId="36D927F0" w:rsidR="00696A8A" w:rsidRPr="00696A8A" w:rsidRDefault="00735E8C" w:rsidP="007B1CF0">
      <w:pPr>
        <w:pStyle w:val="ListBullet"/>
        <w:tabs>
          <w:tab w:val="clear" w:pos="360"/>
        </w:tabs>
        <w:spacing w:line="259" w:lineRule="auto"/>
        <w:ind w:left="0" w:firstLine="0"/>
        <w:jc w:val="both"/>
        <w:rPr>
          <w:rStyle w:val="FootnoteReference"/>
          <w:rFonts w:ascii="Arial" w:hAnsi="Arial" w:cs="Arial"/>
          <w:szCs w:val="24"/>
          <w:vertAlign w:val="baseline"/>
        </w:rPr>
      </w:pPr>
      <w:r>
        <w:rPr>
          <w:rFonts w:ascii="Arial" w:hAnsi="Arial" w:cs="Arial"/>
        </w:rPr>
        <w:lastRenderedPageBreak/>
        <w:t>T</w:t>
      </w:r>
      <w:r w:rsidR="00696A8A" w:rsidRPr="002B10C4">
        <w:rPr>
          <w:rFonts w:ascii="Arial" w:hAnsi="Arial" w:cs="Arial"/>
        </w:rPr>
        <w:t>he objective of DRRS</w:t>
      </w:r>
      <w:r w:rsidR="00696A8A" w:rsidRPr="00696A8A">
        <w:rPr>
          <w:rFonts w:ascii="Arial" w:hAnsi="Arial" w:cs="Arial"/>
        </w:rPr>
        <w:t xml:space="preserve"> is not to provide sufficient incentive for ESR developers to build longer, four-hour-plus duration ESRs; rather it is to reduce RUCs, address inter-hour operability, manage market uncertainty, and support the ERCOT market’s ability to satisfy the reliability standard established in 16 TAC 25.508.</w:t>
      </w:r>
      <w:r>
        <w:rPr>
          <w:rStyle w:val="FootnoteReference"/>
          <w:rFonts w:ascii="Arial" w:hAnsi="Arial" w:cs="Arial"/>
        </w:rPr>
        <w:footnoteReference w:id="4"/>
      </w:r>
      <w:r w:rsidR="21FF6704" w:rsidRPr="21FF6704">
        <w:rPr>
          <w:rStyle w:val="FootnoteReference"/>
          <w:rFonts w:ascii="Arial" w:hAnsi="Arial" w:cs="Arial"/>
        </w:rPr>
        <w:t xml:space="preserve"> </w:t>
      </w:r>
      <w:r w:rsidR="21FF6704" w:rsidRPr="21FF6704">
        <w:rPr>
          <w:rStyle w:val="FootnoteReference"/>
          <w:rFonts w:ascii="Arial" w:hAnsi="Arial" w:cs="Arial"/>
          <w:vertAlign w:val="baseline"/>
        </w:rPr>
        <w:t xml:space="preserve">The statutory duration qualification criteria should rationally support those objectives, but there is nothing in statute that says the duration qualification is specific to long-duration batteries. </w:t>
      </w:r>
    </w:p>
    <w:p w14:paraId="25F66A88" w14:textId="77777777" w:rsidR="00696A8A" w:rsidRDefault="00696A8A" w:rsidP="00B50CDB">
      <w:pPr>
        <w:pStyle w:val="ListBullet"/>
        <w:tabs>
          <w:tab w:val="clear" w:pos="360"/>
        </w:tabs>
        <w:ind w:left="0" w:firstLine="0"/>
        <w:jc w:val="both"/>
      </w:pPr>
    </w:p>
    <w:p w14:paraId="13696861" w14:textId="7E3DFC45" w:rsidR="00341289" w:rsidRPr="007B1CF0" w:rsidRDefault="00341289" w:rsidP="0002137F">
      <w:pPr>
        <w:pStyle w:val="NormalArial"/>
        <w:numPr>
          <w:ilvl w:val="0"/>
          <w:numId w:val="3"/>
        </w:numPr>
        <w:spacing w:before="120" w:after="120" w:line="276" w:lineRule="auto"/>
        <w:jc w:val="both"/>
        <w:rPr>
          <w:i/>
          <w:iCs/>
        </w:rPr>
      </w:pPr>
      <w:r w:rsidRPr="007B1CF0">
        <w:rPr>
          <w:i/>
          <w:iCs/>
        </w:rPr>
        <w:t xml:space="preserve">PURA </w:t>
      </w:r>
      <w:r w:rsidRPr="007B1CF0">
        <w:rPr>
          <w:rFonts w:cs="Arial"/>
          <w:i/>
          <w:iCs/>
        </w:rPr>
        <w:t>§</w:t>
      </w:r>
      <w:r w:rsidRPr="007B1CF0">
        <w:rPr>
          <w:i/>
          <w:iCs/>
        </w:rPr>
        <w:t xml:space="preserve">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rsidRPr="007B1CF0">
        <w:rPr>
          <w:i/>
          <w:iCs/>
        </w:rPr>
        <w:t>at the amount of MW that it can ramp to within two hours and then sustain for at least four hours?</w:t>
      </w:r>
    </w:p>
    <w:p w14:paraId="4EA8EAAD" w14:textId="0C54A32A" w:rsidR="00277972" w:rsidRDefault="00277972" w:rsidP="00277972">
      <w:pPr>
        <w:pStyle w:val="NormalArial"/>
        <w:spacing w:before="120" w:after="120" w:line="276" w:lineRule="auto"/>
        <w:jc w:val="both"/>
      </w:pPr>
      <w:r>
        <w:t>TCPA’s response:</w:t>
      </w:r>
    </w:p>
    <w:p w14:paraId="090D104D" w14:textId="14584019" w:rsidR="00277972" w:rsidRPr="00696A8A" w:rsidRDefault="21FF6704" w:rsidP="00277972">
      <w:pPr>
        <w:pStyle w:val="NormalArial"/>
        <w:spacing w:before="120" w:after="120" w:line="276" w:lineRule="auto"/>
        <w:jc w:val="both"/>
        <w:rPr>
          <w:rFonts w:cs="Arial"/>
          <w:color w:val="000000" w:themeColor="text1"/>
        </w:rPr>
      </w:pPr>
      <w:r w:rsidRPr="21FF6704">
        <w:rPr>
          <w:rFonts w:cs="Arial"/>
          <w:color w:val="000000" w:themeColor="text1"/>
        </w:rPr>
        <w:t>The phrase “be online and dispatchable not more than two hours after being called on for deployment” effectively describes a resource coming online and reaching Low Sustained Limit (LSL). In other words, a Resource must be “online and dispatchable [by SCED]” within two hours. It does not specify that the resource must reach its HSL within two hours (indeed, if it were to reach HSL, it would have no further room to dispatch “up”), only that it must be capable of sustaining output at its HSL for at least four hours (or more than four hours as ERCOT determines is needed). DRRS should provide that an Off-Line Resource may be eligible if the resource can demonstrate a two-hour start up capability.</w:t>
      </w:r>
    </w:p>
    <w:p w14:paraId="4A8853BE" w14:textId="7768B9AE" w:rsidR="00CA6FCA" w:rsidRPr="007B1CF0" w:rsidRDefault="00972E0A" w:rsidP="00CA6FCA">
      <w:pPr>
        <w:pStyle w:val="NormalArial"/>
        <w:numPr>
          <w:ilvl w:val="0"/>
          <w:numId w:val="3"/>
        </w:numPr>
        <w:spacing w:before="120" w:after="120" w:line="276" w:lineRule="auto"/>
        <w:jc w:val="both"/>
        <w:rPr>
          <w:i/>
          <w:iCs/>
        </w:rPr>
      </w:pPr>
      <w:r w:rsidRPr="007B1CF0">
        <w:rPr>
          <w:i/>
          <w:iCs/>
        </w:rPr>
        <w:t xml:space="preserve">PURA </w:t>
      </w:r>
      <w:r w:rsidRPr="007B1CF0">
        <w:rPr>
          <w:rFonts w:cs="Arial"/>
          <w:i/>
          <w:iCs/>
        </w:rPr>
        <w:t>§</w:t>
      </w:r>
      <w:r w:rsidRPr="007B1CF0">
        <w:rPr>
          <w:i/>
          <w:iCs/>
        </w:rPr>
        <w:t xml:space="preserve"> 39.159(e) states that ERCOT “may require a resource to be capable of running for more than four hours as [ERCOT] determines is needed.”  </w:t>
      </w:r>
      <w:r w:rsidR="00BF7E5B" w:rsidRPr="007B1CF0">
        <w:rPr>
          <w:i/>
          <w:iCs/>
        </w:rPr>
        <w:t>Should DRRS’s duration requirement be extended beyond four hours, for instance to eight</w:t>
      </w:r>
      <w:r w:rsidR="00C1177A" w:rsidRPr="007B1CF0">
        <w:rPr>
          <w:i/>
          <w:iCs/>
        </w:rPr>
        <w:t xml:space="preserve"> hours, </w:t>
      </w:r>
      <w:r w:rsidR="00BF7E5B" w:rsidRPr="007B1CF0">
        <w:rPr>
          <w:i/>
          <w:iCs/>
        </w:rPr>
        <w:t>twelve hours</w:t>
      </w:r>
      <w:r w:rsidR="004270F7" w:rsidRPr="007B1CF0">
        <w:rPr>
          <w:i/>
          <w:iCs/>
        </w:rPr>
        <w:t>,</w:t>
      </w:r>
      <w:r w:rsidR="00C1177A" w:rsidRPr="007B1CF0">
        <w:rPr>
          <w:i/>
          <w:iCs/>
        </w:rPr>
        <w:t xml:space="preserve"> or even longer</w:t>
      </w:r>
      <w:r w:rsidR="00BF7E5B" w:rsidRPr="007B1CF0">
        <w:rPr>
          <w:i/>
          <w:iCs/>
        </w:rPr>
        <w:t xml:space="preserve">?  </w:t>
      </w:r>
      <w:r w:rsidR="00BE3CCC" w:rsidRPr="007B1CF0">
        <w:rPr>
          <w:i/>
          <w:iCs/>
        </w:rPr>
        <w:t>Please</w:t>
      </w:r>
      <w:r w:rsidR="00BF7E5B" w:rsidRPr="007B1CF0">
        <w:rPr>
          <w:i/>
          <w:iCs/>
        </w:rPr>
        <w:t xml:space="preserve"> explain</w:t>
      </w:r>
      <w:r w:rsidR="00BE3CCC" w:rsidRPr="007B1CF0">
        <w:rPr>
          <w:i/>
          <w:iCs/>
        </w:rPr>
        <w:t xml:space="preserve"> the</w:t>
      </w:r>
      <w:r w:rsidR="00BF7E5B" w:rsidRPr="007B1CF0">
        <w:rPr>
          <w:i/>
          <w:iCs/>
        </w:rPr>
        <w:t xml:space="preserve"> operational or reliability-related reasons that the DRRS duration should or should not be extended</w:t>
      </w:r>
      <w:r w:rsidR="00020565" w:rsidRPr="007B1CF0">
        <w:rPr>
          <w:i/>
          <w:iCs/>
        </w:rPr>
        <w:t xml:space="preserve"> as well as the likely financial impacts of such a longer duration requirement on the current ESR fleet and how that longer duration requirement would impact incentives for future investments in the ESR fleet</w:t>
      </w:r>
      <w:r w:rsidR="00BF7E5B" w:rsidRPr="007B1CF0">
        <w:rPr>
          <w:i/>
          <w:iCs/>
        </w:rPr>
        <w:t>.</w:t>
      </w:r>
    </w:p>
    <w:p w14:paraId="3E3F2D1A" w14:textId="52E9A97B" w:rsidR="00277972" w:rsidRDefault="00277972" w:rsidP="00277972">
      <w:pPr>
        <w:pStyle w:val="NormalArial"/>
        <w:spacing w:before="120" w:after="120" w:line="276" w:lineRule="auto"/>
        <w:jc w:val="both"/>
      </w:pPr>
      <w:r>
        <w:t>TCPA’s response:</w:t>
      </w:r>
    </w:p>
    <w:p w14:paraId="297B3C10" w14:textId="47C79032" w:rsidR="00C963B9" w:rsidRDefault="00C963B9" w:rsidP="00C963B9">
      <w:pPr>
        <w:pStyle w:val="NormalArial"/>
        <w:jc w:val="both"/>
        <w:rPr>
          <w:rFonts w:cs="Arial"/>
        </w:rPr>
      </w:pPr>
      <w:r>
        <w:lastRenderedPageBreak/>
        <w:t xml:space="preserve">As TCPA stated in its March 2, 2026 comments in NPRR1309, </w:t>
      </w:r>
      <w:r w:rsidRPr="57500888">
        <w:rPr>
          <w:rFonts w:cs="Arial"/>
        </w:rPr>
        <w:t xml:space="preserve">TCPA </w:t>
      </w:r>
      <w:r>
        <w:rPr>
          <w:rFonts w:cs="Arial"/>
        </w:rPr>
        <w:t>suggest</w:t>
      </w:r>
      <w:r w:rsidRPr="57500888">
        <w:rPr>
          <w:rFonts w:cs="Arial"/>
        </w:rPr>
        <w:t xml:space="preserve">s </w:t>
      </w:r>
      <w:r>
        <w:rPr>
          <w:rFonts w:cs="Arial"/>
        </w:rPr>
        <w:t>that DRRS’s duration requirement should be extended to a 72-hour minimum duration for the winter Season and a six-hour minimum duration for the spring, summer, and fall Seasons.</w:t>
      </w:r>
      <w:r>
        <w:rPr>
          <w:rStyle w:val="FootnoteReference"/>
          <w:rFonts w:cs="Arial"/>
        </w:rPr>
        <w:footnoteReference w:id="5"/>
      </w:r>
    </w:p>
    <w:p w14:paraId="02D02616" w14:textId="77777777" w:rsidR="00C963B9" w:rsidRDefault="00C963B9" w:rsidP="00C963B9">
      <w:pPr>
        <w:pStyle w:val="NormalArial"/>
        <w:jc w:val="both"/>
        <w:rPr>
          <w:rFonts w:cs="Arial"/>
        </w:rPr>
      </w:pPr>
    </w:p>
    <w:p w14:paraId="1B3DAC17" w14:textId="3767B826" w:rsidR="00C963B9" w:rsidRDefault="00C963B9" w:rsidP="00C963B9">
      <w:pPr>
        <w:pStyle w:val="NormalArial"/>
        <w:jc w:val="both"/>
        <w:rPr>
          <w:rFonts w:cs="Arial"/>
        </w:rPr>
      </w:pPr>
      <w:r>
        <w:rPr>
          <w:rFonts w:cs="Arial"/>
        </w:rPr>
        <w:t xml:space="preserve">TCPA contends </w:t>
      </w:r>
      <w:r w:rsidRPr="57500888">
        <w:rPr>
          <w:rFonts w:cs="Arial"/>
        </w:rPr>
        <w:t xml:space="preserve">that 72 hours would be an appropriate duration requirement for the </w:t>
      </w:r>
      <w:r>
        <w:rPr>
          <w:rFonts w:cs="Arial"/>
        </w:rPr>
        <w:t>w</w:t>
      </w:r>
      <w:r w:rsidRPr="57500888">
        <w:rPr>
          <w:rFonts w:cs="Arial"/>
        </w:rPr>
        <w:t xml:space="preserve">inter </w:t>
      </w:r>
      <w:r>
        <w:rPr>
          <w:rFonts w:cs="Arial"/>
        </w:rPr>
        <w:t>S</w:t>
      </w:r>
      <w:r w:rsidRPr="57500888">
        <w:rPr>
          <w:rFonts w:cs="Arial"/>
        </w:rPr>
        <w:t>eason given the majority of weather events in the last five years have lasted three to four days</w:t>
      </w:r>
      <w:r>
        <w:rPr>
          <w:rFonts w:cs="Arial"/>
        </w:rPr>
        <w:t xml:space="preserve"> (72</w:t>
      </w:r>
      <w:r w:rsidR="00FC086E">
        <w:rPr>
          <w:rFonts w:cs="Arial"/>
        </w:rPr>
        <w:t xml:space="preserve"> to </w:t>
      </w:r>
      <w:r>
        <w:rPr>
          <w:rFonts w:cs="Arial"/>
        </w:rPr>
        <w:t>96 hours)</w:t>
      </w:r>
      <w:r w:rsidRPr="57500888">
        <w:rPr>
          <w:rFonts w:cs="Arial"/>
        </w:rPr>
        <w:t xml:space="preserve">. To effectively provide the dispatchable reliability desired during the </w:t>
      </w:r>
      <w:r>
        <w:rPr>
          <w:rFonts w:cs="Arial"/>
        </w:rPr>
        <w:t>w</w:t>
      </w:r>
      <w:r w:rsidRPr="57500888">
        <w:rPr>
          <w:rFonts w:cs="Arial"/>
        </w:rPr>
        <w:t xml:space="preserve">inter </w:t>
      </w:r>
      <w:r>
        <w:rPr>
          <w:rFonts w:cs="Arial"/>
        </w:rPr>
        <w:t>S</w:t>
      </w:r>
      <w:r w:rsidRPr="57500888">
        <w:rPr>
          <w:rFonts w:cs="Arial"/>
        </w:rPr>
        <w:t xml:space="preserve">eason, resources should be able to run for the length of time weather events can be reasonably expected to last. </w:t>
      </w:r>
    </w:p>
    <w:p w14:paraId="6FDB8217" w14:textId="77777777" w:rsidR="00C963B9" w:rsidRDefault="00C963B9" w:rsidP="00C963B9">
      <w:pPr>
        <w:pStyle w:val="NormalArial"/>
        <w:jc w:val="both"/>
        <w:rPr>
          <w:rFonts w:cs="Arial"/>
        </w:rPr>
      </w:pPr>
    </w:p>
    <w:tbl>
      <w:tblPr>
        <w:tblStyle w:val="TableGrid"/>
        <w:tblW w:w="0" w:type="auto"/>
        <w:tblLook w:val="04A0" w:firstRow="1" w:lastRow="0" w:firstColumn="1" w:lastColumn="0" w:noHBand="0" w:noVBand="1"/>
      </w:tblPr>
      <w:tblGrid>
        <w:gridCol w:w="4675"/>
        <w:gridCol w:w="4675"/>
      </w:tblGrid>
      <w:tr w:rsidR="00C963B9" w14:paraId="7DDA938F" w14:textId="77777777" w:rsidTr="00475D2D">
        <w:tc>
          <w:tcPr>
            <w:tcW w:w="4675" w:type="dxa"/>
          </w:tcPr>
          <w:p w14:paraId="27FFB983" w14:textId="77777777" w:rsidR="00C963B9" w:rsidRPr="005B6014" w:rsidRDefault="00C963B9" w:rsidP="00475D2D">
            <w:pPr>
              <w:pStyle w:val="NormalArial"/>
              <w:spacing w:before="120" w:after="120"/>
              <w:jc w:val="both"/>
              <w:rPr>
                <w:rFonts w:cs="Arial"/>
                <w:b/>
                <w:bCs/>
              </w:rPr>
            </w:pPr>
            <w:r w:rsidRPr="005B6014">
              <w:rPr>
                <w:rFonts w:cs="Arial"/>
                <w:b/>
                <w:bCs/>
              </w:rPr>
              <w:t>Winter Storm</w:t>
            </w:r>
          </w:p>
        </w:tc>
        <w:tc>
          <w:tcPr>
            <w:tcW w:w="4675" w:type="dxa"/>
          </w:tcPr>
          <w:p w14:paraId="187C9130" w14:textId="77777777" w:rsidR="00C963B9" w:rsidRPr="005B6014" w:rsidRDefault="00C963B9" w:rsidP="00475D2D">
            <w:pPr>
              <w:pStyle w:val="NormalArial"/>
              <w:spacing w:before="120" w:after="120"/>
              <w:jc w:val="both"/>
              <w:rPr>
                <w:rFonts w:cs="Arial"/>
                <w:b/>
                <w:bCs/>
              </w:rPr>
            </w:pPr>
            <w:r w:rsidRPr="005B6014">
              <w:rPr>
                <w:rFonts w:cs="Arial"/>
                <w:b/>
                <w:bCs/>
              </w:rPr>
              <w:t>Dates</w:t>
            </w:r>
          </w:p>
        </w:tc>
      </w:tr>
      <w:tr w:rsidR="00C963B9" w14:paraId="11DDC9A2" w14:textId="77777777" w:rsidTr="00475D2D">
        <w:tc>
          <w:tcPr>
            <w:tcW w:w="4675" w:type="dxa"/>
          </w:tcPr>
          <w:p w14:paraId="455BCCD6" w14:textId="77777777" w:rsidR="00C963B9" w:rsidRDefault="00C963B9" w:rsidP="00475D2D">
            <w:pPr>
              <w:pStyle w:val="NormalArial"/>
              <w:spacing w:before="120" w:after="120"/>
              <w:jc w:val="both"/>
              <w:rPr>
                <w:rFonts w:cs="Arial"/>
              </w:rPr>
            </w:pPr>
            <w:r>
              <w:rPr>
                <w:rFonts w:cs="Arial"/>
              </w:rPr>
              <w:t>Uri</w:t>
            </w:r>
          </w:p>
        </w:tc>
        <w:tc>
          <w:tcPr>
            <w:tcW w:w="4675" w:type="dxa"/>
          </w:tcPr>
          <w:p w14:paraId="6DCDF931" w14:textId="77777777" w:rsidR="00C963B9" w:rsidRDefault="00C963B9" w:rsidP="00475D2D">
            <w:pPr>
              <w:pStyle w:val="NormalArial"/>
              <w:spacing w:before="120" w:after="120"/>
              <w:jc w:val="both"/>
              <w:rPr>
                <w:rFonts w:cs="Arial"/>
              </w:rPr>
            </w:pPr>
            <w:r>
              <w:rPr>
                <w:rFonts w:cs="Arial"/>
              </w:rPr>
              <w:t>February 15-18, 2021</w:t>
            </w:r>
          </w:p>
        </w:tc>
      </w:tr>
      <w:tr w:rsidR="00C963B9" w14:paraId="6713EB7E" w14:textId="77777777" w:rsidTr="00475D2D">
        <w:tc>
          <w:tcPr>
            <w:tcW w:w="4675" w:type="dxa"/>
          </w:tcPr>
          <w:p w14:paraId="048D16DC" w14:textId="77777777" w:rsidR="00C963B9" w:rsidRDefault="00C963B9" w:rsidP="00475D2D">
            <w:pPr>
              <w:pStyle w:val="NormalArial"/>
              <w:spacing w:before="120" w:after="120"/>
              <w:jc w:val="both"/>
              <w:rPr>
                <w:rFonts w:cs="Arial"/>
              </w:rPr>
            </w:pPr>
            <w:r>
              <w:rPr>
                <w:rFonts w:cs="Arial"/>
              </w:rPr>
              <w:t>Landon</w:t>
            </w:r>
          </w:p>
        </w:tc>
        <w:tc>
          <w:tcPr>
            <w:tcW w:w="4675" w:type="dxa"/>
          </w:tcPr>
          <w:p w14:paraId="33B2A295" w14:textId="77777777" w:rsidR="00C963B9" w:rsidRDefault="00C963B9" w:rsidP="00475D2D">
            <w:pPr>
              <w:pStyle w:val="NormalArial"/>
              <w:spacing w:before="120" w:after="120"/>
              <w:jc w:val="both"/>
              <w:rPr>
                <w:rFonts w:cs="Arial"/>
              </w:rPr>
            </w:pPr>
            <w:r>
              <w:rPr>
                <w:rFonts w:cs="Arial"/>
              </w:rPr>
              <w:t>February 2-5, 2022</w:t>
            </w:r>
          </w:p>
        </w:tc>
      </w:tr>
      <w:tr w:rsidR="00C963B9" w14:paraId="4BEC1665" w14:textId="77777777" w:rsidTr="00475D2D">
        <w:tc>
          <w:tcPr>
            <w:tcW w:w="4675" w:type="dxa"/>
          </w:tcPr>
          <w:p w14:paraId="023E37EA" w14:textId="77777777" w:rsidR="00C963B9" w:rsidRDefault="00C963B9" w:rsidP="00475D2D">
            <w:pPr>
              <w:pStyle w:val="NormalArial"/>
              <w:spacing w:before="120" w:after="120"/>
              <w:jc w:val="both"/>
              <w:rPr>
                <w:rFonts w:cs="Arial"/>
              </w:rPr>
            </w:pPr>
            <w:r>
              <w:rPr>
                <w:rFonts w:cs="Arial"/>
              </w:rPr>
              <w:t>Eliott</w:t>
            </w:r>
          </w:p>
        </w:tc>
        <w:tc>
          <w:tcPr>
            <w:tcW w:w="4675" w:type="dxa"/>
          </w:tcPr>
          <w:p w14:paraId="27F3B824" w14:textId="77777777" w:rsidR="00C963B9" w:rsidRDefault="00C963B9" w:rsidP="00475D2D">
            <w:pPr>
              <w:pStyle w:val="NormalArial"/>
              <w:spacing w:before="120" w:after="120"/>
              <w:jc w:val="both"/>
              <w:rPr>
                <w:rFonts w:cs="Arial"/>
              </w:rPr>
            </w:pPr>
            <w:r>
              <w:rPr>
                <w:rFonts w:cs="Arial"/>
              </w:rPr>
              <w:t>December 22-25, 2022</w:t>
            </w:r>
          </w:p>
        </w:tc>
      </w:tr>
      <w:tr w:rsidR="00C963B9" w14:paraId="52BD1134" w14:textId="77777777" w:rsidTr="00475D2D">
        <w:tc>
          <w:tcPr>
            <w:tcW w:w="4675" w:type="dxa"/>
          </w:tcPr>
          <w:p w14:paraId="3B23FEF4" w14:textId="77777777" w:rsidR="00C963B9" w:rsidRDefault="00C963B9" w:rsidP="00475D2D">
            <w:pPr>
              <w:pStyle w:val="NormalArial"/>
              <w:spacing w:before="120" w:after="120"/>
              <w:jc w:val="both"/>
              <w:rPr>
                <w:rFonts w:cs="Arial"/>
              </w:rPr>
            </w:pPr>
            <w:r>
              <w:rPr>
                <w:rFonts w:cs="Arial"/>
              </w:rPr>
              <w:t>Heather</w:t>
            </w:r>
          </w:p>
        </w:tc>
        <w:tc>
          <w:tcPr>
            <w:tcW w:w="4675" w:type="dxa"/>
          </w:tcPr>
          <w:p w14:paraId="6EF89D72" w14:textId="77777777" w:rsidR="00C963B9" w:rsidRDefault="00C963B9" w:rsidP="00475D2D">
            <w:pPr>
              <w:pStyle w:val="NormalArial"/>
              <w:spacing w:before="120" w:after="120"/>
              <w:jc w:val="both"/>
              <w:rPr>
                <w:rFonts w:cs="Arial"/>
              </w:rPr>
            </w:pPr>
            <w:r>
              <w:rPr>
                <w:rFonts w:cs="Arial"/>
              </w:rPr>
              <w:t>January 14-17, 2024</w:t>
            </w:r>
          </w:p>
        </w:tc>
      </w:tr>
      <w:tr w:rsidR="00C963B9" w14:paraId="09A83065" w14:textId="77777777" w:rsidTr="00475D2D">
        <w:tc>
          <w:tcPr>
            <w:tcW w:w="4675" w:type="dxa"/>
          </w:tcPr>
          <w:p w14:paraId="3A49DC38" w14:textId="77777777" w:rsidR="00C963B9" w:rsidRDefault="00C963B9" w:rsidP="00475D2D">
            <w:pPr>
              <w:pStyle w:val="NormalArial"/>
              <w:spacing w:before="120" w:after="120"/>
              <w:jc w:val="both"/>
              <w:rPr>
                <w:rFonts w:cs="Arial"/>
              </w:rPr>
            </w:pPr>
            <w:r>
              <w:rPr>
                <w:rFonts w:cs="Arial"/>
              </w:rPr>
              <w:t>Cora</w:t>
            </w:r>
          </w:p>
        </w:tc>
        <w:tc>
          <w:tcPr>
            <w:tcW w:w="4675" w:type="dxa"/>
          </w:tcPr>
          <w:p w14:paraId="3E923280" w14:textId="77777777" w:rsidR="00C963B9" w:rsidRDefault="00C963B9" w:rsidP="00475D2D">
            <w:pPr>
              <w:pStyle w:val="NormalArial"/>
              <w:spacing w:before="120" w:after="120"/>
              <w:jc w:val="both"/>
              <w:rPr>
                <w:rFonts w:cs="Arial"/>
              </w:rPr>
            </w:pPr>
            <w:r>
              <w:rPr>
                <w:rFonts w:cs="Arial"/>
              </w:rPr>
              <w:t>January 9-10, 2025</w:t>
            </w:r>
          </w:p>
        </w:tc>
      </w:tr>
      <w:tr w:rsidR="00C963B9" w14:paraId="29BF0A07" w14:textId="77777777" w:rsidTr="00475D2D">
        <w:tc>
          <w:tcPr>
            <w:tcW w:w="4675" w:type="dxa"/>
          </w:tcPr>
          <w:p w14:paraId="145548A5" w14:textId="77777777" w:rsidR="00C963B9" w:rsidRDefault="00C963B9" w:rsidP="00475D2D">
            <w:pPr>
              <w:pStyle w:val="NormalArial"/>
              <w:spacing w:before="120" w:after="120"/>
              <w:jc w:val="both"/>
              <w:rPr>
                <w:rFonts w:cs="Arial"/>
              </w:rPr>
            </w:pPr>
            <w:r>
              <w:rPr>
                <w:rFonts w:cs="Arial"/>
              </w:rPr>
              <w:t>Enzo</w:t>
            </w:r>
          </w:p>
        </w:tc>
        <w:tc>
          <w:tcPr>
            <w:tcW w:w="4675" w:type="dxa"/>
          </w:tcPr>
          <w:p w14:paraId="26D08D07" w14:textId="77777777" w:rsidR="00C963B9" w:rsidRDefault="00C963B9" w:rsidP="00475D2D">
            <w:pPr>
              <w:pStyle w:val="NormalArial"/>
              <w:spacing w:before="120" w:after="120"/>
              <w:jc w:val="both"/>
              <w:rPr>
                <w:rFonts w:cs="Arial"/>
              </w:rPr>
            </w:pPr>
            <w:r>
              <w:rPr>
                <w:rFonts w:cs="Arial"/>
              </w:rPr>
              <w:t>January 20-22, 2025</w:t>
            </w:r>
          </w:p>
        </w:tc>
      </w:tr>
      <w:tr w:rsidR="00C963B9" w14:paraId="413E1EBA" w14:textId="77777777" w:rsidTr="00475D2D">
        <w:tc>
          <w:tcPr>
            <w:tcW w:w="4675" w:type="dxa"/>
          </w:tcPr>
          <w:p w14:paraId="20F08922" w14:textId="77777777" w:rsidR="00C963B9" w:rsidRDefault="00C963B9" w:rsidP="00475D2D">
            <w:pPr>
              <w:pStyle w:val="NormalArial"/>
              <w:spacing w:before="120" w:after="120"/>
              <w:jc w:val="both"/>
              <w:rPr>
                <w:rFonts w:cs="Arial"/>
              </w:rPr>
            </w:pPr>
            <w:r>
              <w:rPr>
                <w:rFonts w:cs="Arial"/>
              </w:rPr>
              <w:t>Kingston</w:t>
            </w:r>
          </w:p>
        </w:tc>
        <w:tc>
          <w:tcPr>
            <w:tcW w:w="4675" w:type="dxa"/>
          </w:tcPr>
          <w:p w14:paraId="46C9A7FB" w14:textId="77777777" w:rsidR="00C963B9" w:rsidRDefault="00C963B9" w:rsidP="00475D2D">
            <w:pPr>
              <w:pStyle w:val="NormalArial"/>
              <w:spacing w:before="120" w:after="120"/>
              <w:jc w:val="both"/>
              <w:rPr>
                <w:rFonts w:cs="Arial"/>
              </w:rPr>
            </w:pPr>
            <w:r>
              <w:rPr>
                <w:rFonts w:cs="Arial"/>
              </w:rPr>
              <w:t>February 19-20, 2025</w:t>
            </w:r>
          </w:p>
        </w:tc>
      </w:tr>
      <w:tr w:rsidR="00C963B9" w14:paraId="68CCCCCB" w14:textId="77777777" w:rsidTr="00761273">
        <w:trPr>
          <w:trHeight w:val="449"/>
        </w:trPr>
        <w:tc>
          <w:tcPr>
            <w:tcW w:w="4675" w:type="dxa"/>
          </w:tcPr>
          <w:p w14:paraId="072D978C" w14:textId="77777777" w:rsidR="00C963B9" w:rsidRDefault="00C963B9" w:rsidP="00475D2D">
            <w:pPr>
              <w:pStyle w:val="NormalArial"/>
              <w:spacing w:before="120" w:after="360"/>
              <w:jc w:val="both"/>
              <w:rPr>
                <w:rFonts w:cs="Arial"/>
              </w:rPr>
            </w:pPr>
            <w:r>
              <w:rPr>
                <w:rFonts w:cs="Arial"/>
              </w:rPr>
              <w:t>Fern</w:t>
            </w:r>
          </w:p>
        </w:tc>
        <w:tc>
          <w:tcPr>
            <w:tcW w:w="4675" w:type="dxa"/>
          </w:tcPr>
          <w:p w14:paraId="7B1B7E64" w14:textId="77777777" w:rsidR="00C963B9" w:rsidRDefault="00C963B9" w:rsidP="00475D2D">
            <w:pPr>
              <w:pStyle w:val="NormalArial"/>
              <w:spacing w:before="120" w:after="120"/>
              <w:jc w:val="both"/>
              <w:rPr>
                <w:rFonts w:cs="Arial"/>
              </w:rPr>
            </w:pPr>
            <w:r>
              <w:rPr>
                <w:rFonts w:cs="Arial"/>
              </w:rPr>
              <w:t>January 24-27, 2026</w:t>
            </w:r>
          </w:p>
        </w:tc>
      </w:tr>
    </w:tbl>
    <w:p w14:paraId="004ACB57" w14:textId="77777777" w:rsidR="00C963B9" w:rsidRDefault="00C963B9" w:rsidP="00C963B9">
      <w:pPr>
        <w:pStyle w:val="NormalArial"/>
        <w:jc w:val="both"/>
        <w:rPr>
          <w:rFonts w:cs="Arial"/>
        </w:rPr>
      </w:pPr>
    </w:p>
    <w:p w14:paraId="1645258D" w14:textId="14B9A8DE" w:rsidR="002158D2" w:rsidRDefault="21FF6704" w:rsidP="002158D2">
      <w:pPr>
        <w:pStyle w:val="NormalArial"/>
        <w:jc w:val="both"/>
        <w:rPr>
          <w:rFonts w:cs="Arial"/>
        </w:rPr>
      </w:pPr>
      <w:r w:rsidRPr="21FF6704">
        <w:rPr>
          <w:rFonts w:cs="Arial"/>
        </w:rPr>
        <w:t xml:space="preserve">For the spring, summer, and fall Seasons, TCPA recommends a six-hour duration. The minimum run time for Generation Resources deployed through Reliability Unit Commitment (RUC) often exceeds the 4-hour minimum duration for DRRS. Therefore, to achieve the objective of reducing RUC deployments, a longer duration better aligns with the characteristics of resources deployed through the RUC process.   </w:t>
      </w:r>
    </w:p>
    <w:p w14:paraId="64FA9CAC" w14:textId="77777777" w:rsidR="002158D2" w:rsidRPr="002158D2" w:rsidRDefault="002158D2" w:rsidP="002158D2">
      <w:pPr>
        <w:pStyle w:val="NormalArial"/>
        <w:jc w:val="both"/>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2" w:name="_Hlk221690934"/>
            <w:r>
              <w:t>Revised Cover Page Language</w:t>
            </w:r>
          </w:p>
        </w:tc>
      </w:tr>
    </w:tbl>
    <w:bookmarkEnd w:id="2"/>
    <w:p w14:paraId="089A429A" w14:textId="2FA45B77" w:rsidR="00BD7258" w:rsidRDefault="00DE4BA5" w:rsidP="00DE4BA5">
      <w:pPr>
        <w:pStyle w:val="NormalArial"/>
        <w:spacing w:before="120" w:after="120"/>
      </w:pPr>
      <w:r>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7BDE" w14:textId="77777777" w:rsidR="004503A6" w:rsidRDefault="004503A6">
      <w:r>
        <w:separator/>
      </w:r>
    </w:p>
  </w:endnote>
  <w:endnote w:type="continuationSeparator" w:id="0">
    <w:p w14:paraId="4C05FDCE" w14:textId="77777777" w:rsidR="004503A6" w:rsidRDefault="0045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0310BB1A" w:rsidR="00EE6681" w:rsidRDefault="00277972" w:rsidP="0074209E">
    <w:pPr>
      <w:pStyle w:val="Footer"/>
      <w:tabs>
        <w:tab w:val="clear" w:pos="4320"/>
        <w:tab w:val="clear" w:pos="8640"/>
        <w:tab w:val="right" w:pos="9360"/>
      </w:tabs>
      <w:rPr>
        <w:rFonts w:ascii="Arial" w:hAnsi="Arial"/>
        <w:sz w:val="18"/>
      </w:rPr>
    </w:pPr>
    <w:r>
      <w:rPr>
        <w:rFonts w:ascii="Arial" w:hAnsi="Arial"/>
        <w:sz w:val="18"/>
      </w:rPr>
      <w:t>1310NPRR</w:t>
    </w:r>
    <w:r w:rsidR="00B55441">
      <w:rPr>
        <w:rFonts w:ascii="Arial" w:hAnsi="Arial"/>
        <w:sz w:val="18"/>
      </w:rPr>
      <w:t>-25 TCPA Comments 030626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F50A" w14:textId="77777777" w:rsidR="004503A6" w:rsidRDefault="004503A6">
      <w:r>
        <w:separator/>
      </w:r>
    </w:p>
  </w:footnote>
  <w:footnote w:type="continuationSeparator" w:id="0">
    <w:p w14:paraId="3BB62234" w14:textId="77777777" w:rsidR="004503A6" w:rsidRDefault="004503A6">
      <w:r>
        <w:continuationSeparator/>
      </w:r>
    </w:p>
  </w:footnote>
  <w:footnote w:id="1">
    <w:p w14:paraId="72AC48C6" w14:textId="3924E6AF" w:rsidR="00277972" w:rsidRDefault="00277972">
      <w:pPr>
        <w:pStyle w:val="FootnoteText"/>
      </w:pPr>
      <w:r>
        <w:rPr>
          <w:rStyle w:val="FootnoteReference"/>
        </w:rPr>
        <w:footnoteRef/>
      </w:r>
      <w:r>
        <w:t xml:space="preserve"> </w:t>
      </w:r>
      <w:hyperlink r:id="rId1" w:history="1">
        <w:r w:rsidRPr="00277BB6">
          <w:rPr>
            <w:rStyle w:val="Hyperlink"/>
          </w:rPr>
          <w:t>https://www.ercot.com/files/docs/2026/02/27/1310NPRR-17-ERCOT-Comments-022726.docx</w:t>
        </w:r>
      </w:hyperlink>
      <w:r>
        <w:t xml:space="preserve"> </w:t>
      </w:r>
    </w:p>
  </w:footnote>
  <w:footnote w:id="2">
    <w:p w14:paraId="7E862FCB" w14:textId="6FEB3720" w:rsidR="00645573" w:rsidRDefault="00645573">
      <w:pPr>
        <w:pStyle w:val="FootnoteText"/>
      </w:pPr>
      <w:r>
        <w:rPr>
          <w:rStyle w:val="FootnoteReference"/>
        </w:rPr>
        <w:footnoteRef/>
      </w:r>
      <w:r>
        <w:t xml:space="preserve"> </w:t>
      </w:r>
      <w:r w:rsidR="00254F6F" w:rsidRPr="004824B7">
        <w:rPr>
          <w:rFonts w:cs="Arial"/>
          <w:i/>
          <w:iCs/>
        </w:rPr>
        <w:t xml:space="preserve">Board Priority - Dispatchable Reliability Reserve Service Ancillary Service, </w:t>
      </w:r>
      <w:r w:rsidR="00254F6F" w:rsidRPr="004824B7">
        <w:rPr>
          <w:rFonts w:cs="Arial"/>
        </w:rPr>
        <w:t>NPRR1309, Comments by TCPA (</w:t>
      </w:r>
      <w:r w:rsidR="00254F6F">
        <w:rPr>
          <w:rFonts w:cs="Arial"/>
        </w:rPr>
        <w:t>March</w:t>
      </w:r>
      <w:r w:rsidR="00254F6F" w:rsidRPr="004824B7">
        <w:rPr>
          <w:rFonts w:cs="Arial"/>
        </w:rPr>
        <w:t xml:space="preserve"> 2, 2026), </w:t>
      </w:r>
      <w:r w:rsidR="00254F6F" w:rsidRPr="004824B7">
        <w:rPr>
          <w:rFonts w:cs="Arial"/>
          <w:i/>
          <w:iCs/>
        </w:rPr>
        <w:t xml:space="preserve">available at </w:t>
      </w:r>
      <w:hyperlink r:id="rId2" w:history="1">
        <w:r w:rsidRPr="00277BB6">
          <w:rPr>
            <w:rStyle w:val="Hyperlink"/>
          </w:rPr>
          <w:t>https://www.ercot.com/files/docs/2026/03/02/1309NPRR-15-TCPA-Comments-030226.docx</w:t>
        </w:r>
      </w:hyperlink>
    </w:p>
  </w:footnote>
  <w:footnote w:id="3">
    <w:p w14:paraId="503C5CA4" w14:textId="2E01CCB8" w:rsidR="0068339A" w:rsidRDefault="0068339A">
      <w:pPr>
        <w:pStyle w:val="FootnoteText"/>
      </w:pPr>
      <w:r>
        <w:rPr>
          <w:rStyle w:val="FootnoteReference"/>
        </w:rPr>
        <w:footnoteRef/>
      </w:r>
      <w:r>
        <w:t xml:space="preserve"> </w:t>
      </w:r>
      <w:r w:rsidR="00121D91">
        <w:t>NPRR1309 Comments, TCPA (March 2, 2026).</w:t>
      </w:r>
    </w:p>
  </w:footnote>
  <w:footnote w:id="4">
    <w:p w14:paraId="4C032ED7" w14:textId="00C3B58D" w:rsidR="00735E8C" w:rsidRPr="007B1CF0" w:rsidRDefault="00735E8C" w:rsidP="21FF6704">
      <w:pPr>
        <w:pStyle w:val="FootnoteText"/>
      </w:pPr>
      <w:r>
        <w:rPr>
          <w:rStyle w:val="FootnoteReference"/>
        </w:rPr>
        <w:footnoteRef/>
      </w:r>
      <w:r>
        <w:t xml:space="preserve"> PURA </w:t>
      </w:r>
      <w:r>
        <w:rPr>
          <w:rFonts w:cs="Arial"/>
        </w:rPr>
        <w:t>§</w:t>
      </w:r>
      <w:r>
        <w:t xml:space="preserve"> 39.159(b)</w:t>
      </w:r>
      <w:r w:rsidR="00702DA2">
        <w:t>(1) &amp;</w:t>
      </w:r>
      <w:r w:rsidR="0061118A">
        <w:t xml:space="preserve"> (d)(3). Note that recently-adopted 16 Texas Admin. Code (TAC) 25.508 “</w:t>
      </w:r>
      <w:r w:rsidR="0061118A" w:rsidRPr="008C3BC7">
        <w:t>implements Public Utility Regulatory Act (PURA) §39.159(b)(1) as revised by Section 18 of Senate Bill (S.B.) 3 during the Texas 87th Regular Legislative Session</w:t>
      </w:r>
      <w:r w:rsidR="0061118A">
        <w:t xml:space="preserve">.” </w:t>
      </w:r>
      <w:r w:rsidR="0061118A" w:rsidRPr="21FF6704">
        <w:rPr>
          <w:i/>
          <w:iCs/>
        </w:rPr>
        <w:t>See</w:t>
      </w:r>
      <w:r w:rsidR="0061118A">
        <w:t xml:space="preserve"> Project No. 54584 (“Reliability Standard for the ERCOT Region”), </w:t>
      </w:r>
      <w:r w:rsidR="0061118A" w:rsidRPr="21FF6704">
        <w:rPr>
          <w:i/>
          <w:iCs/>
        </w:rPr>
        <w:t>Order Adopting New §25.508</w:t>
      </w:r>
      <w:r w:rsidR="0061118A">
        <w:t xml:space="preserve"> at 1 (September 9, 2024), </w:t>
      </w:r>
      <w:r w:rsidR="0061118A" w:rsidRPr="21FF6704">
        <w:rPr>
          <w:i/>
          <w:iCs/>
        </w:rPr>
        <w:t xml:space="preserve">available at </w:t>
      </w:r>
      <w:hyperlink r:id="rId3" w:history="1">
        <w:r w:rsidR="21FF6704" w:rsidRPr="21FF6704">
          <w:rPr>
            <w:rStyle w:val="Hyperlink"/>
          </w:rPr>
          <w:t>https://interchange.puc.texas.gov/Documents/54584_106_1426419.PDF.</w:t>
        </w:r>
      </w:hyperlink>
      <w:r w:rsidR="21FF6704" w:rsidRPr="21FF6704">
        <w:rPr>
          <w:i/>
          <w:iCs/>
        </w:rPr>
        <w:t xml:space="preserve"> See also </w:t>
      </w:r>
      <w:r w:rsidR="21FF6704" w:rsidRPr="21FF6704">
        <w:t xml:space="preserve">the September 23, 2024 Luminant comments to NPRR1235 that provide a deep history of DRRS’s origins, </w:t>
      </w:r>
      <w:r w:rsidR="21FF6704" w:rsidRPr="007B1CF0">
        <w:rPr>
          <w:i/>
          <w:iCs/>
        </w:rPr>
        <w:t>available at</w:t>
      </w:r>
      <w:r w:rsidR="21FF6704" w:rsidRPr="21FF6704">
        <w:t xml:space="preserve"> </w:t>
      </w:r>
      <w:hyperlink r:id="rId4" w:history="1">
        <w:r w:rsidR="21FF6704" w:rsidRPr="21FF6704">
          <w:rPr>
            <w:rStyle w:val="Hyperlink"/>
          </w:rPr>
          <w:t>https://www.ercot.com/files/docs/2024/09/23/1235NPRR-16%20Luminant%20Comments%20092324.docx</w:t>
        </w:r>
      </w:hyperlink>
      <w:r w:rsidR="21FF6704" w:rsidRPr="21FF6704">
        <w:t xml:space="preserve"> </w:t>
      </w:r>
    </w:p>
  </w:footnote>
  <w:footnote w:id="5">
    <w:p w14:paraId="6D6EA601" w14:textId="5DAFD2D6" w:rsidR="00C963B9" w:rsidRDefault="00C963B9" w:rsidP="00C963B9">
      <w:pPr>
        <w:pStyle w:val="FootnoteText"/>
      </w:pPr>
      <w:r>
        <w:rPr>
          <w:rStyle w:val="FootnoteReference"/>
        </w:rPr>
        <w:footnoteRef/>
      </w:r>
      <w:r>
        <w:t xml:space="preserve"> </w:t>
      </w:r>
      <w:r w:rsidR="00121D91" w:rsidRPr="00121D91">
        <w:t>NPRR1309</w:t>
      </w:r>
      <w:r w:rsidR="00121D91">
        <w:t xml:space="preserve"> Comments, TCPA (March 2, 2026).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2AF84476"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2"/>
  </w:num>
  <w:num w:numId="3" w16cid:durableId="210792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137F"/>
    <w:rsid w:val="00037668"/>
    <w:rsid w:val="00056467"/>
    <w:rsid w:val="00065E3F"/>
    <w:rsid w:val="00075A94"/>
    <w:rsid w:val="000928DB"/>
    <w:rsid w:val="00093F2E"/>
    <w:rsid w:val="000F432E"/>
    <w:rsid w:val="001007A5"/>
    <w:rsid w:val="00120B09"/>
    <w:rsid w:val="00121D91"/>
    <w:rsid w:val="00132855"/>
    <w:rsid w:val="00151E35"/>
    <w:rsid w:val="00152993"/>
    <w:rsid w:val="001562E3"/>
    <w:rsid w:val="00161748"/>
    <w:rsid w:val="00170297"/>
    <w:rsid w:val="00175A29"/>
    <w:rsid w:val="001A227D"/>
    <w:rsid w:val="001A6F40"/>
    <w:rsid w:val="001B648D"/>
    <w:rsid w:val="001C3D5C"/>
    <w:rsid w:val="001D4550"/>
    <w:rsid w:val="001E2032"/>
    <w:rsid w:val="001F05DD"/>
    <w:rsid w:val="002158D2"/>
    <w:rsid w:val="00230C8C"/>
    <w:rsid w:val="00233934"/>
    <w:rsid w:val="0024590F"/>
    <w:rsid w:val="00252477"/>
    <w:rsid w:val="00254F6F"/>
    <w:rsid w:val="002568C4"/>
    <w:rsid w:val="002641D1"/>
    <w:rsid w:val="002722D2"/>
    <w:rsid w:val="00277972"/>
    <w:rsid w:val="00287298"/>
    <w:rsid w:val="002937C4"/>
    <w:rsid w:val="002A464B"/>
    <w:rsid w:val="002B10C4"/>
    <w:rsid w:val="002C41F1"/>
    <w:rsid w:val="002E3068"/>
    <w:rsid w:val="002F0B11"/>
    <w:rsid w:val="003010C0"/>
    <w:rsid w:val="003116E8"/>
    <w:rsid w:val="00317298"/>
    <w:rsid w:val="00332A97"/>
    <w:rsid w:val="00341289"/>
    <w:rsid w:val="00347312"/>
    <w:rsid w:val="00350C00"/>
    <w:rsid w:val="00351762"/>
    <w:rsid w:val="003579F1"/>
    <w:rsid w:val="003613AE"/>
    <w:rsid w:val="00366113"/>
    <w:rsid w:val="003775D2"/>
    <w:rsid w:val="003C270C"/>
    <w:rsid w:val="003D0994"/>
    <w:rsid w:val="003D466B"/>
    <w:rsid w:val="003E6F58"/>
    <w:rsid w:val="0040175F"/>
    <w:rsid w:val="004146E1"/>
    <w:rsid w:val="00423824"/>
    <w:rsid w:val="004270F7"/>
    <w:rsid w:val="0043567D"/>
    <w:rsid w:val="00436E1F"/>
    <w:rsid w:val="00442BCA"/>
    <w:rsid w:val="004503A6"/>
    <w:rsid w:val="004653BC"/>
    <w:rsid w:val="004840E0"/>
    <w:rsid w:val="00485F0C"/>
    <w:rsid w:val="004B7B90"/>
    <w:rsid w:val="004C319A"/>
    <w:rsid w:val="004E2C19"/>
    <w:rsid w:val="0052541E"/>
    <w:rsid w:val="00551B7E"/>
    <w:rsid w:val="00563353"/>
    <w:rsid w:val="00570139"/>
    <w:rsid w:val="00584579"/>
    <w:rsid w:val="00586ED9"/>
    <w:rsid w:val="00591E40"/>
    <w:rsid w:val="00595BE4"/>
    <w:rsid w:val="005961C3"/>
    <w:rsid w:val="00596E66"/>
    <w:rsid w:val="00597743"/>
    <w:rsid w:val="005A1814"/>
    <w:rsid w:val="005B55AD"/>
    <w:rsid w:val="005D284C"/>
    <w:rsid w:val="005E0BB7"/>
    <w:rsid w:val="005E3E06"/>
    <w:rsid w:val="005E440F"/>
    <w:rsid w:val="005F1144"/>
    <w:rsid w:val="005F5953"/>
    <w:rsid w:val="005F77E5"/>
    <w:rsid w:val="00604512"/>
    <w:rsid w:val="0061118A"/>
    <w:rsid w:val="0062282E"/>
    <w:rsid w:val="006316D4"/>
    <w:rsid w:val="00633E23"/>
    <w:rsid w:val="00645573"/>
    <w:rsid w:val="00656FF8"/>
    <w:rsid w:val="00657CB1"/>
    <w:rsid w:val="00666612"/>
    <w:rsid w:val="00673B94"/>
    <w:rsid w:val="006801F8"/>
    <w:rsid w:val="00680AC6"/>
    <w:rsid w:val="0068339A"/>
    <w:rsid w:val="006835D8"/>
    <w:rsid w:val="00696A8A"/>
    <w:rsid w:val="006C29E1"/>
    <w:rsid w:val="006C316E"/>
    <w:rsid w:val="006D0F7C"/>
    <w:rsid w:val="006D194C"/>
    <w:rsid w:val="006E69A9"/>
    <w:rsid w:val="006F0236"/>
    <w:rsid w:val="006F6679"/>
    <w:rsid w:val="00702DA2"/>
    <w:rsid w:val="007269C4"/>
    <w:rsid w:val="00735E8C"/>
    <w:rsid w:val="0074209E"/>
    <w:rsid w:val="00761273"/>
    <w:rsid w:val="007843EF"/>
    <w:rsid w:val="007928B0"/>
    <w:rsid w:val="00797C6F"/>
    <w:rsid w:val="007B1CF0"/>
    <w:rsid w:val="007E5CD9"/>
    <w:rsid w:val="007F2CA8"/>
    <w:rsid w:val="007F7161"/>
    <w:rsid w:val="00835649"/>
    <w:rsid w:val="00835FE1"/>
    <w:rsid w:val="00843E0B"/>
    <w:rsid w:val="0085559E"/>
    <w:rsid w:val="00865644"/>
    <w:rsid w:val="00875C28"/>
    <w:rsid w:val="00882800"/>
    <w:rsid w:val="00896B1B"/>
    <w:rsid w:val="008D0D94"/>
    <w:rsid w:val="008D35C9"/>
    <w:rsid w:val="008E559E"/>
    <w:rsid w:val="008E5A99"/>
    <w:rsid w:val="00916080"/>
    <w:rsid w:val="00921A68"/>
    <w:rsid w:val="00940694"/>
    <w:rsid w:val="00972E0A"/>
    <w:rsid w:val="00992840"/>
    <w:rsid w:val="009B37EA"/>
    <w:rsid w:val="009D1F5A"/>
    <w:rsid w:val="009D712D"/>
    <w:rsid w:val="00A015C4"/>
    <w:rsid w:val="00A05788"/>
    <w:rsid w:val="00A07CEE"/>
    <w:rsid w:val="00A105BE"/>
    <w:rsid w:val="00A13642"/>
    <w:rsid w:val="00A15172"/>
    <w:rsid w:val="00A21C25"/>
    <w:rsid w:val="00A30BAA"/>
    <w:rsid w:val="00A37E10"/>
    <w:rsid w:val="00A47AEF"/>
    <w:rsid w:val="00A8771C"/>
    <w:rsid w:val="00A90E61"/>
    <w:rsid w:val="00AB5AAD"/>
    <w:rsid w:val="00AD1C90"/>
    <w:rsid w:val="00AE3BBC"/>
    <w:rsid w:val="00AF58DB"/>
    <w:rsid w:val="00B12ECB"/>
    <w:rsid w:val="00B31DB5"/>
    <w:rsid w:val="00B5080A"/>
    <w:rsid w:val="00B50CDB"/>
    <w:rsid w:val="00B55441"/>
    <w:rsid w:val="00B57013"/>
    <w:rsid w:val="00B60BDD"/>
    <w:rsid w:val="00B76355"/>
    <w:rsid w:val="00B80A1E"/>
    <w:rsid w:val="00B86D81"/>
    <w:rsid w:val="00B943AE"/>
    <w:rsid w:val="00BA518B"/>
    <w:rsid w:val="00BA73EB"/>
    <w:rsid w:val="00BD6F64"/>
    <w:rsid w:val="00BD7258"/>
    <w:rsid w:val="00BE3CCC"/>
    <w:rsid w:val="00BF7E5B"/>
    <w:rsid w:val="00C0598D"/>
    <w:rsid w:val="00C1177A"/>
    <w:rsid w:val="00C11956"/>
    <w:rsid w:val="00C21A67"/>
    <w:rsid w:val="00C2738A"/>
    <w:rsid w:val="00C36C92"/>
    <w:rsid w:val="00C412B7"/>
    <w:rsid w:val="00C501A8"/>
    <w:rsid w:val="00C602E5"/>
    <w:rsid w:val="00C748FD"/>
    <w:rsid w:val="00C963B9"/>
    <w:rsid w:val="00CA6FCA"/>
    <w:rsid w:val="00CB3F42"/>
    <w:rsid w:val="00CD199B"/>
    <w:rsid w:val="00CE5CDE"/>
    <w:rsid w:val="00D12C2B"/>
    <w:rsid w:val="00D30A5E"/>
    <w:rsid w:val="00D313D7"/>
    <w:rsid w:val="00D4046E"/>
    <w:rsid w:val="00D4362F"/>
    <w:rsid w:val="00DA0E73"/>
    <w:rsid w:val="00DA15E8"/>
    <w:rsid w:val="00DA758A"/>
    <w:rsid w:val="00DB5708"/>
    <w:rsid w:val="00DD4739"/>
    <w:rsid w:val="00DE4BA5"/>
    <w:rsid w:val="00DE5F33"/>
    <w:rsid w:val="00DF117C"/>
    <w:rsid w:val="00E02F7A"/>
    <w:rsid w:val="00E07B54"/>
    <w:rsid w:val="00E11F78"/>
    <w:rsid w:val="00E6128D"/>
    <w:rsid w:val="00E621E1"/>
    <w:rsid w:val="00E81161"/>
    <w:rsid w:val="00E94FCB"/>
    <w:rsid w:val="00EA3729"/>
    <w:rsid w:val="00EB6373"/>
    <w:rsid w:val="00EC27DE"/>
    <w:rsid w:val="00EC55B3"/>
    <w:rsid w:val="00EC6DDE"/>
    <w:rsid w:val="00EE6681"/>
    <w:rsid w:val="00EF1F97"/>
    <w:rsid w:val="00F242A7"/>
    <w:rsid w:val="00F31A50"/>
    <w:rsid w:val="00F36A43"/>
    <w:rsid w:val="00F413A9"/>
    <w:rsid w:val="00F477DD"/>
    <w:rsid w:val="00F96FB2"/>
    <w:rsid w:val="00FA1DF1"/>
    <w:rsid w:val="00FB38F7"/>
    <w:rsid w:val="00FB51D8"/>
    <w:rsid w:val="00FB6FF7"/>
    <w:rsid w:val="00FC086E"/>
    <w:rsid w:val="00FD08E8"/>
    <w:rsid w:val="00FD1BDC"/>
    <w:rsid w:val="00FE0A6A"/>
    <w:rsid w:val="00FF20BE"/>
    <w:rsid w:val="21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C963B9"/>
    <w:rPr>
      <w:rFonts w:ascii="Arial" w:hAnsi="Arial"/>
      <w:sz w:val="24"/>
      <w:szCs w:val="24"/>
    </w:rPr>
  </w:style>
  <w:style w:type="paragraph" w:styleId="ListBullet">
    <w:name w:val="List Bullet"/>
    <w:basedOn w:val="Normal"/>
    <w:unhideWhenUsed/>
    <w:rsid w:val="00B50CDB"/>
    <w:pPr>
      <w:tabs>
        <w:tab w:val="num" w:pos="360"/>
      </w:tabs>
      <w:ind w:left="360" w:hanging="360"/>
    </w:pPr>
    <w:rPr>
      <w:rFonts w:eastAsia="SimSun"/>
      <w:szCs w:val="20"/>
    </w:rPr>
  </w:style>
  <w:style w:type="table" w:customStyle="1" w:styleId="BoxedLanguage">
    <w:name w:val="Boxed Language"/>
    <w:basedOn w:val="TableNormal"/>
    <w:rsid w:val="00B50CD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styleId="FollowedHyperlink">
    <w:name w:val="FollowedHyperlink"/>
    <w:basedOn w:val="DefaultParagraphFont"/>
    <w:rsid w:val="00254F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ele@competitivepower.com" TargetMode="External"/><Relationship Id="rId4" Type="http://schemas.openxmlformats.org/officeDocument/2006/relationships/settings" Target="settings.xml"/><Relationship Id="rId9" Type="http://schemas.openxmlformats.org/officeDocument/2006/relationships/hyperlink" Target="mailto:paul@competitivepower.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terchange.puc.texas.gov/Documents/54584_106_1426419.PDF" TargetMode="External"/><Relationship Id="rId2" Type="http://schemas.openxmlformats.org/officeDocument/2006/relationships/hyperlink" Target="https://www.ercot.com/files/docs/2026/03/02/1309NPRR-15-TCPA-Comments-030226.docx" TargetMode="External"/><Relationship Id="rId1" Type="http://schemas.openxmlformats.org/officeDocument/2006/relationships/hyperlink" Target="https://www.ercot.com/files/docs/2026/02/27/1310NPRR-17-ERCOT-Comments-022726.docx" TargetMode="External"/><Relationship Id="rId4" Type="http://schemas.openxmlformats.org/officeDocument/2006/relationships/hyperlink" Target="https://www.ercot.com/files/docs/2024/09/23/1235NPRR-16%20Luminant%20Comments%200923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1199</Words>
  <Characters>6672</Characters>
  <Application>Microsoft Office Word</Application>
  <DocSecurity>0</DocSecurity>
  <Lines>158</Lines>
  <Paragraphs>74</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C Phillips</cp:lastModifiedBy>
  <cp:revision>3</cp:revision>
  <dcterms:created xsi:type="dcterms:W3CDTF">2026-03-06T18:45:00Z</dcterms:created>
  <dcterms:modified xsi:type="dcterms:W3CDTF">2026-03-06T18:51:00Z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